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31A" w:rsidRPr="003B3244" w:rsidRDefault="00F3731A" w:rsidP="00F3731A">
      <w:pPr>
        <w:pStyle w:val="BodyText"/>
        <w:rPr>
          <w:rFonts w:cs="Times New Roman"/>
          <w:sz w:val="20"/>
          <w:lang w:val="sr-Latn-CS"/>
        </w:rPr>
      </w:pPr>
    </w:p>
    <w:p w:rsidR="00F3731A" w:rsidRPr="003B3244" w:rsidRDefault="00F3731A" w:rsidP="00F3731A">
      <w:pPr>
        <w:pStyle w:val="BodyText"/>
        <w:rPr>
          <w:rFonts w:cs="Times New Roman"/>
          <w:sz w:val="20"/>
          <w:lang w:val="sr-Latn-CS"/>
        </w:rPr>
      </w:pPr>
    </w:p>
    <w:p w:rsidR="00F3731A" w:rsidRPr="003B3244" w:rsidRDefault="00F3731A" w:rsidP="00F3731A">
      <w:pPr>
        <w:pStyle w:val="BodyText"/>
        <w:rPr>
          <w:rFonts w:cs="Times New Roman"/>
          <w:sz w:val="20"/>
          <w:lang w:val="sr-Latn-CS"/>
        </w:rPr>
      </w:pPr>
    </w:p>
    <w:p w:rsidR="00F3731A" w:rsidRPr="003B3244" w:rsidRDefault="00F3731A" w:rsidP="00F3731A">
      <w:pPr>
        <w:pStyle w:val="BodyText"/>
        <w:rPr>
          <w:rFonts w:cs="Times New Roman"/>
          <w:sz w:val="20"/>
          <w:lang w:val="sr-Latn-CS"/>
        </w:rPr>
      </w:pPr>
    </w:p>
    <w:p w:rsidR="00F3731A" w:rsidRPr="003B3244" w:rsidRDefault="00F3731A" w:rsidP="00F3731A">
      <w:pPr>
        <w:pStyle w:val="BodyText"/>
        <w:rPr>
          <w:rFonts w:cs="Times New Roman"/>
          <w:sz w:val="20"/>
          <w:lang w:val="sr-Latn-CS"/>
        </w:rPr>
      </w:pPr>
    </w:p>
    <w:p w:rsidR="00F3731A" w:rsidRPr="003B3244" w:rsidRDefault="00F3731A" w:rsidP="00F3731A">
      <w:pPr>
        <w:pStyle w:val="BodyText"/>
        <w:rPr>
          <w:rFonts w:cs="Times New Roman"/>
          <w:sz w:val="20"/>
          <w:lang w:val="sr-Latn-CS"/>
        </w:rPr>
      </w:pPr>
    </w:p>
    <w:p w:rsidR="00F3731A" w:rsidRPr="003B3244" w:rsidRDefault="00F3731A" w:rsidP="00F3731A">
      <w:pPr>
        <w:pStyle w:val="BodyText"/>
        <w:rPr>
          <w:rFonts w:cs="Times New Roman"/>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pStyle w:val="BodyText"/>
        <w:rPr>
          <w:rFonts w:cs="Times New Roman"/>
          <w:b/>
          <w:sz w:val="20"/>
          <w:lang w:val="sr-Latn-CS"/>
        </w:rPr>
      </w:pPr>
    </w:p>
    <w:p w:rsidR="00F3731A" w:rsidRPr="003B3244" w:rsidRDefault="00F3731A" w:rsidP="00F3731A">
      <w:pPr>
        <w:rPr>
          <w:rFonts w:ascii="Times New Roman" w:hAnsi="Times New Roman" w:cs="Times New Roman"/>
          <w:b/>
          <w:sz w:val="28"/>
          <w:lang w:val="sr-Latn-CS"/>
        </w:rPr>
      </w:pPr>
    </w:p>
    <w:p w:rsidR="00F3731A" w:rsidRPr="003B3244" w:rsidRDefault="00627140" w:rsidP="00F3731A">
      <w:pPr>
        <w:jc w:val="center"/>
        <w:rPr>
          <w:rFonts w:ascii="Times New Roman" w:hAnsi="Times New Roman" w:cs="Times New Roman"/>
          <w:b/>
          <w:sz w:val="36"/>
          <w:szCs w:val="36"/>
          <w:lang w:val="sr-Latn-CS"/>
        </w:rPr>
      </w:pPr>
      <w:r w:rsidRPr="00627140">
        <w:rPr>
          <w:rFonts w:ascii="Times New Roman" w:hAnsi="Times New Roman" w:cs="Times New Roman"/>
          <w:b/>
          <w:sz w:val="36"/>
          <w:szCs w:val="36"/>
          <w:lang w:val="sr-Latn-CS"/>
        </w:rPr>
        <w:t>Okvir socijalno prostornog upravljanja</w:t>
      </w:r>
    </w:p>
    <w:p w:rsidR="00F3731A" w:rsidRPr="003B3244" w:rsidRDefault="003B3244" w:rsidP="00F3731A">
      <w:pPr>
        <w:jc w:val="center"/>
        <w:rPr>
          <w:rFonts w:ascii="Times New Roman" w:hAnsi="Times New Roman" w:cs="Times New Roman"/>
          <w:b/>
          <w:sz w:val="36"/>
          <w:szCs w:val="36"/>
          <w:lang w:val="sr-Latn-CS"/>
        </w:rPr>
      </w:pPr>
      <w:r>
        <w:rPr>
          <w:rFonts w:ascii="Times New Roman" w:hAnsi="Times New Roman" w:cs="Times New Roman"/>
          <w:b/>
          <w:sz w:val="36"/>
          <w:szCs w:val="36"/>
          <w:lang w:val="sr-Latn-CS"/>
        </w:rPr>
        <w:t>Za projekat</w:t>
      </w:r>
    </w:p>
    <w:p w:rsidR="00F3731A" w:rsidRPr="003B3244" w:rsidRDefault="00F3731A" w:rsidP="00F3731A">
      <w:pPr>
        <w:jc w:val="center"/>
        <w:rPr>
          <w:rFonts w:ascii="Times New Roman" w:hAnsi="Times New Roman" w:cs="Times New Roman"/>
          <w:b/>
          <w:sz w:val="36"/>
          <w:szCs w:val="36"/>
          <w:lang w:val="sr-Latn-CS"/>
        </w:rPr>
      </w:pPr>
    </w:p>
    <w:p w:rsidR="00F3731A" w:rsidRPr="003B3244" w:rsidRDefault="008D3789" w:rsidP="00F3731A">
      <w:pPr>
        <w:jc w:val="center"/>
        <w:rPr>
          <w:rFonts w:ascii="Times New Roman" w:hAnsi="Times New Roman" w:cs="Times New Roman"/>
          <w:b/>
          <w:noProof/>
          <w:color w:val="0D0D0D" w:themeColor="text1" w:themeTint="F2"/>
          <w:sz w:val="36"/>
          <w:szCs w:val="36"/>
          <w:lang w:val="sr-Latn-CS"/>
        </w:rPr>
      </w:pPr>
      <w:r>
        <w:rPr>
          <w:rFonts w:ascii="Times New Roman" w:hAnsi="Times New Roman" w:cs="Times New Roman"/>
          <w:b/>
          <w:noProof/>
          <w:color w:val="0D0D0D" w:themeColor="text1" w:themeTint="F2"/>
          <w:sz w:val="36"/>
          <w:szCs w:val="36"/>
          <w:lang w:val="sr-Latn-CS"/>
        </w:rPr>
        <w:t>P</w:t>
      </w:r>
      <w:r w:rsidR="003B276C" w:rsidRPr="003B276C">
        <w:rPr>
          <w:rFonts w:ascii="Times New Roman" w:hAnsi="Times New Roman" w:cs="Times New Roman"/>
          <w:b/>
          <w:noProof/>
          <w:color w:val="0D0D0D" w:themeColor="text1" w:themeTint="F2"/>
          <w:sz w:val="36"/>
          <w:szCs w:val="36"/>
          <w:lang w:val="sr-Latn-CS"/>
        </w:rPr>
        <w:t>odrška lokalno</w:t>
      </w:r>
      <w:r w:rsidR="002C442E">
        <w:rPr>
          <w:rFonts w:ascii="Times New Roman" w:hAnsi="Times New Roman" w:cs="Times New Roman"/>
          <w:b/>
          <w:noProof/>
          <w:color w:val="0D0D0D" w:themeColor="text1" w:themeTint="F2"/>
          <w:sz w:val="36"/>
          <w:szCs w:val="36"/>
          <w:lang w:val="sr-Latn-CS"/>
        </w:rPr>
        <w:t xml:space="preserve">m razvoju na Kosovu uz </w:t>
      </w:r>
      <w:r w:rsidR="002C442E" w:rsidRPr="002C442E">
        <w:rPr>
          <w:rFonts w:ascii="Times New Roman" w:hAnsi="Times New Roman" w:cs="Times New Roman"/>
          <w:b/>
          <w:noProof/>
          <w:color w:val="0D0D0D" w:themeColor="text1" w:themeTint="F2"/>
          <w:sz w:val="36"/>
          <w:szCs w:val="36"/>
          <w:lang w:val="sr-Latn-CS"/>
        </w:rPr>
        <w:t>uključivanja</w:t>
      </w:r>
      <w:r w:rsidR="003B276C" w:rsidRPr="003B276C">
        <w:rPr>
          <w:rFonts w:ascii="Times New Roman" w:hAnsi="Times New Roman" w:cs="Times New Roman"/>
          <w:b/>
          <w:noProof/>
          <w:color w:val="0D0D0D" w:themeColor="text1" w:themeTint="F2"/>
          <w:sz w:val="36"/>
          <w:szCs w:val="36"/>
          <w:lang w:val="sr-Latn-CS"/>
        </w:rPr>
        <w:t xml:space="preserve"> mladih</w:t>
      </w:r>
    </w:p>
    <w:p w:rsidR="00F3731A" w:rsidRPr="003B3244" w:rsidRDefault="00F3731A" w:rsidP="00F3731A">
      <w:pPr>
        <w:jc w:val="center"/>
        <w:rPr>
          <w:rFonts w:ascii="Times New Roman" w:hAnsi="Times New Roman" w:cs="Times New Roman"/>
          <w:b/>
          <w:sz w:val="32"/>
          <w:szCs w:val="32"/>
          <w:lang w:val="sr-Latn-CS"/>
        </w:rPr>
      </w:pPr>
    </w:p>
    <w:p w:rsidR="00F3731A" w:rsidRPr="003B3244" w:rsidRDefault="00F3731A" w:rsidP="00F3731A">
      <w:pPr>
        <w:rPr>
          <w:rFonts w:ascii="Times New Roman" w:hAnsi="Times New Roman" w:cs="Times New Roman"/>
          <w:b/>
          <w:sz w:val="28"/>
          <w:lang w:val="sr-Latn-CS"/>
        </w:rPr>
      </w:pPr>
    </w:p>
    <w:p w:rsidR="00F3731A" w:rsidRPr="003B3244" w:rsidRDefault="00F3731A" w:rsidP="00F3731A">
      <w:pPr>
        <w:rPr>
          <w:rFonts w:ascii="Times New Roman" w:hAnsi="Times New Roman" w:cs="Times New Roman"/>
          <w:b/>
          <w:sz w:val="28"/>
          <w:lang w:val="sr-Latn-CS"/>
        </w:rPr>
      </w:pPr>
    </w:p>
    <w:p w:rsidR="00F3731A" w:rsidRPr="003B3244" w:rsidRDefault="00F3731A" w:rsidP="00F3731A">
      <w:pPr>
        <w:rPr>
          <w:rFonts w:ascii="Times New Roman" w:hAnsi="Times New Roman" w:cs="Times New Roman"/>
          <w:b/>
          <w:sz w:val="28"/>
          <w:lang w:val="sr-Latn-CS"/>
        </w:rPr>
      </w:pPr>
    </w:p>
    <w:p w:rsidR="00F3731A" w:rsidRPr="003B3244" w:rsidRDefault="00F3731A" w:rsidP="00F3731A">
      <w:pPr>
        <w:rPr>
          <w:rFonts w:ascii="Times New Roman" w:hAnsi="Times New Roman" w:cs="Times New Roman"/>
          <w:b/>
          <w:sz w:val="28"/>
          <w:lang w:val="sr-Latn-CS"/>
        </w:rPr>
      </w:pPr>
    </w:p>
    <w:p w:rsidR="00F3731A" w:rsidRPr="003B3244" w:rsidRDefault="003B276C" w:rsidP="00F3731A">
      <w:pPr>
        <w:jc w:val="center"/>
        <w:rPr>
          <w:rFonts w:ascii="Times New Roman" w:hAnsi="Times New Roman" w:cs="Times New Roman"/>
          <w:b/>
          <w:sz w:val="28"/>
          <w:lang w:val="sr-Latn-CS"/>
        </w:rPr>
      </w:pPr>
      <w:r>
        <w:rPr>
          <w:rFonts w:ascii="Times New Roman" w:hAnsi="Times New Roman" w:cs="Times New Roman"/>
          <w:b/>
          <w:sz w:val="28"/>
          <w:lang w:val="sr-Latn-CS"/>
        </w:rPr>
        <w:t>Ministarstvo administracije lokalne samouprave</w:t>
      </w:r>
    </w:p>
    <w:p w:rsidR="00F3731A" w:rsidRPr="003B3244" w:rsidRDefault="00F3731A" w:rsidP="00F3731A">
      <w:pPr>
        <w:jc w:val="center"/>
        <w:rPr>
          <w:rFonts w:ascii="Times New Roman" w:hAnsi="Times New Roman" w:cs="Times New Roman"/>
          <w:sz w:val="28"/>
          <w:lang w:val="sr-Latn-CS"/>
        </w:rPr>
      </w:pPr>
    </w:p>
    <w:p w:rsidR="00F3731A" w:rsidRPr="003B3244" w:rsidRDefault="00F3731A" w:rsidP="00F3731A">
      <w:pPr>
        <w:jc w:val="center"/>
        <w:rPr>
          <w:rFonts w:ascii="Times New Roman" w:hAnsi="Times New Roman" w:cs="Times New Roman"/>
          <w:sz w:val="28"/>
          <w:lang w:val="sr-Latn-CS"/>
        </w:rPr>
      </w:pPr>
    </w:p>
    <w:p w:rsidR="00F3731A" w:rsidRPr="003B3244" w:rsidRDefault="00F3731A" w:rsidP="00F3731A">
      <w:pPr>
        <w:tabs>
          <w:tab w:val="center" w:pos="5725"/>
        </w:tabs>
        <w:rPr>
          <w:rFonts w:ascii="Times New Roman" w:hAnsi="Times New Roman" w:cs="Times New Roman"/>
          <w:sz w:val="28"/>
          <w:lang w:val="sr-Latn-CS"/>
        </w:rPr>
      </w:pPr>
      <w:r w:rsidRPr="003B3244">
        <w:rPr>
          <w:rFonts w:ascii="Times New Roman" w:hAnsi="Times New Roman" w:cs="Times New Roman"/>
          <w:sz w:val="28"/>
          <w:lang w:val="sr-Latn-CS"/>
        </w:rPr>
        <w:tab/>
      </w:r>
    </w:p>
    <w:p w:rsidR="00F3731A" w:rsidRPr="003B3244" w:rsidRDefault="00F3731A" w:rsidP="00F3731A">
      <w:pPr>
        <w:tabs>
          <w:tab w:val="center" w:pos="5725"/>
        </w:tabs>
        <w:rPr>
          <w:rFonts w:ascii="Times New Roman" w:hAnsi="Times New Roman" w:cs="Times New Roman"/>
          <w:sz w:val="28"/>
          <w:lang w:val="sr-Latn-CS"/>
        </w:rPr>
      </w:pPr>
    </w:p>
    <w:p w:rsidR="00F3731A" w:rsidRPr="003B3244" w:rsidRDefault="00F3731A" w:rsidP="00F3731A">
      <w:pPr>
        <w:tabs>
          <w:tab w:val="center" w:pos="5725"/>
        </w:tabs>
        <w:rPr>
          <w:rFonts w:ascii="Times New Roman" w:hAnsi="Times New Roman" w:cs="Times New Roman"/>
          <w:sz w:val="28"/>
          <w:lang w:val="sr-Latn-CS"/>
        </w:rPr>
      </w:pPr>
    </w:p>
    <w:p w:rsidR="00F3731A" w:rsidRPr="003B3244" w:rsidRDefault="00F3731A" w:rsidP="00F3731A">
      <w:pPr>
        <w:tabs>
          <w:tab w:val="center" w:pos="5725"/>
        </w:tabs>
        <w:rPr>
          <w:rFonts w:ascii="Times New Roman" w:hAnsi="Times New Roman" w:cs="Times New Roman"/>
          <w:sz w:val="28"/>
          <w:lang w:val="sr-Latn-CS"/>
        </w:rPr>
      </w:pPr>
    </w:p>
    <w:p w:rsidR="00F3731A" w:rsidRPr="003B3244" w:rsidRDefault="00F3731A" w:rsidP="00F3731A">
      <w:pPr>
        <w:tabs>
          <w:tab w:val="center" w:pos="5725"/>
        </w:tabs>
        <w:rPr>
          <w:rFonts w:ascii="Times New Roman" w:hAnsi="Times New Roman" w:cs="Times New Roman"/>
          <w:sz w:val="28"/>
          <w:lang w:val="sr-Latn-CS"/>
        </w:rPr>
      </w:pPr>
    </w:p>
    <w:p w:rsidR="00F3731A" w:rsidRPr="003B3244" w:rsidRDefault="003B276C" w:rsidP="00F3731A">
      <w:pPr>
        <w:tabs>
          <w:tab w:val="center" w:pos="5725"/>
        </w:tabs>
        <w:jc w:val="center"/>
        <w:rPr>
          <w:rFonts w:ascii="Times New Roman" w:hAnsi="Times New Roman" w:cs="Times New Roman"/>
          <w:sz w:val="28"/>
          <w:lang w:val="sr-Latn-CS"/>
        </w:rPr>
        <w:sectPr w:rsidR="00F3731A" w:rsidRPr="003B3244" w:rsidSect="003B3244">
          <w:pgSz w:w="11910" w:h="16840"/>
          <w:pgMar w:top="720" w:right="720" w:bottom="720" w:left="720" w:header="720" w:footer="720" w:gutter="0"/>
          <w:cols w:space="720"/>
        </w:sectPr>
      </w:pPr>
      <w:r>
        <w:rPr>
          <w:rFonts w:ascii="Times New Roman" w:hAnsi="Times New Roman" w:cs="Times New Roman"/>
          <w:sz w:val="28"/>
          <w:lang w:val="sr-Latn-CS"/>
        </w:rPr>
        <w:t>Novembar  2018, Priš</w:t>
      </w:r>
      <w:r w:rsidR="00F3731A" w:rsidRPr="003B3244">
        <w:rPr>
          <w:rFonts w:ascii="Times New Roman" w:hAnsi="Times New Roman" w:cs="Times New Roman"/>
          <w:sz w:val="28"/>
          <w:lang w:val="sr-Latn-CS"/>
        </w:rPr>
        <w:t>tina</w:t>
      </w:r>
    </w:p>
    <w:p w:rsidR="00F3731A" w:rsidRPr="003B3244" w:rsidRDefault="003B276C" w:rsidP="00F3731A">
      <w:pPr>
        <w:pStyle w:val="BodyText"/>
        <w:spacing w:before="4"/>
        <w:rPr>
          <w:rFonts w:cs="Times New Roman"/>
          <w:b/>
          <w:sz w:val="28"/>
          <w:szCs w:val="28"/>
          <w:lang w:val="sr-Latn-CS"/>
        </w:rPr>
      </w:pPr>
      <w:r>
        <w:rPr>
          <w:rFonts w:cs="Times New Roman"/>
          <w:b/>
          <w:sz w:val="28"/>
          <w:szCs w:val="28"/>
          <w:lang w:val="sr-Latn-CS"/>
        </w:rPr>
        <w:lastRenderedPageBreak/>
        <w:t>S</w:t>
      </w:r>
      <w:r w:rsidR="008D3789">
        <w:rPr>
          <w:rFonts w:cs="Times New Roman"/>
          <w:b/>
          <w:sz w:val="28"/>
          <w:szCs w:val="28"/>
          <w:lang w:val="sr-Latn-CS"/>
        </w:rPr>
        <w:t>krać</w:t>
      </w:r>
      <w:r>
        <w:rPr>
          <w:rFonts w:cs="Times New Roman"/>
          <w:b/>
          <w:sz w:val="28"/>
          <w:szCs w:val="28"/>
          <w:lang w:val="sr-Latn-CS"/>
        </w:rPr>
        <w:t>enice</w:t>
      </w:r>
    </w:p>
    <w:p w:rsidR="00F3731A" w:rsidRPr="003B3244" w:rsidRDefault="00F3731A" w:rsidP="00F3731A">
      <w:pPr>
        <w:pStyle w:val="BodyText"/>
        <w:spacing w:before="4"/>
        <w:rPr>
          <w:rFonts w:cs="Times New Roman"/>
          <w:b/>
          <w:lang w:val="sr-Latn-CS"/>
        </w:rPr>
      </w:pPr>
    </w:p>
    <w:p w:rsidR="00F3731A" w:rsidRPr="003B3244" w:rsidRDefault="00F3731A" w:rsidP="00F3731A">
      <w:pPr>
        <w:pStyle w:val="BodyText"/>
        <w:spacing w:before="4"/>
        <w:rPr>
          <w:rFonts w:cs="Times New Roman"/>
          <w:sz w:val="17"/>
          <w:lang w:val="sr-Latn-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0"/>
        <w:gridCol w:w="8550"/>
      </w:tblGrid>
      <w:tr w:rsidR="00627140" w:rsidRPr="00627140" w:rsidTr="003B3244">
        <w:trPr>
          <w:trHeight w:val="397"/>
        </w:trPr>
        <w:tc>
          <w:tcPr>
            <w:tcW w:w="913" w:type="pct"/>
          </w:tcPr>
          <w:p w:rsidR="00F3731A" w:rsidRPr="00627140" w:rsidRDefault="00F3731A" w:rsidP="003B3244">
            <w:pPr>
              <w:pStyle w:val="TableParagraph"/>
              <w:spacing w:before="241" w:line="247" w:lineRule="exact"/>
              <w:ind w:left="107"/>
              <w:rPr>
                <w:rFonts w:ascii="Arial" w:hAnsi="Arial" w:cs="Arial"/>
                <w:color w:val="000000" w:themeColor="text1"/>
                <w:lang w:val="sr-Latn-CS"/>
              </w:rPr>
            </w:pPr>
            <w:bookmarkStart w:id="0" w:name="_Toc528270768"/>
            <w:r w:rsidRPr="00627140">
              <w:rPr>
                <w:rFonts w:ascii="Arial" w:hAnsi="Arial" w:cs="Arial"/>
                <w:color w:val="000000" w:themeColor="text1"/>
                <w:lang w:val="sr-Latn-CS"/>
              </w:rPr>
              <w:t>CBO</w:t>
            </w:r>
          </w:p>
        </w:tc>
        <w:tc>
          <w:tcPr>
            <w:tcW w:w="4087"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3B276C"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Lokalne organizacije</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340E58" w:rsidP="003B3244">
            <w:pPr>
              <w:pStyle w:val="TableParagraph"/>
              <w:spacing w:line="247" w:lineRule="exact"/>
              <w:rPr>
                <w:rFonts w:ascii="Arial" w:hAnsi="Arial" w:cs="Arial"/>
                <w:color w:val="000000" w:themeColor="text1"/>
                <w:lang w:val="sr-Latn-CS"/>
              </w:rPr>
            </w:pPr>
            <w:r>
              <w:rPr>
                <w:rFonts w:ascii="Arial" w:hAnsi="Arial" w:cs="Arial"/>
                <w:color w:val="000000" w:themeColor="text1"/>
                <w:lang w:val="sr-Latn-CS"/>
              </w:rPr>
              <w:t>CZST</w:t>
            </w:r>
          </w:p>
        </w:tc>
        <w:tc>
          <w:tcPr>
            <w:tcW w:w="4087"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2A24C8"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Centralnoevropska zona slobodne trgovine</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3B3244">
            <w:pPr>
              <w:pStyle w:val="TableParagraph"/>
              <w:spacing w:line="247" w:lineRule="exact"/>
              <w:ind w:left="107"/>
              <w:rPr>
                <w:rFonts w:ascii="Arial" w:hAnsi="Arial" w:cs="Arial"/>
                <w:color w:val="000000" w:themeColor="text1"/>
                <w:lang w:val="sr-Latn-CS"/>
              </w:rPr>
            </w:pPr>
            <w:r w:rsidRPr="00627140">
              <w:rPr>
                <w:rFonts w:ascii="Arial" w:hAnsi="Arial" w:cs="Arial"/>
                <w:color w:val="000000" w:themeColor="text1"/>
                <w:lang w:val="sr-Latn-CS"/>
              </w:rPr>
              <w:t>CPF</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2A24C8"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Okvir za partnerstvo sa zemljom</w:t>
            </w:r>
          </w:p>
        </w:tc>
      </w:tr>
      <w:tr w:rsidR="00627140" w:rsidRPr="00627140" w:rsidTr="003B3244">
        <w:trPr>
          <w:trHeight w:val="397"/>
        </w:trPr>
        <w:tc>
          <w:tcPr>
            <w:tcW w:w="913" w:type="pct"/>
          </w:tcPr>
          <w:p w:rsidR="00F3731A" w:rsidRPr="00627140" w:rsidRDefault="00F3731A" w:rsidP="003B3244">
            <w:pPr>
              <w:pStyle w:val="TableParagraph"/>
              <w:spacing w:line="247" w:lineRule="exact"/>
              <w:ind w:left="107"/>
              <w:rPr>
                <w:rFonts w:ascii="Arial" w:hAnsi="Arial" w:cs="Arial"/>
                <w:color w:val="000000" w:themeColor="text1"/>
                <w:lang w:val="sr-Latn-CS"/>
              </w:rPr>
            </w:pPr>
          </w:p>
          <w:p w:rsidR="00F3731A" w:rsidRPr="00627140" w:rsidRDefault="00340E58" w:rsidP="003B3244">
            <w:pPr>
              <w:pStyle w:val="TableParagraph"/>
              <w:spacing w:line="247" w:lineRule="exact"/>
              <w:ind w:left="107"/>
              <w:rPr>
                <w:rFonts w:ascii="Arial" w:hAnsi="Arial" w:cs="Arial"/>
                <w:color w:val="000000" w:themeColor="text1"/>
                <w:lang w:val="sr-Latn-CS"/>
              </w:rPr>
            </w:pPr>
            <w:r>
              <w:rPr>
                <w:rFonts w:ascii="Arial" w:hAnsi="Arial" w:cs="Arial"/>
                <w:color w:val="000000" w:themeColor="text1"/>
                <w:lang w:val="sr-Latn-CS"/>
              </w:rPr>
              <w:t>P</w:t>
            </w:r>
            <w:r w:rsidR="00880331" w:rsidRPr="00627140">
              <w:rPr>
                <w:rFonts w:ascii="Arial" w:hAnsi="Arial" w:cs="Arial"/>
                <w:color w:val="000000" w:themeColor="text1"/>
                <w:lang w:val="sr-Latn-CS"/>
              </w:rPr>
              <w:t>S</w:t>
            </w:r>
          </w:p>
        </w:tc>
        <w:tc>
          <w:tcPr>
            <w:tcW w:w="4087" w:type="pct"/>
          </w:tcPr>
          <w:p w:rsidR="00F3731A" w:rsidRPr="00627140" w:rsidRDefault="00F3731A" w:rsidP="003B3244">
            <w:pPr>
              <w:pStyle w:val="TableParagraph"/>
              <w:spacing w:line="247" w:lineRule="exact"/>
              <w:ind w:left="107"/>
              <w:rPr>
                <w:rFonts w:ascii="Arial" w:hAnsi="Arial" w:cs="Arial"/>
                <w:color w:val="000000" w:themeColor="text1"/>
                <w:lang w:val="sr-Latn-CS"/>
              </w:rPr>
            </w:pPr>
          </w:p>
          <w:p w:rsidR="00F3731A" w:rsidRPr="00627140" w:rsidRDefault="00340E58" w:rsidP="00340E58">
            <w:pPr>
              <w:pStyle w:val="TableParagraph"/>
              <w:spacing w:line="247" w:lineRule="exact"/>
              <w:ind w:left="107"/>
              <w:rPr>
                <w:rFonts w:ascii="Arial" w:hAnsi="Arial" w:cs="Arial"/>
                <w:color w:val="000000" w:themeColor="text1"/>
                <w:lang w:val="sr-Latn-CS"/>
              </w:rPr>
            </w:pPr>
            <w:r>
              <w:rPr>
                <w:rFonts w:ascii="Arial" w:hAnsi="Arial" w:cs="Arial"/>
                <w:color w:val="000000" w:themeColor="text1"/>
                <w:lang w:val="sr-Latn-CS"/>
              </w:rPr>
              <w:t xml:space="preserve">Procena </w:t>
            </w:r>
            <w:r w:rsidR="00880331" w:rsidRPr="00627140">
              <w:rPr>
                <w:rFonts w:ascii="Arial" w:hAnsi="Arial" w:cs="Arial"/>
                <w:color w:val="000000" w:themeColor="text1"/>
                <w:lang w:val="sr-Latn-CS"/>
              </w:rPr>
              <w:t>sredine</w:t>
            </w:r>
            <w:r w:rsidR="00F3731A" w:rsidRPr="00627140">
              <w:rPr>
                <w:rFonts w:ascii="Arial" w:hAnsi="Arial" w:cs="Arial"/>
                <w:color w:val="000000" w:themeColor="text1"/>
                <w:lang w:val="sr-Latn-CS"/>
              </w:rPr>
              <w:t xml:space="preserve"> </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F3731A" w:rsidP="00A81EDB">
            <w:pPr>
              <w:pStyle w:val="TableParagraph"/>
              <w:spacing w:line="247" w:lineRule="exact"/>
              <w:rPr>
                <w:rFonts w:ascii="Arial" w:hAnsi="Arial" w:cs="Arial"/>
                <w:color w:val="000000" w:themeColor="text1"/>
                <w:lang w:val="sr-Latn-CS"/>
              </w:rPr>
            </w:pPr>
            <w:r w:rsidRPr="00627140">
              <w:rPr>
                <w:rFonts w:ascii="Arial" w:hAnsi="Arial" w:cs="Arial"/>
                <w:color w:val="000000" w:themeColor="text1"/>
                <w:w w:val="90"/>
                <w:lang w:val="sr-Latn-CS"/>
              </w:rPr>
              <w:t xml:space="preserve">  </w:t>
            </w:r>
            <w:r w:rsidR="00340E58">
              <w:rPr>
                <w:rFonts w:ascii="Arial" w:hAnsi="Arial" w:cs="Arial"/>
                <w:color w:val="000000" w:themeColor="text1"/>
                <w:w w:val="90"/>
                <w:lang w:val="sr-Latn-CS"/>
              </w:rPr>
              <w:t>PU</w:t>
            </w:r>
            <w:r w:rsidR="00A81EDB" w:rsidRPr="00627140">
              <w:rPr>
                <w:rFonts w:ascii="Arial" w:hAnsi="Arial" w:cs="Arial"/>
                <w:color w:val="000000" w:themeColor="text1"/>
                <w:w w:val="90"/>
                <w:lang w:val="sr-Latn-CS"/>
              </w:rPr>
              <w:t>S</w:t>
            </w:r>
          </w:p>
        </w:tc>
        <w:tc>
          <w:tcPr>
            <w:tcW w:w="4087"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A81EDB" w:rsidP="00340E58">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Procena uticaja na sredinu</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340E58" w:rsidP="003B3244">
            <w:pPr>
              <w:pStyle w:val="TableParagraph"/>
              <w:spacing w:line="247" w:lineRule="exact"/>
              <w:ind w:left="107"/>
              <w:rPr>
                <w:rFonts w:ascii="Arial" w:hAnsi="Arial" w:cs="Arial"/>
                <w:color w:val="000000" w:themeColor="text1"/>
                <w:lang w:val="sr-Latn-CS"/>
              </w:rPr>
            </w:pPr>
            <w:r>
              <w:rPr>
                <w:rFonts w:ascii="Arial" w:hAnsi="Arial" w:cs="Arial"/>
                <w:color w:val="000000" w:themeColor="text1"/>
                <w:w w:val="90"/>
                <w:lang w:val="sr-Latn-CS"/>
              </w:rPr>
              <w:t>EBOR</w:t>
            </w:r>
          </w:p>
        </w:tc>
        <w:tc>
          <w:tcPr>
            <w:tcW w:w="4087"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A81EDB"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Evropska banka za obnovu i razvoj</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7B0F91" w:rsidP="003B3244">
            <w:pPr>
              <w:pStyle w:val="TableParagraph"/>
              <w:spacing w:line="247" w:lineRule="exact"/>
              <w:ind w:left="107"/>
              <w:rPr>
                <w:rFonts w:ascii="Arial" w:hAnsi="Arial" w:cs="Arial"/>
                <w:color w:val="000000" w:themeColor="text1"/>
                <w:lang w:val="sr-Latn-CS"/>
              </w:rPr>
            </w:pPr>
            <w:r>
              <w:rPr>
                <w:rFonts w:ascii="Arial" w:hAnsi="Arial" w:cs="Arial"/>
                <w:color w:val="000000" w:themeColor="text1"/>
                <w:w w:val="90"/>
                <w:lang w:val="sr-Latn-CS"/>
              </w:rPr>
              <w:t>OUS</w:t>
            </w:r>
            <w:r w:rsidRPr="007B0F91">
              <w:rPr>
                <w:rFonts w:ascii="Arial" w:hAnsi="Arial" w:cs="Arial"/>
                <w:color w:val="000000" w:themeColor="text1"/>
                <w:w w:val="90"/>
                <w:lang w:val="sr-Latn-CS"/>
              </w:rPr>
              <w:t>Ž</w:t>
            </w:r>
            <w:r>
              <w:rPr>
                <w:rFonts w:ascii="Arial" w:hAnsi="Arial" w:cs="Arial"/>
                <w:color w:val="000000" w:themeColor="text1"/>
                <w:w w:val="90"/>
                <w:lang w:val="sr-Latn-CS"/>
              </w:rPr>
              <w:t>S</w:t>
            </w:r>
          </w:p>
        </w:tc>
        <w:tc>
          <w:tcPr>
            <w:tcW w:w="4087"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F52652" w:rsidP="007B0F91">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RS"/>
              </w:rPr>
              <w:t xml:space="preserve">Okvir </w:t>
            </w:r>
            <w:r w:rsidR="007B0F91">
              <w:rPr>
                <w:rFonts w:ascii="Arial" w:hAnsi="Arial" w:cs="Arial"/>
                <w:color w:val="000000" w:themeColor="text1"/>
                <w:lang w:val="sr-Latn-RS"/>
              </w:rPr>
              <w:t>upravljanja socijalne</w:t>
            </w:r>
            <w:r w:rsidRPr="00627140">
              <w:rPr>
                <w:rFonts w:ascii="Arial" w:hAnsi="Arial" w:cs="Arial"/>
                <w:color w:val="000000" w:themeColor="text1"/>
                <w:lang w:val="sr-Latn-RS"/>
              </w:rPr>
              <w:t xml:space="preserve"> </w:t>
            </w:r>
            <w:r w:rsidR="007B0F91">
              <w:rPr>
                <w:rFonts w:ascii="Arial" w:hAnsi="Arial" w:cs="Arial"/>
                <w:color w:val="000000" w:themeColor="text1"/>
                <w:lang w:val="sr-Latn-RS"/>
              </w:rPr>
              <w:t xml:space="preserve">i </w:t>
            </w:r>
            <w:r w:rsidR="007B0F91">
              <w:rPr>
                <w:rFonts w:ascii="Arial" w:hAnsi="Arial" w:cs="Arial"/>
                <w:lang w:val="sr-Latn-RS"/>
              </w:rPr>
              <w:t>ž</w:t>
            </w:r>
            <w:r w:rsidR="007B0F91">
              <w:rPr>
                <w:rFonts w:ascii="Arial" w:hAnsi="Arial" w:cs="Arial"/>
                <w:color w:val="000000" w:themeColor="text1"/>
                <w:lang w:val="sr-Latn-RS"/>
              </w:rPr>
              <w:t xml:space="preserve">votne sredine </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0818B6" w:rsidP="003B3244">
            <w:pPr>
              <w:pStyle w:val="TableParagraph"/>
              <w:spacing w:line="247" w:lineRule="exact"/>
              <w:ind w:left="107"/>
              <w:rPr>
                <w:rFonts w:ascii="Arial" w:hAnsi="Arial" w:cs="Arial"/>
                <w:color w:val="000000" w:themeColor="text1"/>
                <w:lang w:val="sr-Latn-CS"/>
              </w:rPr>
            </w:pPr>
            <w:r>
              <w:rPr>
                <w:rFonts w:ascii="Arial" w:hAnsi="Arial" w:cs="Arial"/>
                <w:color w:val="000000" w:themeColor="text1"/>
                <w:w w:val="90"/>
                <w:lang w:val="sr-Latn-CS"/>
              </w:rPr>
              <w:t>PUS</w:t>
            </w:r>
            <w:r w:rsidRPr="007B0F91">
              <w:rPr>
                <w:rFonts w:ascii="Arial" w:hAnsi="Arial" w:cs="Arial"/>
                <w:color w:val="000000" w:themeColor="text1"/>
                <w:w w:val="90"/>
                <w:lang w:val="sr-Latn-CS"/>
              </w:rPr>
              <w:t>Ž</w:t>
            </w:r>
            <w:r>
              <w:rPr>
                <w:rFonts w:ascii="Arial" w:hAnsi="Arial" w:cs="Arial"/>
                <w:color w:val="000000" w:themeColor="text1"/>
                <w:w w:val="90"/>
                <w:lang w:val="sr-Latn-CS"/>
              </w:rPr>
              <w:t>S</w:t>
            </w:r>
          </w:p>
        </w:tc>
        <w:tc>
          <w:tcPr>
            <w:tcW w:w="4087"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175B16"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RS"/>
              </w:rPr>
              <w:t xml:space="preserve">Plan </w:t>
            </w:r>
            <w:r w:rsidR="000818B6">
              <w:rPr>
                <w:rFonts w:ascii="Arial" w:hAnsi="Arial" w:cs="Arial"/>
                <w:color w:val="000000" w:themeColor="text1"/>
                <w:lang w:val="sr-Latn-RS"/>
              </w:rPr>
              <w:t>upravljanja socijalne</w:t>
            </w:r>
            <w:r w:rsidR="000818B6" w:rsidRPr="00627140">
              <w:rPr>
                <w:rFonts w:ascii="Arial" w:hAnsi="Arial" w:cs="Arial"/>
                <w:color w:val="000000" w:themeColor="text1"/>
                <w:lang w:val="sr-Latn-RS"/>
              </w:rPr>
              <w:t xml:space="preserve"> </w:t>
            </w:r>
            <w:r w:rsidR="000818B6">
              <w:rPr>
                <w:rFonts w:ascii="Arial" w:hAnsi="Arial" w:cs="Arial"/>
                <w:color w:val="000000" w:themeColor="text1"/>
                <w:lang w:val="sr-Latn-RS"/>
              </w:rPr>
              <w:t xml:space="preserve">i </w:t>
            </w:r>
            <w:r w:rsidR="000818B6">
              <w:rPr>
                <w:rFonts w:ascii="Arial" w:hAnsi="Arial" w:cs="Arial"/>
                <w:lang w:val="sr-Latn-RS"/>
              </w:rPr>
              <w:t>ž</w:t>
            </w:r>
            <w:r w:rsidR="000818B6">
              <w:rPr>
                <w:rFonts w:ascii="Arial" w:hAnsi="Arial" w:cs="Arial"/>
                <w:color w:val="000000" w:themeColor="text1"/>
                <w:lang w:val="sr-Latn-RS"/>
              </w:rPr>
              <w:t>votne sredine</w:t>
            </w:r>
          </w:p>
        </w:tc>
      </w:tr>
      <w:tr w:rsidR="00627140" w:rsidRPr="00627140" w:rsidTr="003B3244">
        <w:trPr>
          <w:trHeight w:val="456"/>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3B3244">
            <w:pPr>
              <w:pStyle w:val="TableParagraph"/>
              <w:spacing w:line="247" w:lineRule="exact"/>
              <w:ind w:left="107"/>
              <w:rPr>
                <w:rFonts w:ascii="Arial" w:hAnsi="Arial" w:cs="Arial"/>
                <w:color w:val="000000" w:themeColor="text1"/>
                <w:lang w:val="sr-Latn-CS"/>
              </w:rPr>
            </w:pPr>
            <w:r w:rsidRPr="00627140">
              <w:rPr>
                <w:rFonts w:ascii="Arial" w:hAnsi="Arial" w:cs="Arial"/>
                <w:color w:val="000000" w:themeColor="text1"/>
                <w:lang w:val="sr-Latn-CS"/>
              </w:rPr>
              <w:t>ECA</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A81EDB"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Evropa i Centralna Azija</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3B3244">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EU</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A81EDB">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A81EDB" w:rsidRPr="00627140">
              <w:rPr>
                <w:rFonts w:ascii="Arial" w:hAnsi="Arial" w:cs="Arial"/>
                <w:color w:val="000000" w:themeColor="text1"/>
                <w:lang w:val="sr-Latn-CS"/>
              </w:rPr>
              <w:t>Evropska unija</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0818B6" w:rsidP="003B3244">
            <w:pPr>
              <w:pStyle w:val="TableParagraph"/>
              <w:spacing w:before="11"/>
              <w:rPr>
                <w:rFonts w:ascii="Arial" w:hAnsi="Arial" w:cs="Arial"/>
                <w:color w:val="000000" w:themeColor="text1"/>
                <w:lang w:val="sr-Latn-CS"/>
              </w:rPr>
            </w:pPr>
            <w:r>
              <w:rPr>
                <w:rFonts w:ascii="Arial" w:hAnsi="Arial" w:cs="Arial"/>
                <w:color w:val="000000" w:themeColor="text1"/>
                <w:lang w:val="sr-Latn-CS"/>
              </w:rPr>
              <w:t xml:space="preserve">  </w:t>
            </w:r>
            <w:r w:rsidR="00EE203A" w:rsidRPr="00627140">
              <w:rPr>
                <w:rFonts w:ascii="Arial" w:hAnsi="Arial" w:cs="Arial"/>
                <w:color w:val="000000" w:themeColor="text1"/>
                <w:lang w:val="sr-Latn-CS"/>
              </w:rPr>
              <w:t>KDG</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52652" w:rsidP="003B3244">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A81EDB" w:rsidRPr="00627140">
              <w:rPr>
                <w:rFonts w:ascii="Arial" w:hAnsi="Arial" w:cs="Arial"/>
                <w:color w:val="000000" w:themeColor="text1"/>
                <w:lang w:val="sr-Latn-CS"/>
              </w:rPr>
              <w:t xml:space="preserve">Komisija za dodelu </w:t>
            </w:r>
            <w:r w:rsidR="00EE203A" w:rsidRPr="00627140">
              <w:rPr>
                <w:rFonts w:ascii="Arial" w:hAnsi="Arial" w:cs="Arial"/>
                <w:color w:val="000000" w:themeColor="text1"/>
                <w:lang w:val="sr-Latn-CS"/>
              </w:rPr>
              <w:t>g</w:t>
            </w:r>
            <w:r w:rsidR="00A81EDB" w:rsidRPr="00627140">
              <w:rPr>
                <w:rFonts w:ascii="Arial" w:hAnsi="Arial" w:cs="Arial"/>
                <w:color w:val="000000" w:themeColor="text1"/>
                <w:lang w:val="sr-Latn-CS"/>
              </w:rPr>
              <w:t>rantova</w:t>
            </w:r>
            <w:r w:rsidR="00F3731A" w:rsidRPr="00627140">
              <w:rPr>
                <w:rFonts w:ascii="Arial" w:hAnsi="Arial" w:cs="Arial"/>
                <w:color w:val="000000" w:themeColor="text1"/>
                <w:lang w:val="sr-Latn-CS"/>
              </w:rPr>
              <w:t xml:space="preserve"> </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A81EDB">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A81EDB" w:rsidRPr="00627140">
              <w:rPr>
                <w:rFonts w:ascii="Arial" w:hAnsi="Arial" w:cs="Arial"/>
                <w:color w:val="000000" w:themeColor="text1"/>
                <w:lang w:val="sr-Latn-CS"/>
              </w:rPr>
              <w:t>BDP</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A81EDB">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A81EDB" w:rsidRPr="00627140">
              <w:rPr>
                <w:rFonts w:ascii="Arial" w:hAnsi="Arial" w:cs="Arial"/>
                <w:color w:val="000000" w:themeColor="text1"/>
                <w:lang w:val="sr-Latn-CS"/>
              </w:rPr>
              <w:t>Bruto domaći proizvod</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EE203A">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EE203A" w:rsidRPr="00627140">
              <w:rPr>
                <w:rFonts w:ascii="Arial" w:hAnsi="Arial" w:cs="Arial"/>
                <w:color w:val="000000" w:themeColor="text1"/>
                <w:lang w:val="sr-Latn-CS"/>
              </w:rPr>
              <w:t>MUŽ</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A81EDB">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A81EDB" w:rsidRPr="00627140">
              <w:rPr>
                <w:rFonts w:ascii="Arial" w:hAnsi="Arial" w:cs="Arial"/>
                <w:color w:val="000000" w:themeColor="text1"/>
                <w:lang w:val="sr-Latn-CS"/>
              </w:rPr>
              <w:t>Mehanizam za upućivanje žalbi</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0818B6" w:rsidP="003B3244">
            <w:pPr>
              <w:pStyle w:val="TableParagraph"/>
              <w:spacing w:before="11"/>
              <w:rPr>
                <w:rFonts w:ascii="Arial" w:hAnsi="Arial" w:cs="Arial"/>
                <w:color w:val="000000" w:themeColor="text1"/>
                <w:lang w:val="sr-Latn-CS"/>
              </w:rPr>
            </w:pPr>
            <w:r>
              <w:rPr>
                <w:rFonts w:ascii="Arial" w:hAnsi="Arial" w:cs="Arial"/>
                <w:color w:val="000000" w:themeColor="text1"/>
                <w:lang w:val="sr-Latn-CS"/>
              </w:rPr>
              <w:t xml:space="preserve">  </w:t>
            </w:r>
            <w:r w:rsidR="00A81EDB" w:rsidRPr="00627140">
              <w:rPr>
                <w:rFonts w:ascii="Arial" w:hAnsi="Arial" w:cs="Arial"/>
                <w:color w:val="000000" w:themeColor="text1"/>
                <w:lang w:val="sr-Latn-CS"/>
              </w:rPr>
              <w:t>VK</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A81EDB">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A81EDB" w:rsidRPr="00627140">
              <w:rPr>
                <w:rFonts w:ascii="Arial" w:hAnsi="Arial" w:cs="Arial"/>
                <w:color w:val="000000" w:themeColor="text1"/>
                <w:lang w:val="sr-Latn-CS"/>
              </w:rPr>
              <w:t>Vlada Kosova</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EE203A" w:rsidP="003B3244">
            <w:pPr>
              <w:pStyle w:val="TableParagraph"/>
              <w:spacing w:line="247" w:lineRule="exact"/>
              <w:ind w:left="107"/>
              <w:rPr>
                <w:rFonts w:ascii="Arial" w:hAnsi="Arial" w:cs="Arial"/>
                <w:color w:val="000000" w:themeColor="text1"/>
                <w:lang w:val="sr-Latn-CS"/>
              </w:rPr>
            </w:pPr>
            <w:r w:rsidRPr="00627140">
              <w:rPr>
                <w:rFonts w:ascii="Arial" w:hAnsi="Arial" w:cs="Arial"/>
                <w:color w:val="000000" w:themeColor="text1"/>
                <w:lang w:val="sr-Latn-CS"/>
              </w:rPr>
              <w:t>M</w:t>
            </w:r>
            <w:r w:rsidR="00F3731A" w:rsidRPr="00627140">
              <w:rPr>
                <w:rFonts w:ascii="Arial" w:hAnsi="Arial" w:cs="Arial"/>
                <w:color w:val="000000" w:themeColor="text1"/>
                <w:lang w:val="sr-Latn-CS"/>
              </w:rPr>
              <w:t>MF</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995EEB"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Međunarodni monetarni fond</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627140" w:rsidP="003B3244">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JSRF</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995EEB">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995EEB" w:rsidRPr="00627140">
              <w:rPr>
                <w:rFonts w:ascii="Arial" w:hAnsi="Arial" w:cs="Arial"/>
                <w:color w:val="000000" w:themeColor="text1"/>
                <w:lang w:val="sr-Latn-CS"/>
              </w:rPr>
              <w:t>Japanski socijalni razvojni fond</w:t>
            </w:r>
          </w:p>
        </w:tc>
      </w:tr>
      <w:tr w:rsidR="00627140" w:rsidRPr="00627140" w:rsidTr="003B3244">
        <w:trPr>
          <w:trHeight w:val="397"/>
        </w:trPr>
        <w:tc>
          <w:tcPr>
            <w:tcW w:w="913" w:type="pct"/>
          </w:tcPr>
          <w:p w:rsidR="00F3731A" w:rsidRPr="00627140" w:rsidRDefault="00F3731A" w:rsidP="003B3244">
            <w:pPr>
              <w:pStyle w:val="TableParagraph"/>
              <w:spacing w:line="247" w:lineRule="exact"/>
              <w:rPr>
                <w:rFonts w:ascii="Arial" w:hAnsi="Arial" w:cs="Arial"/>
                <w:color w:val="000000" w:themeColor="text1"/>
                <w:lang w:val="sr-Latn-CS"/>
              </w:rPr>
            </w:pPr>
          </w:p>
          <w:p w:rsidR="00F3731A" w:rsidRPr="00627140" w:rsidRDefault="00F3731A" w:rsidP="00995EEB">
            <w:pPr>
              <w:pStyle w:val="TableParagraph"/>
              <w:spacing w:line="247" w:lineRule="exact"/>
              <w:rPr>
                <w:rFonts w:ascii="Arial" w:hAnsi="Arial" w:cs="Arial"/>
                <w:color w:val="000000" w:themeColor="text1"/>
                <w:lang w:val="sr-Latn-CS"/>
              </w:rPr>
            </w:pPr>
            <w:r w:rsidRPr="00627140">
              <w:rPr>
                <w:rFonts w:ascii="Arial" w:hAnsi="Arial" w:cs="Arial"/>
                <w:color w:val="000000" w:themeColor="text1"/>
                <w:lang w:val="sr-Latn-CS"/>
              </w:rPr>
              <w:t xml:space="preserve">  </w:t>
            </w:r>
            <w:r w:rsidR="00995EEB" w:rsidRPr="00627140">
              <w:rPr>
                <w:rFonts w:ascii="Arial" w:hAnsi="Arial" w:cs="Arial"/>
                <w:color w:val="000000" w:themeColor="text1"/>
                <w:lang w:val="sr-Latn-CS"/>
              </w:rPr>
              <w:t>KAZŽS</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995EEB"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Kosovska agencija za zaštitu životne sredine</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995EEB" w:rsidP="003B3244">
            <w:pPr>
              <w:pStyle w:val="TableParagraph"/>
              <w:spacing w:before="11" w:line="245" w:lineRule="exact"/>
              <w:ind w:left="107"/>
              <w:rPr>
                <w:rFonts w:ascii="Arial" w:hAnsi="Arial" w:cs="Arial"/>
                <w:color w:val="000000" w:themeColor="text1"/>
                <w:lang w:val="sr-Latn-CS"/>
              </w:rPr>
            </w:pPr>
            <w:r w:rsidRPr="00627140">
              <w:rPr>
                <w:rFonts w:ascii="Arial" w:hAnsi="Arial" w:cs="Arial"/>
                <w:color w:val="000000" w:themeColor="text1"/>
                <w:lang w:val="sr-Latn-CS"/>
              </w:rPr>
              <w:t>KKUD</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995EEB" w:rsidP="003B3244">
            <w:pPr>
              <w:pStyle w:val="TableParagraph"/>
              <w:spacing w:before="11" w:line="245" w:lineRule="exact"/>
              <w:ind w:left="108"/>
              <w:rPr>
                <w:rFonts w:ascii="Arial" w:hAnsi="Arial" w:cs="Arial"/>
                <w:color w:val="000000" w:themeColor="text1"/>
                <w:lang w:val="sr-Latn-CS"/>
              </w:rPr>
            </w:pPr>
            <w:r w:rsidRPr="00627140">
              <w:rPr>
                <w:rFonts w:ascii="Arial" w:hAnsi="Arial" w:cs="Arial"/>
                <w:color w:val="000000" w:themeColor="text1"/>
                <w:lang w:val="sr-Latn-CS"/>
              </w:rPr>
              <w:t>Kosovska kompanija za upravljanje deponijama</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627140">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627140" w:rsidRPr="00627140">
              <w:rPr>
                <w:rFonts w:ascii="Arial" w:hAnsi="Arial" w:cs="Arial"/>
                <w:color w:val="000000" w:themeColor="text1"/>
                <w:lang w:val="sr-Latn-CS"/>
              </w:rPr>
              <w:t>OPK</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E572EF">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E572EF" w:rsidRPr="00627140">
              <w:rPr>
                <w:rFonts w:ascii="Arial" w:hAnsi="Arial" w:cs="Arial"/>
                <w:color w:val="000000" w:themeColor="text1"/>
                <w:lang w:val="sr-Latn-CS"/>
              </w:rPr>
              <w:t>Okv</w:t>
            </w:r>
            <w:r w:rsidR="00EE203A" w:rsidRPr="00627140">
              <w:rPr>
                <w:rFonts w:ascii="Arial" w:hAnsi="Arial" w:cs="Arial"/>
                <w:color w:val="000000" w:themeColor="text1"/>
                <w:lang w:val="sr-Latn-CS"/>
              </w:rPr>
              <w:t xml:space="preserve">ir za </w:t>
            </w:r>
            <w:r w:rsidR="00E572EF" w:rsidRPr="00627140">
              <w:rPr>
                <w:rFonts w:ascii="Arial" w:hAnsi="Arial" w:cs="Arial"/>
                <w:color w:val="000000" w:themeColor="text1"/>
                <w:lang w:val="sr-Latn-CS"/>
              </w:rPr>
              <w:t xml:space="preserve"> partnerstvo sa Kosovom</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E572EF" w:rsidP="003B3244">
            <w:pPr>
              <w:pStyle w:val="TableParagraph"/>
              <w:spacing w:before="11" w:line="245" w:lineRule="exact"/>
              <w:ind w:left="107"/>
              <w:rPr>
                <w:rFonts w:ascii="Arial" w:hAnsi="Arial" w:cs="Arial"/>
                <w:color w:val="000000" w:themeColor="text1"/>
                <w:lang w:val="sr-Latn-CS"/>
              </w:rPr>
            </w:pPr>
            <w:r w:rsidRPr="00627140">
              <w:rPr>
                <w:rFonts w:ascii="Arial" w:hAnsi="Arial" w:cs="Arial"/>
                <w:color w:val="000000" w:themeColor="text1"/>
                <w:lang w:val="sr-Latn-CS"/>
              </w:rPr>
              <w:t>MALS</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E572EF" w:rsidP="003B3244">
            <w:pPr>
              <w:pStyle w:val="TableParagraph"/>
              <w:spacing w:before="11" w:line="245" w:lineRule="exact"/>
              <w:ind w:left="108"/>
              <w:rPr>
                <w:rFonts w:ascii="Arial" w:hAnsi="Arial" w:cs="Arial"/>
                <w:color w:val="000000" w:themeColor="text1"/>
                <w:lang w:val="sr-Latn-CS"/>
              </w:rPr>
            </w:pPr>
            <w:r w:rsidRPr="00627140">
              <w:rPr>
                <w:rFonts w:ascii="Arial" w:hAnsi="Arial" w:cs="Arial"/>
                <w:color w:val="000000" w:themeColor="text1"/>
                <w:lang w:val="sr-Latn-CS"/>
              </w:rPr>
              <w:t xml:space="preserve">Ministarstvo administracije lokalne samouprave </w:t>
            </w:r>
          </w:p>
        </w:tc>
      </w:tr>
      <w:tr w:rsidR="00627140" w:rsidRPr="00627140" w:rsidTr="003B3244">
        <w:trPr>
          <w:trHeight w:val="397"/>
        </w:trPr>
        <w:tc>
          <w:tcPr>
            <w:tcW w:w="913" w:type="pct"/>
          </w:tcPr>
          <w:p w:rsidR="00F3731A" w:rsidRPr="00627140" w:rsidRDefault="00F3731A" w:rsidP="003B3244">
            <w:pPr>
              <w:pStyle w:val="TableParagraph"/>
              <w:spacing w:before="1"/>
              <w:rPr>
                <w:rFonts w:ascii="Arial" w:hAnsi="Arial" w:cs="Arial"/>
                <w:b/>
                <w:color w:val="000000" w:themeColor="text1"/>
                <w:lang w:val="sr-Latn-CS"/>
              </w:rPr>
            </w:pPr>
          </w:p>
          <w:p w:rsidR="00F3731A" w:rsidRPr="00627140" w:rsidRDefault="00E572EF" w:rsidP="003B3244">
            <w:pPr>
              <w:pStyle w:val="TableParagraph"/>
              <w:spacing w:before="1" w:line="247" w:lineRule="exact"/>
              <w:ind w:left="107"/>
              <w:rPr>
                <w:rFonts w:ascii="Arial" w:hAnsi="Arial" w:cs="Arial"/>
                <w:color w:val="000000" w:themeColor="text1"/>
                <w:lang w:val="sr-Latn-CS"/>
              </w:rPr>
            </w:pPr>
            <w:r w:rsidRPr="00627140">
              <w:rPr>
                <w:rFonts w:ascii="Arial" w:hAnsi="Arial" w:cs="Arial"/>
                <w:color w:val="000000" w:themeColor="text1"/>
                <w:lang w:val="sr-Latn-CS"/>
              </w:rPr>
              <w:t>MER</w:t>
            </w:r>
          </w:p>
        </w:tc>
        <w:tc>
          <w:tcPr>
            <w:tcW w:w="4087" w:type="pct"/>
          </w:tcPr>
          <w:p w:rsidR="00F3731A" w:rsidRPr="00627140" w:rsidRDefault="00F3731A" w:rsidP="003B3244">
            <w:pPr>
              <w:pStyle w:val="TableParagraph"/>
              <w:spacing w:before="1"/>
              <w:rPr>
                <w:rFonts w:ascii="Arial" w:hAnsi="Arial" w:cs="Arial"/>
                <w:b/>
                <w:color w:val="000000" w:themeColor="text1"/>
                <w:lang w:val="sr-Latn-CS"/>
              </w:rPr>
            </w:pPr>
          </w:p>
          <w:p w:rsidR="00F3731A" w:rsidRPr="00627140" w:rsidRDefault="00E572EF" w:rsidP="003B3244">
            <w:pPr>
              <w:pStyle w:val="TableParagraph"/>
              <w:spacing w:before="1" w:line="247" w:lineRule="exact"/>
              <w:ind w:left="108"/>
              <w:rPr>
                <w:rFonts w:ascii="Arial" w:hAnsi="Arial" w:cs="Arial"/>
                <w:color w:val="000000" w:themeColor="text1"/>
                <w:lang w:val="sr-Latn-CS"/>
              </w:rPr>
            </w:pPr>
            <w:r w:rsidRPr="00627140">
              <w:rPr>
                <w:rFonts w:ascii="Arial" w:hAnsi="Arial" w:cs="Arial"/>
                <w:color w:val="000000" w:themeColor="text1"/>
                <w:lang w:val="sr-Latn-CS"/>
              </w:rPr>
              <w:t>Ministarstvo ekonomskog razvoja</w:t>
            </w:r>
          </w:p>
        </w:tc>
      </w:tr>
      <w:tr w:rsidR="00627140" w:rsidRPr="00627140" w:rsidTr="003B3244">
        <w:trPr>
          <w:trHeight w:val="397"/>
        </w:trPr>
        <w:tc>
          <w:tcPr>
            <w:tcW w:w="913" w:type="pct"/>
          </w:tcPr>
          <w:p w:rsidR="00F3731A" w:rsidRPr="00627140" w:rsidRDefault="00F3731A" w:rsidP="003B3244">
            <w:pPr>
              <w:pStyle w:val="TableParagraph"/>
              <w:spacing w:before="11" w:line="245" w:lineRule="exact"/>
              <w:ind w:left="107"/>
              <w:rPr>
                <w:rFonts w:ascii="Arial" w:hAnsi="Arial" w:cs="Arial"/>
                <w:color w:val="000000" w:themeColor="text1"/>
                <w:lang w:val="sr-Latn-CS"/>
              </w:rPr>
            </w:pPr>
          </w:p>
          <w:p w:rsidR="00F3731A" w:rsidRPr="00627140" w:rsidRDefault="00E572EF" w:rsidP="003B3244">
            <w:pPr>
              <w:pStyle w:val="TableParagraph"/>
              <w:spacing w:before="11" w:line="245" w:lineRule="exact"/>
              <w:ind w:left="107"/>
              <w:rPr>
                <w:rFonts w:ascii="Arial" w:hAnsi="Arial" w:cs="Arial"/>
                <w:color w:val="000000" w:themeColor="text1"/>
                <w:lang w:val="sr-Latn-CS"/>
              </w:rPr>
            </w:pPr>
            <w:r w:rsidRPr="00627140">
              <w:rPr>
                <w:rFonts w:ascii="Arial" w:hAnsi="Arial" w:cs="Arial"/>
                <w:color w:val="000000" w:themeColor="text1"/>
                <w:lang w:val="sr-Latn-CS"/>
              </w:rPr>
              <w:t>MŽSPP</w:t>
            </w:r>
          </w:p>
        </w:tc>
        <w:tc>
          <w:tcPr>
            <w:tcW w:w="4087" w:type="pct"/>
          </w:tcPr>
          <w:p w:rsidR="00F3731A" w:rsidRPr="00627140" w:rsidRDefault="00F3731A" w:rsidP="003B3244">
            <w:pPr>
              <w:pStyle w:val="TableParagraph"/>
              <w:spacing w:before="11" w:line="245" w:lineRule="exact"/>
              <w:ind w:left="107"/>
              <w:rPr>
                <w:rFonts w:ascii="Arial" w:hAnsi="Arial" w:cs="Arial"/>
                <w:color w:val="000000" w:themeColor="text1"/>
                <w:lang w:val="sr-Latn-CS"/>
              </w:rPr>
            </w:pPr>
          </w:p>
          <w:p w:rsidR="00F3731A" w:rsidRPr="00627140" w:rsidRDefault="00E572EF" w:rsidP="003B3244">
            <w:pPr>
              <w:pStyle w:val="TableParagraph"/>
              <w:spacing w:before="11" w:line="245" w:lineRule="exact"/>
              <w:ind w:left="107"/>
              <w:rPr>
                <w:rFonts w:ascii="Arial" w:hAnsi="Arial" w:cs="Arial"/>
                <w:color w:val="000000" w:themeColor="text1"/>
                <w:lang w:val="sr-Latn-CS"/>
              </w:rPr>
            </w:pPr>
            <w:r w:rsidRPr="00627140">
              <w:rPr>
                <w:rFonts w:ascii="Arial" w:hAnsi="Arial" w:cs="Arial"/>
                <w:color w:val="000000" w:themeColor="text1"/>
                <w:lang w:val="sr-Latn-CS"/>
              </w:rPr>
              <w:t>Ministarstvo za životnu sredinu i prostorno planiranje</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E572EF" w:rsidP="003B3244">
            <w:pPr>
              <w:pStyle w:val="TableParagraph"/>
              <w:spacing w:line="247" w:lineRule="exact"/>
              <w:ind w:left="107"/>
              <w:rPr>
                <w:rFonts w:ascii="Arial" w:hAnsi="Arial" w:cs="Arial"/>
                <w:color w:val="000000" w:themeColor="text1"/>
                <w:lang w:val="sr-Latn-CS"/>
              </w:rPr>
            </w:pPr>
            <w:r w:rsidRPr="00627140">
              <w:rPr>
                <w:rFonts w:ascii="Arial" w:hAnsi="Arial" w:cs="Arial"/>
                <w:color w:val="000000" w:themeColor="text1"/>
                <w:lang w:val="sr-Latn-CS"/>
              </w:rPr>
              <w:t>NVO</w:t>
            </w:r>
          </w:p>
        </w:tc>
        <w:tc>
          <w:tcPr>
            <w:tcW w:w="4087"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E572EF"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Nevladina organizacija</w:t>
            </w:r>
            <w:r w:rsidR="00F3731A" w:rsidRPr="00627140">
              <w:rPr>
                <w:rFonts w:ascii="Arial" w:hAnsi="Arial" w:cs="Arial"/>
                <w:color w:val="000000" w:themeColor="text1"/>
                <w:lang w:val="sr-Latn-CS"/>
              </w:rPr>
              <w:t xml:space="preserve"> </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E572EF">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E572EF" w:rsidRPr="00627140">
              <w:rPr>
                <w:rFonts w:ascii="Arial" w:hAnsi="Arial" w:cs="Arial"/>
                <w:color w:val="000000" w:themeColor="text1"/>
                <w:lang w:val="sr-Latn-CS"/>
              </w:rPr>
              <w:t>JUP</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E572EF">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E572EF" w:rsidRPr="00627140">
              <w:rPr>
                <w:rFonts w:ascii="Arial" w:hAnsi="Arial" w:cs="Arial"/>
                <w:color w:val="000000" w:themeColor="text1"/>
                <w:lang w:val="sr-Latn-CS"/>
              </w:rPr>
              <w:t xml:space="preserve">Jedinica za upravljanje projektom </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F3731A" w:rsidP="004A7FAE">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4A7FAE" w:rsidRPr="00627140">
              <w:rPr>
                <w:rFonts w:ascii="Arial" w:hAnsi="Arial" w:cs="Arial"/>
                <w:color w:val="000000" w:themeColor="text1"/>
                <w:lang w:val="sr-Latn-CS"/>
              </w:rPr>
              <w:t>ZPK</w:t>
            </w:r>
          </w:p>
        </w:tc>
        <w:tc>
          <w:tcPr>
            <w:tcW w:w="4087" w:type="pct"/>
          </w:tcPr>
          <w:p w:rsidR="00F3731A" w:rsidRPr="00627140" w:rsidRDefault="00F3731A" w:rsidP="003B3244">
            <w:pPr>
              <w:pStyle w:val="TableParagraph"/>
              <w:spacing w:before="11"/>
              <w:rPr>
                <w:rFonts w:ascii="Arial" w:hAnsi="Arial" w:cs="Arial"/>
                <w:b/>
                <w:color w:val="000000" w:themeColor="text1"/>
                <w:lang w:val="sr-Latn-CS"/>
              </w:rPr>
            </w:pPr>
          </w:p>
          <w:p w:rsidR="00F3731A" w:rsidRPr="00627140" w:rsidRDefault="004A7FAE" w:rsidP="003B3244">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Zaštićena područja Kosova</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4A7FAE" w:rsidP="003B3244">
            <w:pPr>
              <w:pStyle w:val="TableParagraph"/>
              <w:spacing w:line="247" w:lineRule="exact"/>
              <w:ind w:left="107"/>
              <w:rPr>
                <w:rFonts w:ascii="Arial" w:hAnsi="Arial" w:cs="Arial"/>
                <w:color w:val="000000" w:themeColor="text1"/>
                <w:lang w:val="sr-Latn-CS"/>
              </w:rPr>
            </w:pPr>
            <w:r w:rsidRPr="00627140">
              <w:rPr>
                <w:rFonts w:ascii="Arial" w:hAnsi="Arial" w:cs="Arial"/>
                <w:color w:val="000000" w:themeColor="text1"/>
                <w:lang w:val="sr-Latn-CS"/>
              </w:rPr>
              <w:t>ZSR</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4A7FAE"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Zdravlje i sigurnost na radu</w:t>
            </w:r>
          </w:p>
        </w:tc>
      </w:tr>
      <w:tr w:rsidR="00627140" w:rsidRPr="00627140" w:rsidTr="003B3244">
        <w:trPr>
          <w:trHeight w:val="397"/>
        </w:trPr>
        <w:tc>
          <w:tcPr>
            <w:tcW w:w="913"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4A7FAE">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4A7FAE" w:rsidRPr="00627140">
              <w:rPr>
                <w:rFonts w:ascii="Arial" w:hAnsi="Arial" w:cs="Arial"/>
                <w:color w:val="000000" w:themeColor="text1"/>
                <w:lang w:val="sr-Latn-CS"/>
              </w:rPr>
              <w:t>SSP</w:t>
            </w:r>
          </w:p>
        </w:tc>
        <w:tc>
          <w:tcPr>
            <w:tcW w:w="4087" w:type="pct"/>
          </w:tcPr>
          <w:p w:rsidR="00F3731A" w:rsidRPr="00627140" w:rsidRDefault="00F3731A" w:rsidP="003B3244">
            <w:pPr>
              <w:pStyle w:val="TableParagraph"/>
              <w:spacing w:before="11"/>
              <w:rPr>
                <w:rFonts w:ascii="Arial" w:hAnsi="Arial" w:cs="Arial"/>
                <w:color w:val="000000" w:themeColor="text1"/>
                <w:lang w:val="sr-Latn-CS"/>
              </w:rPr>
            </w:pPr>
          </w:p>
          <w:p w:rsidR="00F3731A" w:rsidRPr="00627140" w:rsidRDefault="00F3731A" w:rsidP="004A7FAE">
            <w:pPr>
              <w:pStyle w:val="TableParagraph"/>
              <w:spacing w:before="11"/>
              <w:rPr>
                <w:rFonts w:ascii="Arial" w:hAnsi="Arial" w:cs="Arial"/>
                <w:color w:val="000000" w:themeColor="text1"/>
                <w:lang w:val="sr-Latn-CS"/>
              </w:rPr>
            </w:pPr>
            <w:r w:rsidRPr="00627140">
              <w:rPr>
                <w:rFonts w:ascii="Arial" w:hAnsi="Arial" w:cs="Arial"/>
                <w:color w:val="000000" w:themeColor="text1"/>
                <w:lang w:val="sr-Latn-CS"/>
              </w:rPr>
              <w:t xml:space="preserve">  </w:t>
            </w:r>
            <w:r w:rsidR="004A7FAE" w:rsidRPr="00627140">
              <w:rPr>
                <w:rFonts w:ascii="Arial" w:hAnsi="Arial" w:cs="Arial"/>
                <w:color w:val="000000" w:themeColor="text1"/>
                <w:lang w:val="sr-Latn-CS"/>
              </w:rPr>
              <w:t>Sporazum o stabilizaciji i pridruživanju</w:t>
            </w:r>
            <w:r w:rsidRPr="00627140">
              <w:rPr>
                <w:rFonts w:ascii="Arial" w:hAnsi="Arial" w:cs="Arial"/>
                <w:color w:val="000000" w:themeColor="text1"/>
                <w:lang w:val="sr-Latn-CS"/>
              </w:rPr>
              <w:t xml:space="preserve"> </w:t>
            </w:r>
          </w:p>
        </w:tc>
      </w:tr>
      <w:tr w:rsidR="00627140" w:rsidRPr="00627140" w:rsidTr="003B3244">
        <w:trPr>
          <w:trHeight w:val="397"/>
        </w:trPr>
        <w:tc>
          <w:tcPr>
            <w:tcW w:w="913" w:type="pct"/>
          </w:tcPr>
          <w:p w:rsidR="00F3731A" w:rsidRPr="00627140" w:rsidRDefault="00F3731A" w:rsidP="003B3244">
            <w:pPr>
              <w:pStyle w:val="TableParagraph"/>
              <w:spacing w:line="247" w:lineRule="exact"/>
              <w:rPr>
                <w:rFonts w:ascii="Arial" w:hAnsi="Arial" w:cs="Arial"/>
                <w:color w:val="000000" w:themeColor="text1"/>
                <w:w w:val="90"/>
                <w:lang w:val="sr-Latn-CS"/>
              </w:rPr>
            </w:pPr>
          </w:p>
          <w:p w:rsidR="00F3731A" w:rsidRPr="00627140" w:rsidRDefault="00F3731A" w:rsidP="009B76B8">
            <w:pPr>
              <w:pStyle w:val="TableParagraph"/>
              <w:spacing w:line="247" w:lineRule="exact"/>
              <w:rPr>
                <w:rFonts w:ascii="Arial" w:hAnsi="Arial" w:cs="Arial"/>
                <w:color w:val="000000" w:themeColor="text1"/>
                <w:lang w:val="sr-Latn-CS"/>
              </w:rPr>
            </w:pPr>
            <w:r w:rsidRPr="00627140">
              <w:rPr>
                <w:rFonts w:ascii="Arial" w:hAnsi="Arial" w:cs="Arial"/>
                <w:color w:val="000000" w:themeColor="text1"/>
                <w:w w:val="90"/>
                <w:lang w:val="sr-Latn-CS"/>
              </w:rPr>
              <w:t xml:space="preserve">  </w:t>
            </w:r>
            <w:r w:rsidR="009B76B8" w:rsidRPr="00627140">
              <w:rPr>
                <w:rFonts w:ascii="Arial" w:hAnsi="Arial" w:cs="Arial"/>
                <w:color w:val="000000" w:themeColor="text1"/>
                <w:w w:val="90"/>
                <w:lang w:val="sr-Latn-CS"/>
              </w:rPr>
              <w:t>ZM</w:t>
            </w:r>
          </w:p>
        </w:tc>
        <w:tc>
          <w:tcPr>
            <w:tcW w:w="4087" w:type="pct"/>
          </w:tcPr>
          <w:p w:rsidR="00F3731A" w:rsidRPr="00627140" w:rsidRDefault="00F3731A" w:rsidP="003B3244">
            <w:pPr>
              <w:pStyle w:val="TableParagraph"/>
              <w:spacing w:line="247" w:lineRule="exact"/>
              <w:ind w:left="108"/>
              <w:rPr>
                <w:rFonts w:ascii="Arial" w:hAnsi="Arial" w:cs="Arial"/>
                <w:color w:val="000000" w:themeColor="text1"/>
                <w:lang w:val="sr-Latn-CS"/>
              </w:rPr>
            </w:pPr>
          </w:p>
          <w:p w:rsidR="00F3731A" w:rsidRPr="00627140" w:rsidRDefault="009B76B8" w:rsidP="003B3244">
            <w:pPr>
              <w:pStyle w:val="TableParagraph"/>
              <w:spacing w:line="247" w:lineRule="exact"/>
              <w:ind w:left="108"/>
              <w:rPr>
                <w:rFonts w:ascii="Arial" w:hAnsi="Arial" w:cs="Arial"/>
                <w:color w:val="000000" w:themeColor="text1"/>
                <w:lang w:val="sr-Latn-CS"/>
              </w:rPr>
            </w:pPr>
            <w:r w:rsidRPr="00627140">
              <w:rPr>
                <w:rFonts w:ascii="Arial" w:hAnsi="Arial" w:cs="Arial"/>
                <w:color w:val="000000" w:themeColor="text1"/>
                <w:lang w:val="sr-Latn-CS"/>
              </w:rPr>
              <w:t>Zaštitna mera</w:t>
            </w:r>
            <w:r w:rsidR="00F3731A" w:rsidRPr="00627140">
              <w:rPr>
                <w:rFonts w:ascii="Arial" w:hAnsi="Arial" w:cs="Arial"/>
                <w:color w:val="000000" w:themeColor="text1"/>
                <w:lang w:val="sr-Latn-CS"/>
              </w:rPr>
              <w:t xml:space="preserve"> </w:t>
            </w:r>
          </w:p>
        </w:tc>
      </w:tr>
      <w:tr w:rsidR="00627140" w:rsidRPr="00627140" w:rsidTr="003B3244">
        <w:trPr>
          <w:trHeight w:val="397"/>
        </w:trPr>
        <w:tc>
          <w:tcPr>
            <w:tcW w:w="913" w:type="pct"/>
          </w:tcPr>
          <w:p w:rsidR="00F3731A" w:rsidRPr="00627140" w:rsidRDefault="00F3731A" w:rsidP="003B3244">
            <w:pPr>
              <w:pStyle w:val="TableParagraph"/>
              <w:spacing w:before="1" w:line="247" w:lineRule="exact"/>
              <w:ind w:left="107"/>
              <w:rPr>
                <w:rFonts w:ascii="Arial" w:hAnsi="Arial" w:cs="Arial"/>
                <w:color w:val="000000" w:themeColor="text1"/>
                <w:w w:val="95"/>
                <w:lang w:val="sr-Latn-CS"/>
              </w:rPr>
            </w:pPr>
          </w:p>
          <w:p w:rsidR="00F3731A" w:rsidRPr="00627140" w:rsidRDefault="00627140" w:rsidP="003B3244">
            <w:pPr>
              <w:pStyle w:val="TableParagraph"/>
              <w:spacing w:before="1" w:line="247" w:lineRule="exact"/>
              <w:ind w:left="107"/>
              <w:rPr>
                <w:rFonts w:ascii="Arial" w:hAnsi="Arial" w:cs="Arial"/>
                <w:color w:val="000000" w:themeColor="text1"/>
                <w:lang w:val="sr-Latn-CS"/>
              </w:rPr>
            </w:pPr>
            <w:r w:rsidRPr="00627140">
              <w:rPr>
                <w:rFonts w:ascii="Arial" w:hAnsi="Arial" w:cs="Arial"/>
                <w:color w:val="000000" w:themeColor="text1"/>
                <w:w w:val="95"/>
                <w:lang w:val="sr-Latn-CS"/>
              </w:rPr>
              <w:t>PLRKUM</w:t>
            </w:r>
          </w:p>
        </w:tc>
        <w:tc>
          <w:tcPr>
            <w:tcW w:w="4087" w:type="pct"/>
          </w:tcPr>
          <w:p w:rsidR="00F3731A" w:rsidRPr="00627140" w:rsidRDefault="00F3731A" w:rsidP="003B3244">
            <w:pPr>
              <w:pStyle w:val="TableParagraph"/>
              <w:spacing w:before="1" w:line="247" w:lineRule="exact"/>
              <w:ind w:left="108"/>
              <w:rPr>
                <w:rFonts w:ascii="Arial" w:hAnsi="Arial" w:cs="Arial"/>
                <w:color w:val="000000" w:themeColor="text1"/>
                <w:lang w:val="sr-Latn-CS"/>
              </w:rPr>
            </w:pPr>
          </w:p>
          <w:p w:rsidR="00F3731A" w:rsidRPr="00627140" w:rsidRDefault="00175B16" w:rsidP="003B3244">
            <w:pPr>
              <w:pStyle w:val="TableParagraph"/>
              <w:spacing w:before="1" w:line="247" w:lineRule="exact"/>
              <w:ind w:left="108"/>
              <w:rPr>
                <w:rFonts w:ascii="Arial" w:hAnsi="Arial" w:cs="Arial"/>
                <w:color w:val="000000" w:themeColor="text1"/>
                <w:lang w:val="sr-Latn-CS"/>
              </w:rPr>
            </w:pPr>
            <w:r w:rsidRPr="00627140">
              <w:rPr>
                <w:rFonts w:ascii="Arial" w:hAnsi="Arial" w:cs="Arial"/>
                <w:color w:val="000000" w:themeColor="text1"/>
                <w:lang w:val="sr-Latn-RS"/>
              </w:rPr>
              <w:t>Podrška lokalnom razvoju na Kosovu uz uključivanje mladih</w:t>
            </w:r>
          </w:p>
        </w:tc>
      </w:tr>
      <w:tr w:rsidR="00627140" w:rsidRPr="00627140" w:rsidTr="00627140">
        <w:trPr>
          <w:trHeight w:val="602"/>
        </w:trPr>
        <w:tc>
          <w:tcPr>
            <w:tcW w:w="913" w:type="pct"/>
          </w:tcPr>
          <w:p w:rsidR="00F3731A" w:rsidRPr="00627140" w:rsidRDefault="00F3731A" w:rsidP="003B3244">
            <w:pPr>
              <w:pStyle w:val="TableParagraph"/>
              <w:spacing w:before="1" w:line="247" w:lineRule="exact"/>
              <w:ind w:left="107"/>
              <w:rPr>
                <w:color w:val="000000" w:themeColor="text1"/>
                <w:lang w:val="sr-Latn-CS"/>
              </w:rPr>
            </w:pPr>
          </w:p>
          <w:p w:rsidR="00F3731A" w:rsidRPr="00627140" w:rsidRDefault="00627140" w:rsidP="003B3244">
            <w:pPr>
              <w:pStyle w:val="TableParagraph"/>
              <w:spacing w:before="1" w:line="247" w:lineRule="exact"/>
              <w:ind w:left="107"/>
              <w:rPr>
                <w:rFonts w:ascii="Arial" w:hAnsi="Arial" w:cs="Arial"/>
                <w:color w:val="000000" w:themeColor="text1"/>
                <w:w w:val="95"/>
                <w:lang w:val="sr-Latn-CS"/>
              </w:rPr>
            </w:pPr>
            <w:r>
              <w:rPr>
                <w:color w:val="000000" w:themeColor="text1"/>
                <w:lang w:val="sr-Latn-CS"/>
              </w:rPr>
              <w:t>P</w:t>
            </w:r>
            <w:r w:rsidRPr="00627140">
              <w:rPr>
                <w:color w:val="000000" w:themeColor="text1"/>
                <w:lang w:val="sr-Latn-CS"/>
              </w:rPr>
              <w:t>UMP</w:t>
            </w:r>
          </w:p>
        </w:tc>
        <w:tc>
          <w:tcPr>
            <w:tcW w:w="4087" w:type="pct"/>
          </w:tcPr>
          <w:p w:rsidR="00F3731A" w:rsidRPr="00627140" w:rsidRDefault="00F3731A" w:rsidP="003B3244">
            <w:pPr>
              <w:pStyle w:val="TableParagraph"/>
              <w:spacing w:before="1" w:line="247" w:lineRule="exact"/>
              <w:ind w:left="108"/>
              <w:rPr>
                <w:color w:val="000000" w:themeColor="text1"/>
                <w:lang w:val="sr-Latn-CS"/>
              </w:rPr>
            </w:pPr>
          </w:p>
          <w:p w:rsidR="00F3731A" w:rsidRPr="00627140" w:rsidRDefault="00627140" w:rsidP="00627140">
            <w:pPr>
              <w:pStyle w:val="TableParagraph"/>
              <w:spacing w:before="1" w:line="247" w:lineRule="exact"/>
              <w:ind w:left="108"/>
              <w:rPr>
                <w:rFonts w:ascii="Arial" w:hAnsi="Arial" w:cs="Arial"/>
                <w:color w:val="000000" w:themeColor="text1"/>
                <w:lang w:val="sq-AL"/>
              </w:rPr>
            </w:pPr>
            <w:r w:rsidRPr="00627140">
              <w:rPr>
                <w:color w:val="000000" w:themeColor="text1"/>
                <w:lang w:val="sr-Latn-RS"/>
              </w:rPr>
              <w:t xml:space="preserve">Projekat </w:t>
            </w:r>
            <w:r>
              <w:rPr>
                <w:color w:val="000000" w:themeColor="text1"/>
                <w:lang w:val="sr-Latn-RS"/>
              </w:rPr>
              <w:t xml:space="preserve"> </w:t>
            </w:r>
            <w:r w:rsidR="00175B16" w:rsidRPr="00627140">
              <w:rPr>
                <w:color w:val="000000" w:themeColor="text1"/>
                <w:lang w:val="sr-Latn-RS"/>
              </w:rPr>
              <w:t xml:space="preserve">Uključivanje </w:t>
            </w:r>
            <w:r>
              <w:rPr>
                <w:color w:val="000000" w:themeColor="text1"/>
                <w:lang w:val="sr-Latn-RS"/>
              </w:rPr>
              <w:t xml:space="preserve">mladih </w:t>
            </w:r>
            <w:r w:rsidRPr="00627140">
              <w:rPr>
                <w:color w:val="000000" w:themeColor="text1"/>
                <w:lang w:val="sr-Latn-RS"/>
              </w:rPr>
              <w:t xml:space="preserve"> i preduzetništva</w:t>
            </w:r>
          </w:p>
        </w:tc>
      </w:tr>
    </w:tbl>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sdt>
      <w:sdtPr>
        <w:rPr>
          <w:rFonts w:asciiTheme="minorHAnsi" w:eastAsiaTheme="minorHAnsi" w:hAnsiTheme="minorHAnsi" w:cstheme="minorBidi"/>
          <w:color w:val="auto"/>
          <w:sz w:val="22"/>
          <w:szCs w:val="22"/>
          <w:lang w:val="sr-Latn-CS"/>
        </w:rPr>
        <w:id w:val="-165488998"/>
        <w:docPartObj>
          <w:docPartGallery w:val="Table of Contents"/>
          <w:docPartUnique/>
        </w:docPartObj>
      </w:sdtPr>
      <w:sdtEndPr>
        <w:rPr>
          <w:b/>
          <w:bCs/>
          <w:noProof/>
        </w:rPr>
      </w:sdtEndPr>
      <w:sdtContent>
        <w:p w:rsidR="00F3731A" w:rsidRPr="003B3244" w:rsidRDefault="009B76B8" w:rsidP="00F3731A">
          <w:pPr>
            <w:pStyle w:val="TOCHeading"/>
            <w:rPr>
              <w:lang w:val="sr-Latn-CS"/>
            </w:rPr>
          </w:pPr>
          <w:r>
            <w:rPr>
              <w:lang w:val="sr-Latn-CS"/>
            </w:rPr>
            <w:t>Sadržaj</w:t>
          </w:r>
        </w:p>
        <w:p w:rsidR="00175B16" w:rsidRDefault="00400AFF">
          <w:pPr>
            <w:pStyle w:val="TOC1"/>
            <w:tabs>
              <w:tab w:val="right" w:leader="dot" w:pos="10460"/>
            </w:tabs>
            <w:rPr>
              <w:rFonts w:asciiTheme="minorHAnsi" w:eastAsiaTheme="minorEastAsia" w:hAnsiTheme="minorHAnsi" w:cstheme="minorBidi"/>
              <w:noProof/>
              <w:sz w:val="22"/>
              <w:szCs w:val="22"/>
              <w:lang w:val="sq-AL" w:eastAsia="sq-AL"/>
            </w:rPr>
          </w:pPr>
          <w:r w:rsidRPr="003B3244">
            <w:rPr>
              <w:b/>
              <w:bCs/>
              <w:noProof/>
              <w:lang w:val="sr-Latn-CS"/>
            </w:rPr>
            <w:fldChar w:fldCharType="begin"/>
          </w:r>
          <w:r w:rsidR="00F3731A" w:rsidRPr="003B3244">
            <w:rPr>
              <w:b/>
              <w:bCs/>
              <w:noProof/>
              <w:lang w:val="sr-Latn-CS"/>
            </w:rPr>
            <w:instrText xml:space="preserve"> TOC \o "1-3" \h \z \u </w:instrText>
          </w:r>
          <w:r w:rsidRPr="003B3244">
            <w:rPr>
              <w:b/>
              <w:bCs/>
              <w:noProof/>
              <w:lang w:val="sr-Latn-CS"/>
            </w:rPr>
            <w:fldChar w:fldCharType="separate"/>
          </w:r>
          <w:hyperlink w:anchor="_Toc531255604" w:history="1">
            <w:r w:rsidR="00175B16" w:rsidRPr="00086C8A">
              <w:rPr>
                <w:rStyle w:val="Hyperlink"/>
                <w:rFonts w:eastAsia="Arial"/>
                <w:noProof/>
                <w:lang w:val="sr-Latn-CS"/>
              </w:rPr>
              <w:t>Uvod</w:t>
            </w:r>
            <w:r w:rsidR="00175B16">
              <w:rPr>
                <w:noProof/>
                <w:webHidden/>
              </w:rPr>
              <w:tab/>
            </w:r>
            <w:r w:rsidR="00175B16">
              <w:rPr>
                <w:noProof/>
                <w:webHidden/>
              </w:rPr>
              <w:fldChar w:fldCharType="begin"/>
            </w:r>
            <w:r w:rsidR="00175B16">
              <w:rPr>
                <w:noProof/>
                <w:webHidden/>
              </w:rPr>
              <w:instrText xml:space="preserve"> PAGEREF _Toc531255604 \h </w:instrText>
            </w:r>
            <w:r w:rsidR="00175B16">
              <w:rPr>
                <w:noProof/>
                <w:webHidden/>
              </w:rPr>
            </w:r>
            <w:r w:rsidR="00175B16">
              <w:rPr>
                <w:noProof/>
                <w:webHidden/>
              </w:rPr>
              <w:fldChar w:fldCharType="separate"/>
            </w:r>
            <w:r w:rsidR="007247E1">
              <w:rPr>
                <w:noProof/>
                <w:webHidden/>
              </w:rPr>
              <w:t>6</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05" w:history="1">
            <w:r w:rsidR="00175B16" w:rsidRPr="00086C8A">
              <w:rPr>
                <w:rStyle w:val="Hyperlink"/>
                <w:rFonts w:eastAsia="Arial"/>
                <w:noProof/>
                <w:lang w:val="sr-Latn-CS"/>
              </w:rPr>
              <w:t>Ukratko o Kosovu</w:t>
            </w:r>
            <w:r w:rsidR="00175B16">
              <w:rPr>
                <w:noProof/>
                <w:webHidden/>
              </w:rPr>
              <w:tab/>
            </w:r>
            <w:r w:rsidR="00175B16">
              <w:rPr>
                <w:noProof/>
                <w:webHidden/>
              </w:rPr>
              <w:fldChar w:fldCharType="begin"/>
            </w:r>
            <w:r w:rsidR="00175B16">
              <w:rPr>
                <w:noProof/>
                <w:webHidden/>
              </w:rPr>
              <w:instrText xml:space="preserve"> PAGEREF _Toc531255605 \h </w:instrText>
            </w:r>
            <w:r w:rsidR="00175B16">
              <w:rPr>
                <w:noProof/>
                <w:webHidden/>
              </w:rPr>
            </w:r>
            <w:r w:rsidR="00175B16">
              <w:rPr>
                <w:noProof/>
                <w:webHidden/>
              </w:rPr>
              <w:fldChar w:fldCharType="separate"/>
            </w:r>
            <w:r>
              <w:rPr>
                <w:noProof/>
                <w:webHidden/>
              </w:rPr>
              <w:t>7</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06" w:history="1">
            <w:r w:rsidR="00175B16" w:rsidRPr="00086C8A">
              <w:rPr>
                <w:rStyle w:val="Hyperlink"/>
                <w:rFonts w:eastAsia="Arial"/>
                <w:noProof/>
                <w:lang w:val="sr-Latn-CS"/>
              </w:rPr>
              <w:t>Zaštićena područja (ZP-ovi) Kosova</w:t>
            </w:r>
            <w:r w:rsidR="00175B16">
              <w:rPr>
                <w:noProof/>
                <w:webHidden/>
              </w:rPr>
              <w:tab/>
            </w:r>
            <w:r w:rsidR="00175B16">
              <w:rPr>
                <w:noProof/>
                <w:webHidden/>
              </w:rPr>
              <w:fldChar w:fldCharType="begin"/>
            </w:r>
            <w:r w:rsidR="00175B16">
              <w:rPr>
                <w:noProof/>
                <w:webHidden/>
              </w:rPr>
              <w:instrText xml:space="preserve"> PAGEREF _Toc531255606 \h </w:instrText>
            </w:r>
            <w:r w:rsidR="00175B16">
              <w:rPr>
                <w:noProof/>
                <w:webHidden/>
              </w:rPr>
            </w:r>
            <w:r w:rsidR="00175B16">
              <w:rPr>
                <w:noProof/>
                <w:webHidden/>
              </w:rPr>
              <w:fldChar w:fldCharType="separate"/>
            </w:r>
            <w:r>
              <w:rPr>
                <w:noProof/>
                <w:webHidden/>
              </w:rPr>
              <w:t>8</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07" w:history="1">
            <w:r w:rsidR="00175B16" w:rsidRPr="00086C8A">
              <w:rPr>
                <w:rStyle w:val="Hyperlink"/>
                <w:rFonts w:eastAsia="Arial"/>
                <w:noProof/>
                <w:lang w:val="sr-Latn-CS"/>
              </w:rPr>
              <w:t>Fizičko kulturno nasleđe</w:t>
            </w:r>
            <w:r w:rsidR="00175B16">
              <w:rPr>
                <w:noProof/>
                <w:webHidden/>
              </w:rPr>
              <w:tab/>
            </w:r>
            <w:r w:rsidR="00175B16">
              <w:rPr>
                <w:noProof/>
                <w:webHidden/>
              </w:rPr>
              <w:fldChar w:fldCharType="begin"/>
            </w:r>
            <w:r w:rsidR="00175B16">
              <w:rPr>
                <w:noProof/>
                <w:webHidden/>
              </w:rPr>
              <w:instrText xml:space="preserve"> PAGEREF _Toc531255607 \h </w:instrText>
            </w:r>
            <w:r w:rsidR="00175B16">
              <w:rPr>
                <w:noProof/>
                <w:webHidden/>
              </w:rPr>
            </w:r>
            <w:r w:rsidR="00175B16">
              <w:rPr>
                <w:noProof/>
                <w:webHidden/>
              </w:rPr>
              <w:fldChar w:fldCharType="separate"/>
            </w:r>
            <w:r>
              <w:rPr>
                <w:noProof/>
                <w:webHidden/>
              </w:rPr>
              <w:t>10</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08" w:history="1">
            <w:r w:rsidR="00175B16" w:rsidRPr="00086C8A">
              <w:rPr>
                <w:rStyle w:val="Hyperlink"/>
                <w:rFonts w:eastAsia="Arial"/>
                <w:noProof/>
                <w:lang w:val="sr-Latn-CS"/>
              </w:rPr>
              <w:t>Veći ekološki problemi</w:t>
            </w:r>
            <w:r w:rsidR="00175B16">
              <w:rPr>
                <w:noProof/>
                <w:webHidden/>
              </w:rPr>
              <w:tab/>
            </w:r>
            <w:r w:rsidR="00175B16">
              <w:rPr>
                <w:noProof/>
                <w:webHidden/>
              </w:rPr>
              <w:fldChar w:fldCharType="begin"/>
            </w:r>
            <w:r w:rsidR="00175B16">
              <w:rPr>
                <w:noProof/>
                <w:webHidden/>
              </w:rPr>
              <w:instrText xml:space="preserve"> PAGEREF _Toc531255608 \h </w:instrText>
            </w:r>
            <w:r w:rsidR="00175B16">
              <w:rPr>
                <w:noProof/>
                <w:webHidden/>
              </w:rPr>
            </w:r>
            <w:r w:rsidR="00175B16">
              <w:rPr>
                <w:noProof/>
                <w:webHidden/>
              </w:rPr>
              <w:fldChar w:fldCharType="separate"/>
            </w:r>
            <w:r>
              <w:rPr>
                <w:noProof/>
                <w:webHidden/>
              </w:rPr>
              <w:t>10</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09" w:history="1">
            <w:r w:rsidR="00175B16" w:rsidRPr="00086C8A">
              <w:rPr>
                <w:rStyle w:val="Hyperlink"/>
                <w:rFonts w:eastAsia="Arial"/>
                <w:noProof/>
                <w:lang w:val="sr-Latn-CS"/>
              </w:rPr>
              <w:t>Ciljevi i komponente projekta</w:t>
            </w:r>
            <w:r w:rsidR="00175B16">
              <w:rPr>
                <w:noProof/>
                <w:webHidden/>
              </w:rPr>
              <w:tab/>
            </w:r>
            <w:r w:rsidR="00175B16">
              <w:rPr>
                <w:noProof/>
                <w:webHidden/>
              </w:rPr>
              <w:fldChar w:fldCharType="begin"/>
            </w:r>
            <w:r w:rsidR="00175B16">
              <w:rPr>
                <w:noProof/>
                <w:webHidden/>
              </w:rPr>
              <w:instrText xml:space="preserve"> PAGEREF _Toc531255609 \h </w:instrText>
            </w:r>
            <w:r w:rsidR="00175B16">
              <w:rPr>
                <w:noProof/>
                <w:webHidden/>
              </w:rPr>
            </w:r>
            <w:r w:rsidR="00175B16">
              <w:rPr>
                <w:noProof/>
                <w:webHidden/>
              </w:rPr>
              <w:fldChar w:fldCharType="separate"/>
            </w:r>
            <w:r>
              <w:rPr>
                <w:noProof/>
                <w:webHidden/>
              </w:rPr>
              <w:t>11</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10" w:history="1">
            <w:r w:rsidR="00175B16" w:rsidRPr="00086C8A">
              <w:rPr>
                <w:rStyle w:val="Hyperlink"/>
                <w:rFonts w:eastAsia="Calibri"/>
                <w:noProof/>
                <w:lang w:val="sr-Latn-CS"/>
              </w:rPr>
              <w:t>Razvojni cilj projekta</w:t>
            </w:r>
            <w:r w:rsidR="00175B16">
              <w:rPr>
                <w:noProof/>
                <w:webHidden/>
              </w:rPr>
              <w:tab/>
            </w:r>
            <w:r w:rsidR="00175B16">
              <w:rPr>
                <w:noProof/>
                <w:webHidden/>
              </w:rPr>
              <w:fldChar w:fldCharType="begin"/>
            </w:r>
            <w:r w:rsidR="00175B16">
              <w:rPr>
                <w:noProof/>
                <w:webHidden/>
              </w:rPr>
              <w:instrText xml:space="preserve"> PAGEREF _Toc531255610 \h </w:instrText>
            </w:r>
            <w:r w:rsidR="00175B16">
              <w:rPr>
                <w:noProof/>
                <w:webHidden/>
              </w:rPr>
            </w:r>
            <w:r w:rsidR="00175B16">
              <w:rPr>
                <w:noProof/>
                <w:webHidden/>
              </w:rPr>
              <w:fldChar w:fldCharType="separate"/>
            </w:r>
            <w:r>
              <w:rPr>
                <w:noProof/>
                <w:webHidden/>
              </w:rPr>
              <w:t>11</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11" w:history="1">
            <w:r w:rsidR="00175B16" w:rsidRPr="00086C8A">
              <w:rPr>
                <w:rStyle w:val="Hyperlink"/>
                <w:rFonts w:eastAsia="Calibri"/>
                <w:noProof/>
                <w:lang w:val="sr-Latn-CS"/>
              </w:rPr>
              <w:t>Komponente projekta</w:t>
            </w:r>
            <w:r w:rsidR="00175B16">
              <w:rPr>
                <w:noProof/>
                <w:webHidden/>
              </w:rPr>
              <w:tab/>
            </w:r>
            <w:r w:rsidR="00175B16">
              <w:rPr>
                <w:noProof/>
                <w:webHidden/>
              </w:rPr>
              <w:fldChar w:fldCharType="begin"/>
            </w:r>
            <w:r w:rsidR="00175B16">
              <w:rPr>
                <w:noProof/>
                <w:webHidden/>
              </w:rPr>
              <w:instrText xml:space="preserve"> PAGEREF _Toc531255611 \h </w:instrText>
            </w:r>
            <w:r w:rsidR="00175B16">
              <w:rPr>
                <w:noProof/>
                <w:webHidden/>
              </w:rPr>
            </w:r>
            <w:r w:rsidR="00175B16">
              <w:rPr>
                <w:noProof/>
                <w:webHidden/>
              </w:rPr>
              <w:fldChar w:fldCharType="separate"/>
            </w:r>
            <w:r>
              <w:rPr>
                <w:noProof/>
                <w:webHidden/>
              </w:rPr>
              <w:t>11</w:t>
            </w:r>
            <w:r w:rsidR="00175B16">
              <w:rPr>
                <w:noProof/>
                <w:webHidden/>
              </w:rPr>
              <w:fldChar w:fldCharType="end"/>
            </w:r>
          </w:hyperlink>
        </w:p>
        <w:p w:rsidR="00175B16" w:rsidRDefault="007247E1">
          <w:pPr>
            <w:pStyle w:val="TOC3"/>
            <w:tabs>
              <w:tab w:val="right" w:leader="dot" w:pos="10460"/>
            </w:tabs>
            <w:rPr>
              <w:rFonts w:asciiTheme="minorHAnsi" w:eastAsiaTheme="minorEastAsia" w:hAnsiTheme="minorHAnsi" w:cstheme="minorBidi"/>
              <w:noProof/>
              <w:sz w:val="22"/>
              <w:szCs w:val="22"/>
              <w:lang w:val="sq-AL" w:eastAsia="sq-AL"/>
            </w:rPr>
          </w:pPr>
          <w:hyperlink w:anchor="_Toc531255612" w:history="1">
            <w:r w:rsidR="00175B16" w:rsidRPr="00086C8A">
              <w:rPr>
                <w:rStyle w:val="Hyperlink"/>
                <w:rFonts w:eastAsia="Arial"/>
                <w:noProof/>
                <w:lang w:val="sr-Latn-CS"/>
              </w:rPr>
              <w:t>Komponenta 1: Inicijative za razvoj zajednice sa fokusom na mlade (1,719,000 US$)</w:t>
            </w:r>
            <w:r w:rsidR="00175B16">
              <w:rPr>
                <w:noProof/>
                <w:webHidden/>
              </w:rPr>
              <w:tab/>
            </w:r>
            <w:r w:rsidR="00175B16">
              <w:rPr>
                <w:noProof/>
                <w:webHidden/>
              </w:rPr>
              <w:fldChar w:fldCharType="begin"/>
            </w:r>
            <w:r w:rsidR="00175B16">
              <w:rPr>
                <w:noProof/>
                <w:webHidden/>
              </w:rPr>
              <w:instrText xml:space="preserve"> PAGEREF _Toc531255612 \h </w:instrText>
            </w:r>
            <w:r w:rsidR="00175B16">
              <w:rPr>
                <w:noProof/>
                <w:webHidden/>
              </w:rPr>
            </w:r>
            <w:r w:rsidR="00175B16">
              <w:rPr>
                <w:noProof/>
                <w:webHidden/>
              </w:rPr>
              <w:fldChar w:fldCharType="separate"/>
            </w:r>
            <w:r>
              <w:rPr>
                <w:noProof/>
                <w:webHidden/>
              </w:rPr>
              <w:t>11</w:t>
            </w:r>
            <w:r w:rsidR="00175B16">
              <w:rPr>
                <w:noProof/>
                <w:webHidden/>
              </w:rPr>
              <w:fldChar w:fldCharType="end"/>
            </w:r>
          </w:hyperlink>
        </w:p>
        <w:p w:rsidR="00175B16" w:rsidRDefault="007247E1">
          <w:pPr>
            <w:pStyle w:val="TOC3"/>
            <w:tabs>
              <w:tab w:val="right" w:leader="dot" w:pos="10460"/>
            </w:tabs>
            <w:rPr>
              <w:rFonts w:asciiTheme="minorHAnsi" w:eastAsiaTheme="minorEastAsia" w:hAnsiTheme="minorHAnsi" w:cstheme="minorBidi"/>
              <w:noProof/>
              <w:sz w:val="22"/>
              <w:szCs w:val="22"/>
              <w:lang w:val="sq-AL" w:eastAsia="sq-AL"/>
            </w:rPr>
          </w:pPr>
          <w:hyperlink w:anchor="_Toc531255613" w:history="1">
            <w:r w:rsidR="00175B16" w:rsidRPr="00086C8A">
              <w:rPr>
                <w:rStyle w:val="Hyperlink"/>
                <w:rFonts w:eastAsia="Arial"/>
                <w:noProof/>
                <w:lang w:val="sr-Latn-CS"/>
              </w:rPr>
              <w:t>Komponenta 2: Obuka mladih zainteresovanih strana (777,000 US$)</w:t>
            </w:r>
            <w:r w:rsidR="00175B16">
              <w:rPr>
                <w:noProof/>
                <w:webHidden/>
              </w:rPr>
              <w:tab/>
            </w:r>
            <w:r w:rsidR="00175B16">
              <w:rPr>
                <w:noProof/>
                <w:webHidden/>
              </w:rPr>
              <w:fldChar w:fldCharType="begin"/>
            </w:r>
            <w:r w:rsidR="00175B16">
              <w:rPr>
                <w:noProof/>
                <w:webHidden/>
              </w:rPr>
              <w:instrText xml:space="preserve"> PAGEREF _Toc531255613 \h </w:instrText>
            </w:r>
            <w:r w:rsidR="00175B16">
              <w:rPr>
                <w:noProof/>
                <w:webHidden/>
              </w:rPr>
            </w:r>
            <w:r w:rsidR="00175B16">
              <w:rPr>
                <w:noProof/>
                <w:webHidden/>
              </w:rPr>
              <w:fldChar w:fldCharType="separate"/>
            </w:r>
            <w:r>
              <w:rPr>
                <w:noProof/>
                <w:webHidden/>
              </w:rPr>
              <w:t>12</w:t>
            </w:r>
            <w:r w:rsidR="00175B16">
              <w:rPr>
                <w:noProof/>
                <w:webHidden/>
              </w:rPr>
              <w:fldChar w:fldCharType="end"/>
            </w:r>
          </w:hyperlink>
        </w:p>
        <w:p w:rsidR="00175B16" w:rsidRDefault="007247E1">
          <w:pPr>
            <w:pStyle w:val="TOC3"/>
            <w:tabs>
              <w:tab w:val="right" w:leader="dot" w:pos="10460"/>
            </w:tabs>
            <w:rPr>
              <w:rFonts w:asciiTheme="minorHAnsi" w:eastAsiaTheme="minorEastAsia" w:hAnsiTheme="minorHAnsi" w:cstheme="minorBidi"/>
              <w:noProof/>
              <w:sz w:val="22"/>
              <w:szCs w:val="22"/>
              <w:lang w:val="sq-AL" w:eastAsia="sq-AL"/>
            </w:rPr>
          </w:pPr>
          <w:hyperlink w:anchor="_Toc531255614" w:history="1">
            <w:r w:rsidR="00175B16" w:rsidRPr="00086C8A">
              <w:rPr>
                <w:rStyle w:val="Hyperlink"/>
                <w:rFonts w:eastAsia="Arial"/>
                <w:noProof/>
                <w:lang w:val="sr-Latn-CS"/>
              </w:rPr>
              <w:t>Komponenta 3: Upravljanje projektom i administracija, praćenje i evaluacija i širenje znanja (280,000 US$)</w:t>
            </w:r>
            <w:r w:rsidR="00175B16">
              <w:rPr>
                <w:noProof/>
                <w:webHidden/>
              </w:rPr>
              <w:tab/>
            </w:r>
            <w:r w:rsidR="00175B16">
              <w:rPr>
                <w:noProof/>
                <w:webHidden/>
              </w:rPr>
              <w:fldChar w:fldCharType="begin"/>
            </w:r>
            <w:r w:rsidR="00175B16">
              <w:rPr>
                <w:noProof/>
                <w:webHidden/>
              </w:rPr>
              <w:instrText xml:space="preserve"> PAGEREF _Toc531255614 \h </w:instrText>
            </w:r>
            <w:r w:rsidR="00175B16">
              <w:rPr>
                <w:noProof/>
                <w:webHidden/>
              </w:rPr>
            </w:r>
            <w:r w:rsidR="00175B16">
              <w:rPr>
                <w:noProof/>
                <w:webHidden/>
              </w:rPr>
              <w:fldChar w:fldCharType="separate"/>
            </w:r>
            <w:r>
              <w:rPr>
                <w:noProof/>
                <w:webHidden/>
              </w:rPr>
              <w:t>13</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15" w:history="1">
            <w:r w:rsidR="00175B16" w:rsidRPr="00086C8A">
              <w:rPr>
                <w:rStyle w:val="Hyperlink"/>
                <w:rFonts w:eastAsia="Arial"/>
                <w:noProof/>
                <w:lang w:val="sr-Latn-CS"/>
              </w:rPr>
              <w:t>Linije finansijske podrške</w:t>
            </w:r>
            <w:r w:rsidR="00175B16">
              <w:rPr>
                <w:noProof/>
                <w:webHidden/>
              </w:rPr>
              <w:tab/>
            </w:r>
            <w:r w:rsidR="00175B16">
              <w:rPr>
                <w:noProof/>
                <w:webHidden/>
              </w:rPr>
              <w:fldChar w:fldCharType="begin"/>
            </w:r>
            <w:r w:rsidR="00175B16">
              <w:rPr>
                <w:noProof/>
                <w:webHidden/>
              </w:rPr>
              <w:instrText xml:space="preserve"> PAGEREF _Toc531255615 \h </w:instrText>
            </w:r>
            <w:r w:rsidR="00175B16">
              <w:rPr>
                <w:noProof/>
                <w:webHidden/>
              </w:rPr>
            </w:r>
            <w:r w:rsidR="00175B16">
              <w:rPr>
                <w:noProof/>
                <w:webHidden/>
              </w:rPr>
              <w:fldChar w:fldCharType="separate"/>
            </w:r>
            <w:r>
              <w:rPr>
                <w:noProof/>
                <w:webHidden/>
              </w:rPr>
              <w:t>13</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16" w:history="1">
            <w:r w:rsidR="00175B16" w:rsidRPr="00086C8A">
              <w:rPr>
                <w:rStyle w:val="Hyperlink"/>
                <w:rFonts w:eastAsia="Arial"/>
                <w:noProof/>
                <w:lang w:val="sr-Latn-CS"/>
              </w:rPr>
              <w:t>Neprihvatljive aktivnosti</w:t>
            </w:r>
            <w:r w:rsidR="00175B16">
              <w:rPr>
                <w:noProof/>
                <w:webHidden/>
              </w:rPr>
              <w:tab/>
            </w:r>
            <w:r w:rsidR="00175B16">
              <w:rPr>
                <w:noProof/>
                <w:webHidden/>
              </w:rPr>
              <w:fldChar w:fldCharType="begin"/>
            </w:r>
            <w:r w:rsidR="00175B16">
              <w:rPr>
                <w:noProof/>
                <w:webHidden/>
              </w:rPr>
              <w:instrText xml:space="preserve"> PAGEREF _Toc531255616 \h </w:instrText>
            </w:r>
            <w:r w:rsidR="00175B16">
              <w:rPr>
                <w:noProof/>
                <w:webHidden/>
              </w:rPr>
            </w:r>
            <w:r w:rsidR="00175B16">
              <w:rPr>
                <w:noProof/>
                <w:webHidden/>
              </w:rPr>
              <w:fldChar w:fldCharType="separate"/>
            </w:r>
            <w:r>
              <w:rPr>
                <w:noProof/>
                <w:webHidden/>
              </w:rPr>
              <w:t>13</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17" w:history="1">
            <w:r w:rsidR="00175B16" w:rsidRPr="00086C8A">
              <w:rPr>
                <w:rStyle w:val="Hyperlink"/>
                <w:rFonts w:eastAsia="Arial"/>
                <w:noProof/>
                <w:lang w:val="sr-Latn-CS"/>
              </w:rPr>
              <w:t>Lista isključenih delatnosti</w:t>
            </w:r>
            <w:r w:rsidR="00175B16">
              <w:rPr>
                <w:noProof/>
                <w:webHidden/>
              </w:rPr>
              <w:tab/>
            </w:r>
            <w:r w:rsidR="00175B16">
              <w:rPr>
                <w:noProof/>
                <w:webHidden/>
              </w:rPr>
              <w:fldChar w:fldCharType="begin"/>
            </w:r>
            <w:r w:rsidR="00175B16">
              <w:rPr>
                <w:noProof/>
                <w:webHidden/>
              </w:rPr>
              <w:instrText xml:space="preserve"> PAGEREF _Toc531255617 \h </w:instrText>
            </w:r>
            <w:r w:rsidR="00175B16">
              <w:rPr>
                <w:noProof/>
                <w:webHidden/>
              </w:rPr>
            </w:r>
            <w:r w:rsidR="00175B16">
              <w:rPr>
                <w:noProof/>
                <w:webHidden/>
              </w:rPr>
              <w:fldChar w:fldCharType="separate"/>
            </w:r>
            <w:r>
              <w:rPr>
                <w:noProof/>
                <w:webHidden/>
              </w:rPr>
              <w:t>13</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18" w:history="1">
            <w:r w:rsidR="00175B16" w:rsidRPr="00086C8A">
              <w:rPr>
                <w:rStyle w:val="Hyperlink"/>
                <w:rFonts w:eastAsia="Arial"/>
                <w:noProof/>
                <w:lang w:val="sr-Latn-CS"/>
              </w:rPr>
              <w:t>Upravljanje projektom</w:t>
            </w:r>
            <w:r w:rsidR="00175B16">
              <w:rPr>
                <w:noProof/>
                <w:webHidden/>
              </w:rPr>
              <w:tab/>
            </w:r>
            <w:r w:rsidR="00175B16">
              <w:rPr>
                <w:noProof/>
                <w:webHidden/>
              </w:rPr>
              <w:fldChar w:fldCharType="begin"/>
            </w:r>
            <w:r w:rsidR="00175B16">
              <w:rPr>
                <w:noProof/>
                <w:webHidden/>
              </w:rPr>
              <w:instrText xml:space="preserve"> PAGEREF _Toc531255618 \h </w:instrText>
            </w:r>
            <w:r w:rsidR="00175B16">
              <w:rPr>
                <w:noProof/>
                <w:webHidden/>
              </w:rPr>
            </w:r>
            <w:r w:rsidR="00175B16">
              <w:rPr>
                <w:noProof/>
                <w:webHidden/>
              </w:rPr>
              <w:fldChar w:fldCharType="separate"/>
            </w:r>
            <w:r>
              <w:rPr>
                <w:noProof/>
                <w:webHidden/>
              </w:rPr>
              <w:t>14</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19" w:history="1">
            <w:r w:rsidR="00175B16" w:rsidRPr="00086C8A">
              <w:rPr>
                <w:rStyle w:val="Hyperlink"/>
                <w:rFonts w:eastAsia="Arial"/>
                <w:noProof/>
                <w:lang w:val="sr-Latn-CS"/>
              </w:rPr>
              <w:t>Praćenje i evaluacija</w:t>
            </w:r>
            <w:r w:rsidR="00175B16">
              <w:rPr>
                <w:noProof/>
                <w:webHidden/>
              </w:rPr>
              <w:tab/>
            </w:r>
            <w:r w:rsidR="00175B16">
              <w:rPr>
                <w:noProof/>
                <w:webHidden/>
              </w:rPr>
              <w:fldChar w:fldCharType="begin"/>
            </w:r>
            <w:r w:rsidR="00175B16">
              <w:rPr>
                <w:noProof/>
                <w:webHidden/>
              </w:rPr>
              <w:instrText xml:space="preserve"> PAGEREF _Toc531255619 \h </w:instrText>
            </w:r>
            <w:r w:rsidR="00175B16">
              <w:rPr>
                <w:noProof/>
                <w:webHidden/>
              </w:rPr>
            </w:r>
            <w:r w:rsidR="00175B16">
              <w:rPr>
                <w:noProof/>
                <w:webHidden/>
              </w:rPr>
              <w:fldChar w:fldCharType="separate"/>
            </w:r>
            <w:r>
              <w:rPr>
                <w:noProof/>
                <w:webHidden/>
              </w:rPr>
              <w:t>14</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20" w:history="1">
            <w:r w:rsidR="00175B16" w:rsidRPr="00086C8A">
              <w:rPr>
                <w:rStyle w:val="Hyperlink"/>
                <w:rFonts w:eastAsia="Arial"/>
                <w:noProof/>
                <w:lang w:val="sr-Latn-CS"/>
              </w:rPr>
              <w:t>Skrining životne sredine</w:t>
            </w:r>
            <w:r w:rsidR="00175B16">
              <w:rPr>
                <w:noProof/>
                <w:webHidden/>
              </w:rPr>
              <w:tab/>
            </w:r>
            <w:r w:rsidR="00175B16">
              <w:rPr>
                <w:noProof/>
                <w:webHidden/>
              </w:rPr>
              <w:fldChar w:fldCharType="begin"/>
            </w:r>
            <w:r w:rsidR="00175B16">
              <w:rPr>
                <w:noProof/>
                <w:webHidden/>
              </w:rPr>
              <w:instrText xml:space="preserve"> PAGEREF _Toc531255620 \h </w:instrText>
            </w:r>
            <w:r w:rsidR="00175B16">
              <w:rPr>
                <w:noProof/>
                <w:webHidden/>
              </w:rPr>
            </w:r>
            <w:r w:rsidR="00175B16">
              <w:rPr>
                <w:noProof/>
                <w:webHidden/>
              </w:rPr>
              <w:fldChar w:fldCharType="separate"/>
            </w:r>
            <w:r>
              <w:rPr>
                <w:noProof/>
                <w:webHidden/>
              </w:rPr>
              <w:t>15</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21" w:history="1">
            <w:r w:rsidR="00175B16" w:rsidRPr="00086C8A">
              <w:rPr>
                <w:rStyle w:val="Hyperlink"/>
                <w:rFonts w:eastAsia="Arial"/>
                <w:noProof/>
                <w:lang w:val="sr-Latn-CS"/>
              </w:rPr>
              <w:t>Kategorija A</w:t>
            </w:r>
            <w:r w:rsidR="00175B16">
              <w:rPr>
                <w:noProof/>
                <w:webHidden/>
              </w:rPr>
              <w:tab/>
            </w:r>
            <w:r w:rsidR="00175B16">
              <w:rPr>
                <w:noProof/>
                <w:webHidden/>
              </w:rPr>
              <w:fldChar w:fldCharType="begin"/>
            </w:r>
            <w:r w:rsidR="00175B16">
              <w:rPr>
                <w:noProof/>
                <w:webHidden/>
              </w:rPr>
              <w:instrText xml:space="preserve"> PAGEREF _Toc531255621 \h </w:instrText>
            </w:r>
            <w:r w:rsidR="00175B16">
              <w:rPr>
                <w:noProof/>
                <w:webHidden/>
              </w:rPr>
            </w:r>
            <w:r w:rsidR="00175B16">
              <w:rPr>
                <w:noProof/>
                <w:webHidden/>
              </w:rPr>
              <w:fldChar w:fldCharType="separate"/>
            </w:r>
            <w:r>
              <w:rPr>
                <w:noProof/>
                <w:webHidden/>
              </w:rPr>
              <w:t>15</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22" w:history="1">
            <w:r w:rsidR="00175B16" w:rsidRPr="00086C8A">
              <w:rPr>
                <w:rStyle w:val="Hyperlink"/>
                <w:rFonts w:eastAsia="Arial"/>
                <w:noProof/>
                <w:lang w:val="sr-Latn-CS"/>
              </w:rPr>
              <w:t>Kategorija B</w:t>
            </w:r>
            <w:r w:rsidR="00175B16">
              <w:rPr>
                <w:noProof/>
                <w:webHidden/>
              </w:rPr>
              <w:tab/>
            </w:r>
            <w:r w:rsidR="00175B16">
              <w:rPr>
                <w:noProof/>
                <w:webHidden/>
              </w:rPr>
              <w:fldChar w:fldCharType="begin"/>
            </w:r>
            <w:r w:rsidR="00175B16">
              <w:rPr>
                <w:noProof/>
                <w:webHidden/>
              </w:rPr>
              <w:instrText xml:space="preserve"> PAGEREF _Toc531255622 \h </w:instrText>
            </w:r>
            <w:r w:rsidR="00175B16">
              <w:rPr>
                <w:noProof/>
                <w:webHidden/>
              </w:rPr>
            </w:r>
            <w:r w:rsidR="00175B16">
              <w:rPr>
                <w:noProof/>
                <w:webHidden/>
              </w:rPr>
              <w:fldChar w:fldCharType="separate"/>
            </w:r>
            <w:r>
              <w:rPr>
                <w:noProof/>
                <w:webHidden/>
              </w:rPr>
              <w:t>15</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23" w:history="1">
            <w:r w:rsidR="00175B16" w:rsidRPr="00086C8A">
              <w:rPr>
                <w:rStyle w:val="Hyperlink"/>
                <w:rFonts w:eastAsia="Arial"/>
                <w:noProof/>
                <w:lang w:val="sr-Latn-CS"/>
              </w:rPr>
              <w:t>Kategorija B+</w:t>
            </w:r>
            <w:r w:rsidR="00175B16">
              <w:rPr>
                <w:noProof/>
                <w:webHidden/>
              </w:rPr>
              <w:tab/>
            </w:r>
            <w:r w:rsidR="00175B16">
              <w:rPr>
                <w:noProof/>
                <w:webHidden/>
              </w:rPr>
              <w:fldChar w:fldCharType="begin"/>
            </w:r>
            <w:r w:rsidR="00175B16">
              <w:rPr>
                <w:noProof/>
                <w:webHidden/>
              </w:rPr>
              <w:instrText xml:space="preserve"> PAGEREF _Toc531255623 \h </w:instrText>
            </w:r>
            <w:r w:rsidR="00175B16">
              <w:rPr>
                <w:noProof/>
                <w:webHidden/>
              </w:rPr>
            </w:r>
            <w:r w:rsidR="00175B16">
              <w:rPr>
                <w:noProof/>
                <w:webHidden/>
              </w:rPr>
              <w:fldChar w:fldCharType="separate"/>
            </w:r>
            <w:r>
              <w:rPr>
                <w:noProof/>
                <w:webHidden/>
              </w:rPr>
              <w:t>15</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24" w:history="1">
            <w:r w:rsidR="00175B16" w:rsidRPr="00086C8A">
              <w:rPr>
                <w:rStyle w:val="Hyperlink"/>
                <w:rFonts w:eastAsia="Arial"/>
                <w:noProof/>
                <w:lang w:val="sr-Latn-CS"/>
              </w:rPr>
              <w:t>Kategorija B-</w:t>
            </w:r>
            <w:r w:rsidR="00175B16">
              <w:rPr>
                <w:noProof/>
                <w:webHidden/>
              </w:rPr>
              <w:tab/>
            </w:r>
            <w:r w:rsidR="00175B16">
              <w:rPr>
                <w:noProof/>
                <w:webHidden/>
              </w:rPr>
              <w:fldChar w:fldCharType="begin"/>
            </w:r>
            <w:r w:rsidR="00175B16">
              <w:rPr>
                <w:noProof/>
                <w:webHidden/>
              </w:rPr>
              <w:instrText xml:space="preserve"> PAGEREF _Toc531255624 \h </w:instrText>
            </w:r>
            <w:r w:rsidR="00175B16">
              <w:rPr>
                <w:noProof/>
                <w:webHidden/>
              </w:rPr>
            </w:r>
            <w:r w:rsidR="00175B16">
              <w:rPr>
                <w:noProof/>
                <w:webHidden/>
              </w:rPr>
              <w:fldChar w:fldCharType="separate"/>
            </w:r>
            <w:r>
              <w:rPr>
                <w:noProof/>
                <w:webHidden/>
              </w:rPr>
              <w:t>16</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25" w:history="1">
            <w:r w:rsidR="00175B16" w:rsidRPr="00086C8A">
              <w:rPr>
                <w:rStyle w:val="Hyperlink"/>
                <w:rFonts w:eastAsia="Arial"/>
                <w:noProof/>
                <w:lang w:val="sr-Latn-CS"/>
              </w:rPr>
              <w:t>Kategorija C</w:t>
            </w:r>
            <w:r w:rsidR="00175B16">
              <w:rPr>
                <w:noProof/>
                <w:webHidden/>
              </w:rPr>
              <w:tab/>
            </w:r>
            <w:r w:rsidR="00175B16">
              <w:rPr>
                <w:noProof/>
                <w:webHidden/>
              </w:rPr>
              <w:fldChar w:fldCharType="begin"/>
            </w:r>
            <w:r w:rsidR="00175B16">
              <w:rPr>
                <w:noProof/>
                <w:webHidden/>
              </w:rPr>
              <w:instrText xml:space="preserve"> PAGEREF _Toc531255625 \h </w:instrText>
            </w:r>
            <w:r w:rsidR="00175B16">
              <w:rPr>
                <w:noProof/>
                <w:webHidden/>
              </w:rPr>
            </w:r>
            <w:r w:rsidR="00175B16">
              <w:rPr>
                <w:noProof/>
                <w:webHidden/>
              </w:rPr>
              <w:fldChar w:fldCharType="separate"/>
            </w:r>
            <w:r>
              <w:rPr>
                <w:noProof/>
                <w:webHidden/>
              </w:rPr>
              <w:t>16</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26" w:history="1">
            <w:r w:rsidR="00175B16" w:rsidRPr="00086C8A">
              <w:rPr>
                <w:rStyle w:val="Hyperlink"/>
                <w:rFonts w:eastAsia="Arial"/>
                <w:noProof/>
                <w:lang w:val="sr-Latn-CS"/>
              </w:rPr>
              <w:t>Institucionalni i aranžmani sprovođenja</w:t>
            </w:r>
            <w:r w:rsidR="00175B16">
              <w:rPr>
                <w:noProof/>
                <w:webHidden/>
              </w:rPr>
              <w:tab/>
            </w:r>
            <w:r w:rsidR="00175B16">
              <w:rPr>
                <w:noProof/>
                <w:webHidden/>
              </w:rPr>
              <w:fldChar w:fldCharType="begin"/>
            </w:r>
            <w:r w:rsidR="00175B16">
              <w:rPr>
                <w:noProof/>
                <w:webHidden/>
              </w:rPr>
              <w:instrText xml:space="preserve"> PAGEREF _Toc531255626 \h </w:instrText>
            </w:r>
            <w:r w:rsidR="00175B16">
              <w:rPr>
                <w:noProof/>
                <w:webHidden/>
              </w:rPr>
            </w:r>
            <w:r w:rsidR="00175B16">
              <w:rPr>
                <w:noProof/>
                <w:webHidden/>
              </w:rPr>
              <w:fldChar w:fldCharType="separate"/>
            </w:r>
            <w:r>
              <w:rPr>
                <w:noProof/>
                <w:webHidden/>
              </w:rPr>
              <w:t>17</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27" w:history="1">
            <w:r w:rsidR="00175B16" w:rsidRPr="00086C8A">
              <w:rPr>
                <w:rStyle w:val="Hyperlink"/>
                <w:rFonts w:eastAsia="Arial"/>
                <w:noProof/>
                <w:lang w:val="sr-Latn-CS"/>
              </w:rPr>
              <w:t>Politike SB-a koje se primenjuju na projekat</w:t>
            </w:r>
            <w:r w:rsidR="00175B16">
              <w:rPr>
                <w:noProof/>
                <w:webHidden/>
              </w:rPr>
              <w:tab/>
            </w:r>
            <w:r w:rsidR="00175B16">
              <w:rPr>
                <w:noProof/>
                <w:webHidden/>
              </w:rPr>
              <w:fldChar w:fldCharType="begin"/>
            </w:r>
            <w:r w:rsidR="00175B16">
              <w:rPr>
                <w:noProof/>
                <w:webHidden/>
              </w:rPr>
              <w:instrText xml:space="preserve"> PAGEREF _Toc531255627 \h </w:instrText>
            </w:r>
            <w:r w:rsidR="00175B16">
              <w:rPr>
                <w:noProof/>
                <w:webHidden/>
              </w:rPr>
            </w:r>
            <w:r w:rsidR="00175B16">
              <w:rPr>
                <w:noProof/>
                <w:webHidden/>
              </w:rPr>
              <w:fldChar w:fldCharType="separate"/>
            </w:r>
            <w:r>
              <w:rPr>
                <w:noProof/>
                <w:webHidden/>
              </w:rPr>
              <w:t>17</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28" w:history="1">
            <w:r w:rsidR="00175B16" w:rsidRPr="00086C8A">
              <w:rPr>
                <w:rStyle w:val="Hyperlink"/>
                <w:rFonts w:eastAsia="Calibri"/>
                <w:noProof/>
                <w:lang w:val="sr-Latn-CS"/>
              </w:rPr>
              <w:t>OP/BP 4.01 (Procena životne sredine)</w:t>
            </w:r>
            <w:r w:rsidR="00175B16">
              <w:rPr>
                <w:noProof/>
                <w:webHidden/>
              </w:rPr>
              <w:tab/>
            </w:r>
            <w:r w:rsidR="00175B16">
              <w:rPr>
                <w:noProof/>
                <w:webHidden/>
              </w:rPr>
              <w:fldChar w:fldCharType="begin"/>
            </w:r>
            <w:r w:rsidR="00175B16">
              <w:rPr>
                <w:noProof/>
                <w:webHidden/>
              </w:rPr>
              <w:instrText xml:space="preserve"> PAGEREF _Toc531255628 \h </w:instrText>
            </w:r>
            <w:r w:rsidR="00175B16">
              <w:rPr>
                <w:noProof/>
                <w:webHidden/>
              </w:rPr>
            </w:r>
            <w:r w:rsidR="00175B16">
              <w:rPr>
                <w:noProof/>
                <w:webHidden/>
              </w:rPr>
              <w:fldChar w:fldCharType="separate"/>
            </w:r>
            <w:r>
              <w:rPr>
                <w:noProof/>
                <w:webHidden/>
              </w:rPr>
              <w:t>18</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29" w:history="1">
            <w:r w:rsidR="00175B16" w:rsidRPr="00086C8A">
              <w:rPr>
                <w:rStyle w:val="Hyperlink"/>
                <w:rFonts w:eastAsia="Calibri"/>
                <w:noProof/>
                <w:lang w:val="sr-Latn-CS"/>
              </w:rPr>
              <w:t>OP/ BP 4.09 (Upravljanje štetočinama) – nije pokrenuta</w:t>
            </w:r>
            <w:r w:rsidR="00175B16">
              <w:rPr>
                <w:noProof/>
                <w:webHidden/>
              </w:rPr>
              <w:tab/>
            </w:r>
            <w:r w:rsidR="00175B16">
              <w:rPr>
                <w:noProof/>
                <w:webHidden/>
              </w:rPr>
              <w:fldChar w:fldCharType="begin"/>
            </w:r>
            <w:r w:rsidR="00175B16">
              <w:rPr>
                <w:noProof/>
                <w:webHidden/>
              </w:rPr>
              <w:instrText xml:space="preserve"> PAGEREF _Toc531255629 \h </w:instrText>
            </w:r>
            <w:r w:rsidR="00175B16">
              <w:rPr>
                <w:noProof/>
                <w:webHidden/>
              </w:rPr>
            </w:r>
            <w:r w:rsidR="00175B16">
              <w:rPr>
                <w:noProof/>
                <w:webHidden/>
              </w:rPr>
              <w:fldChar w:fldCharType="separate"/>
            </w:r>
            <w:r>
              <w:rPr>
                <w:noProof/>
                <w:webHidden/>
              </w:rPr>
              <w:t>18</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30" w:history="1">
            <w:r w:rsidR="00175B16" w:rsidRPr="00086C8A">
              <w:rPr>
                <w:rStyle w:val="Hyperlink"/>
                <w:rFonts w:eastAsia="Calibri"/>
                <w:noProof/>
                <w:lang w:val="sr-Latn-CS"/>
              </w:rPr>
              <w:t>OP/BP 4.11 (Kulturno nasleđe) – nije pokrenuta</w:t>
            </w:r>
            <w:r w:rsidR="00175B16">
              <w:rPr>
                <w:noProof/>
                <w:webHidden/>
              </w:rPr>
              <w:tab/>
            </w:r>
            <w:r w:rsidR="00175B16">
              <w:rPr>
                <w:noProof/>
                <w:webHidden/>
              </w:rPr>
              <w:fldChar w:fldCharType="begin"/>
            </w:r>
            <w:r w:rsidR="00175B16">
              <w:rPr>
                <w:noProof/>
                <w:webHidden/>
              </w:rPr>
              <w:instrText xml:space="preserve"> PAGEREF _Toc531255630 \h </w:instrText>
            </w:r>
            <w:r w:rsidR="00175B16">
              <w:rPr>
                <w:noProof/>
                <w:webHidden/>
              </w:rPr>
            </w:r>
            <w:r w:rsidR="00175B16">
              <w:rPr>
                <w:noProof/>
                <w:webHidden/>
              </w:rPr>
              <w:fldChar w:fldCharType="separate"/>
            </w:r>
            <w:r>
              <w:rPr>
                <w:noProof/>
                <w:webHidden/>
              </w:rPr>
              <w:t>18</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31" w:history="1">
            <w:r w:rsidR="00175B16" w:rsidRPr="00086C8A">
              <w:rPr>
                <w:rStyle w:val="Hyperlink"/>
                <w:rFonts w:eastAsia="Calibri"/>
                <w:noProof/>
                <w:lang w:val="sr-Latn-CS"/>
              </w:rPr>
              <w:t>OP/BP 4.10 (Autohtoni narodi)</w:t>
            </w:r>
            <w:r w:rsidR="00175B16">
              <w:rPr>
                <w:noProof/>
                <w:webHidden/>
              </w:rPr>
              <w:tab/>
            </w:r>
            <w:r w:rsidR="00175B16">
              <w:rPr>
                <w:noProof/>
                <w:webHidden/>
              </w:rPr>
              <w:fldChar w:fldCharType="begin"/>
            </w:r>
            <w:r w:rsidR="00175B16">
              <w:rPr>
                <w:noProof/>
                <w:webHidden/>
              </w:rPr>
              <w:instrText xml:space="preserve"> PAGEREF _Toc531255631 \h </w:instrText>
            </w:r>
            <w:r w:rsidR="00175B16">
              <w:rPr>
                <w:noProof/>
                <w:webHidden/>
              </w:rPr>
            </w:r>
            <w:r w:rsidR="00175B16">
              <w:rPr>
                <w:noProof/>
                <w:webHidden/>
              </w:rPr>
              <w:fldChar w:fldCharType="separate"/>
            </w:r>
            <w:r>
              <w:rPr>
                <w:noProof/>
                <w:webHidden/>
              </w:rPr>
              <w:t>19</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32" w:history="1">
            <w:r w:rsidR="00175B16" w:rsidRPr="00086C8A">
              <w:rPr>
                <w:rStyle w:val="Hyperlink"/>
                <w:rFonts w:eastAsia="Calibri"/>
                <w:noProof/>
                <w:lang w:val="sr-Latn-CS"/>
              </w:rPr>
              <w:t>OP/BP 4.12 (Prinudno raseljavanje)</w:t>
            </w:r>
            <w:r w:rsidR="00175B16">
              <w:rPr>
                <w:noProof/>
                <w:webHidden/>
              </w:rPr>
              <w:tab/>
            </w:r>
            <w:r w:rsidR="00175B16">
              <w:rPr>
                <w:noProof/>
                <w:webHidden/>
              </w:rPr>
              <w:fldChar w:fldCharType="begin"/>
            </w:r>
            <w:r w:rsidR="00175B16">
              <w:rPr>
                <w:noProof/>
                <w:webHidden/>
              </w:rPr>
              <w:instrText xml:space="preserve"> PAGEREF _Toc531255632 \h </w:instrText>
            </w:r>
            <w:r w:rsidR="00175B16">
              <w:rPr>
                <w:noProof/>
                <w:webHidden/>
              </w:rPr>
            </w:r>
            <w:r w:rsidR="00175B16">
              <w:rPr>
                <w:noProof/>
                <w:webHidden/>
              </w:rPr>
              <w:fldChar w:fldCharType="separate"/>
            </w:r>
            <w:r>
              <w:rPr>
                <w:noProof/>
                <w:webHidden/>
              </w:rPr>
              <w:t>19</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33" w:history="1">
            <w:r w:rsidR="00175B16" w:rsidRPr="00086C8A">
              <w:rPr>
                <w:rStyle w:val="Hyperlink"/>
                <w:rFonts w:eastAsia="Arial"/>
                <w:noProof/>
                <w:lang w:val="sr-Latn-CS"/>
              </w:rPr>
              <w:t>Pregled nacionalnog zakonodavstva i  okvir upravljanja životnom sredinom i procena uticaja na društvo</w:t>
            </w:r>
            <w:r w:rsidR="00175B16">
              <w:rPr>
                <w:noProof/>
                <w:webHidden/>
              </w:rPr>
              <w:tab/>
            </w:r>
            <w:r w:rsidR="00175B16">
              <w:rPr>
                <w:noProof/>
                <w:webHidden/>
              </w:rPr>
              <w:fldChar w:fldCharType="begin"/>
            </w:r>
            <w:r w:rsidR="00175B16">
              <w:rPr>
                <w:noProof/>
                <w:webHidden/>
              </w:rPr>
              <w:instrText xml:space="preserve"> PAGEREF _Toc531255633 \h </w:instrText>
            </w:r>
            <w:r w:rsidR="00175B16">
              <w:rPr>
                <w:noProof/>
                <w:webHidden/>
              </w:rPr>
            </w:r>
            <w:r w:rsidR="00175B16">
              <w:rPr>
                <w:noProof/>
                <w:webHidden/>
              </w:rPr>
              <w:fldChar w:fldCharType="separate"/>
            </w:r>
            <w:r>
              <w:rPr>
                <w:noProof/>
                <w:webHidden/>
              </w:rPr>
              <w:t>19</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34" w:history="1">
            <w:r w:rsidR="00175B16" w:rsidRPr="00086C8A">
              <w:rPr>
                <w:rStyle w:val="Hyperlink"/>
                <w:rFonts w:eastAsia="Arial"/>
                <w:noProof/>
                <w:lang w:val="sr-Latn-CS"/>
              </w:rPr>
              <w:t>Potencijalni uticaji na životnu sredinu</w:t>
            </w:r>
            <w:r w:rsidR="00175B16">
              <w:rPr>
                <w:noProof/>
                <w:webHidden/>
              </w:rPr>
              <w:tab/>
            </w:r>
            <w:r w:rsidR="00175B16">
              <w:rPr>
                <w:noProof/>
                <w:webHidden/>
              </w:rPr>
              <w:fldChar w:fldCharType="begin"/>
            </w:r>
            <w:r w:rsidR="00175B16">
              <w:rPr>
                <w:noProof/>
                <w:webHidden/>
              </w:rPr>
              <w:instrText xml:space="preserve"> PAGEREF _Toc531255634 \h </w:instrText>
            </w:r>
            <w:r w:rsidR="00175B16">
              <w:rPr>
                <w:noProof/>
                <w:webHidden/>
              </w:rPr>
            </w:r>
            <w:r w:rsidR="00175B16">
              <w:rPr>
                <w:noProof/>
                <w:webHidden/>
              </w:rPr>
              <w:fldChar w:fldCharType="separate"/>
            </w:r>
            <w:r>
              <w:rPr>
                <w:noProof/>
                <w:webHidden/>
              </w:rPr>
              <w:t>22</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35" w:history="1">
            <w:r w:rsidR="00175B16" w:rsidRPr="00086C8A">
              <w:rPr>
                <w:rStyle w:val="Hyperlink"/>
                <w:rFonts w:eastAsia="Arial"/>
                <w:noProof/>
                <w:lang w:val="sr-Latn-CS"/>
              </w:rPr>
              <w:t>Mere ublažavanja</w:t>
            </w:r>
            <w:r w:rsidR="00175B16">
              <w:rPr>
                <w:noProof/>
                <w:webHidden/>
              </w:rPr>
              <w:tab/>
            </w:r>
            <w:r w:rsidR="00175B16">
              <w:rPr>
                <w:noProof/>
                <w:webHidden/>
              </w:rPr>
              <w:fldChar w:fldCharType="begin"/>
            </w:r>
            <w:r w:rsidR="00175B16">
              <w:rPr>
                <w:noProof/>
                <w:webHidden/>
              </w:rPr>
              <w:instrText xml:space="preserve"> PAGEREF _Toc531255635 \h </w:instrText>
            </w:r>
            <w:r w:rsidR="00175B16">
              <w:rPr>
                <w:noProof/>
                <w:webHidden/>
              </w:rPr>
            </w:r>
            <w:r w:rsidR="00175B16">
              <w:rPr>
                <w:noProof/>
                <w:webHidden/>
              </w:rPr>
              <w:fldChar w:fldCharType="separate"/>
            </w:r>
            <w:r>
              <w:rPr>
                <w:noProof/>
                <w:webHidden/>
              </w:rPr>
              <w:t>22</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36" w:history="1">
            <w:r w:rsidR="00175B16" w:rsidRPr="00086C8A">
              <w:rPr>
                <w:rStyle w:val="Hyperlink"/>
                <w:rFonts w:eastAsia="Arial"/>
                <w:noProof/>
                <w:lang w:val="sr-Latn-CS"/>
              </w:rPr>
              <w:t>Procena životne sredine</w:t>
            </w:r>
            <w:r w:rsidR="00175B16">
              <w:rPr>
                <w:noProof/>
                <w:webHidden/>
              </w:rPr>
              <w:tab/>
            </w:r>
            <w:r w:rsidR="00175B16">
              <w:rPr>
                <w:noProof/>
                <w:webHidden/>
              </w:rPr>
              <w:fldChar w:fldCharType="begin"/>
            </w:r>
            <w:r w:rsidR="00175B16">
              <w:rPr>
                <w:noProof/>
                <w:webHidden/>
              </w:rPr>
              <w:instrText xml:space="preserve"> PAGEREF _Toc531255636 \h </w:instrText>
            </w:r>
            <w:r w:rsidR="00175B16">
              <w:rPr>
                <w:noProof/>
                <w:webHidden/>
              </w:rPr>
            </w:r>
            <w:r w:rsidR="00175B16">
              <w:rPr>
                <w:noProof/>
                <w:webHidden/>
              </w:rPr>
              <w:fldChar w:fldCharType="separate"/>
            </w:r>
            <w:r>
              <w:rPr>
                <w:noProof/>
                <w:webHidden/>
              </w:rPr>
              <w:t>23</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37" w:history="1">
            <w:r w:rsidR="00175B16" w:rsidRPr="00086C8A">
              <w:rPr>
                <w:rStyle w:val="Hyperlink"/>
                <w:rFonts w:eastAsia="Arial"/>
                <w:noProof/>
                <w:lang w:val="sr-Latn-CS"/>
              </w:rPr>
              <w:t>Analiza životne sredine</w:t>
            </w:r>
            <w:r w:rsidR="00175B16">
              <w:rPr>
                <w:noProof/>
                <w:webHidden/>
              </w:rPr>
              <w:tab/>
            </w:r>
            <w:r w:rsidR="00175B16">
              <w:rPr>
                <w:noProof/>
                <w:webHidden/>
              </w:rPr>
              <w:fldChar w:fldCharType="begin"/>
            </w:r>
            <w:r w:rsidR="00175B16">
              <w:rPr>
                <w:noProof/>
                <w:webHidden/>
              </w:rPr>
              <w:instrText xml:space="preserve"> PAGEREF _Toc531255637 \h </w:instrText>
            </w:r>
            <w:r w:rsidR="00175B16">
              <w:rPr>
                <w:noProof/>
                <w:webHidden/>
              </w:rPr>
            </w:r>
            <w:r w:rsidR="00175B16">
              <w:rPr>
                <w:noProof/>
                <w:webHidden/>
              </w:rPr>
              <w:fldChar w:fldCharType="separate"/>
            </w:r>
            <w:r>
              <w:rPr>
                <w:noProof/>
                <w:webHidden/>
              </w:rPr>
              <w:t>23</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38" w:history="1">
            <w:r w:rsidR="00175B16" w:rsidRPr="00086C8A">
              <w:rPr>
                <w:rStyle w:val="Hyperlink"/>
                <w:rFonts w:eastAsia="Arial"/>
                <w:noProof/>
                <w:lang w:val="sr-Latn-CS"/>
              </w:rPr>
              <w:t>Mehanizam za ulaganje žalbi</w:t>
            </w:r>
            <w:r w:rsidR="00175B16">
              <w:rPr>
                <w:noProof/>
                <w:webHidden/>
              </w:rPr>
              <w:tab/>
            </w:r>
            <w:r w:rsidR="00175B16">
              <w:rPr>
                <w:noProof/>
                <w:webHidden/>
              </w:rPr>
              <w:fldChar w:fldCharType="begin"/>
            </w:r>
            <w:r w:rsidR="00175B16">
              <w:rPr>
                <w:noProof/>
                <w:webHidden/>
              </w:rPr>
              <w:instrText xml:space="preserve"> PAGEREF _Toc531255638 \h </w:instrText>
            </w:r>
            <w:r w:rsidR="00175B16">
              <w:rPr>
                <w:noProof/>
                <w:webHidden/>
              </w:rPr>
            </w:r>
            <w:r w:rsidR="00175B16">
              <w:rPr>
                <w:noProof/>
                <w:webHidden/>
              </w:rPr>
              <w:fldChar w:fldCharType="separate"/>
            </w:r>
            <w:r>
              <w:rPr>
                <w:noProof/>
                <w:webHidden/>
              </w:rPr>
              <w:t>24</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39" w:history="1">
            <w:r w:rsidR="00175B16" w:rsidRPr="00086C8A">
              <w:rPr>
                <w:rStyle w:val="Hyperlink"/>
                <w:rFonts w:eastAsia="Arial"/>
                <w:noProof/>
                <w:lang w:val="sr-Latn-CS"/>
              </w:rPr>
              <w:t xml:space="preserve">Praćenje usklađenosti i izveštavanje o </w:t>
            </w:r>
            <w:r w:rsidR="000818B6">
              <w:rPr>
                <w:rStyle w:val="Hyperlink"/>
                <w:rFonts w:eastAsia="Arial"/>
                <w:noProof/>
                <w:lang w:val="sr-Latn-CS"/>
              </w:rPr>
              <w:t>OUSŽS</w:t>
            </w:r>
            <w:r w:rsidR="00175B16" w:rsidRPr="00086C8A">
              <w:rPr>
                <w:rStyle w:val="Hyperlink"/>
                <w:rFonts w:eastAsia="Arial"/>
                <w:noProof/>
                <w:lang w:val="sr-Latn-CS"/>
              </w:rPr>
              <w:t>-u</w:t>
            </w:r>
            <w:r w:rsidR="00175B16">
              <w:rPr>
                <w:noProof/>
                <w:webHidden/>
              </w:rPr>
              <w:tab/>
            </w:r>
            <w:r w:rsidR="00175B16">
              <w:rPr>
                <w:noProof/>
                <w:webHidden/>
              </w:rPr>
              <w:fldChar w:fldCharType="begin"/>
            </w:r>
            <w:r w:rsidR="00175B16">
              <w:rPr>
                <w:noProof/>
                <w:webHidden/>
              </w:rPr>
              <w:instrText xml:space="preserve"> PAGEREF _Toc531255639 \h </w:instrText>
            </w:r>
            <w:r w:rsidR="00175B16">
              <w:rPr>
                <w:noProof/>
                <w:webHidden/>
              </w:rPr>
            </w:r>
            <w:r w:rsidR="00175B16">
              <w:rPr>
                <w:noProof/>
                <w:webHidden/>
              </w:rPr>
              <w:fldChar w:fldCharType="separate"/>
            </w:r>
            <w:r>
              <w:rPr>
                <w:noProof/>
                <w:webHidden/>
              </w:rPr>
              <w:t>24</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40" w:history="1">
            <w:r w:rsidR="00175B16" w:rsidRPr="00086C8A">
              <w:rPr>
                <w:rStyle w:val="Hyperlink"/>
                <w:rFonts w:eastAsia="Arial"/>
                <w:noProof/>
                <w:lang w:val="sr-Latn-CS"/>
              </w:rPr>
              <w:t>Objavljivanje i konsultacije</w:t>
            </w:r>
            <w:r w:rsidR="00175B16">
              <w:rPr>
                <w:noProof/>
                <w:webHidden/>
              </w:rPr>
              <w:tab/>
            </w:r>
            <w:r w:rsidR="00175B16">
              <w:rPr>
                <w:noProof/>
                <w:webHidden/>
              </w:rPr>
              <w:fldChar w:fldCharType="begin"/>
            </w:r>
            <w:r w:rsidR="00175B16">
              <w:rPr>
                <w:noProof/>
                <w:webHidden/>
              </w:rPr>
              <w:instrText xml:space="preserve"> PAGEREF _Toc531255640 \h </w:instrText>
            </w:r>
            <w:r w:rsidR="00175B16">
              <w:rPr>
                <w:noProof/>
                <w:webHidden/>
              </w:rPr>
            </w:r>
            <w:r w:rsidR="00175B16">
              <w:rPr>
                <w:noProof/>
                <w:webHidden/>
              </w:rPr>
              <w:fldChar w:fldCharType="separate"/>
            </w:r>
            <w:r>
              <w:rPr>
                <w:noProof/>
                <w:webHidden/>
              </w:rPr>
              <w:t>25</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41" w:history="1">
            <w:r w:rsidR="00175B16" w:rsidRPr="00086C8A">
              <w:rPr>
                <w:rStyle w:val="Hyperlink"/>
                <w:rFonts w:eastAsia="Arial"/>
                <w:noProof/>
                <w:lang w:val="sr-Latn-CS"/>
              </w:rPr>
              <w:t>ANEKSI</w:t>
            </w:r>
            <w:r w:rsidR="00175B16">
              <w:rPr>
                <w:noProof/>
                <w:webHidden/>
              </w:rPr>
              <w:tab/>
            </w:r>
            <w:r w:rsidR="00175B16">
              <w:rPr>
                <w:noProof/>
                <w:webHidden/>
              </w:rPr>
              <w:fldChar w:fldCharType="begin"/>
            </w:r>
            <w:r w:rsidR="00175B16">
              <w:rPr>
                <w:noProof/>
                <w:webHidden/>
              </w:rPr>
              <w:instrText xml:space="preserve"> PAGEREF _Toc531255641 \h </w:instrText>
            </w:r>
            <w:r w:rsidR="00175B16">
              <w:rPr>
                <w:noProof/>
                <w:webHidden/>
              </w:rPr>
            </w:r>
            <w:r w:rsidR="00175B16">
              <w:rPr>
                <w:noProof/>
                <w:webHidden/>
              </w:rPr>
              <w:fldChar w:fldCharType="separate"/>
            </w:r>
            <w:r>
              <w:rPr>
                <w:noProof/>
                <w:webHidden/>
              </w:rPr>
              <w:t>26</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42" w:history="1">
            <w:r w:rsidR="00175B16" w:rsidRPr="00086C8A">
              <w:rPr>
                <w:rStyle w:val="Hyperlink"/>
                <w:rFonts w:eastAsia="Arial"/>
                <w:noProof/>
                <w:lang w:val="sr-Latn-CS"/>
              </w:rPr>
              <w:t>ANEKS 1 - ODGOVORNOSTI I KLJUČNI UČESNICI</w:t>
            </w:r>
            <w:r w:rsidR="00175B16">
              <w:rPr>
                <w:noProof/>
                <w:webHidden/>
              </w:rPr>
              <w:tab/>
            </w:r>
            <w:r w:rsidR="00175B16">
              <w:rPr>
                <w:noProof/>
                <w:webHidden/>
              </w:rPr>
              <w:fldChar w:fldCharType="begin"/>
            </w:r>
            <w:r w:rsidR="00175B16">
              <w:rPr>
                <w:noProof/>
                <w:webHidden/>
              </w:rPr>
              <w:instrText xml:space="preserve"> PAGEREF _Toc531255642 \h </w:instrText>
            </w:r>
            <w:r w:rsidR="00175B16">
              <w:rPr>
                <w:noProof/>
                <w:webHidden/>
              </w:rPr>
            </w:r>
            <w:r w:rsidR="00175B16">
              <w:rPr>
                <w:noProof/>
                <w:webHidden/>
              </w:rPr>
              <w:fldChar w:fldCharType="separate"/>
            </w:r>
            <w:r>
              <w:rPr>
                <w:noProof/>
                <w:webHidden/>
              </w:rPr>
              <w:t>26</w:t>
            </w:r>
            <w:r w:rsidR="00175B16">
              <w:rPr>
                <w:noProof/>
                <w:webHidden/>
              </w:rPr>
              <w:fldChar w:fldCharType="end"/>
            </w:r>
          </w:hyperlink>
        </w:p>
        <w:p w:rsidR="00175B16" w:rsidRDefault="007247E1">
          <w:pPr>
            <w:pStyle w:val="TOC1"/>
            <w:tabs>
              <w:tab w:val="left" w:pos="1860"/>
              <w:tab w:val="right" w:leader="dot" w:pos="10460"/>
            </w:tabs>
            <w:rPr>
              <w:rFonts w:asciiTheme="minorHAnsi" w:eastAsiaTheme="minorEastAsia" w:hAnsiTheme="minorHAnsi" w:cstheme="minorBidi"/>
              <w:noProof/>
              <w:sz w:val="22"/>
              <w:szCs w:val="22"/>
              <w:lang w:val="sq-AL" w:eastAsia="sq-AL"/>
            </w:rPr>
          </w:pPr>
          <w:hyperlink w:anchor="_Toc531255643" w:history="1">
            <w:r w:rsidR="00175B16" w:rsidRPr="00086C8A">
              <w:rPr>
                <w:rStyle w:val="Hyperlink"/>
                <w:bCs/>
                <w:noProof/>
                <w:lang w:val="sr-Latn-CS"/>
              </w:rPr>
              <w:t>ANEKS</w:t>
            </w:r>
            <w:r w:rsidR="00175B16">
              <w:rPr>
                <w:rFonts w:asciiTheme="minorHAnsi" w:eastAsiaTheme="minorEastAsia" w:hAnsiTheme="minorHAnsi" w:cstheme="minorBidi"/>
                <w:noProof/>
                <w:sz w:val="22"/>
                <w:szCs w:val="22"/>
                <w:lang w:val="sq-AL" w:eastAsia="sq-AL"/>
              </w:rPr>
              <w:tab/>
            </w:r>
            <w:r w:rsidR="00175B16" w:rsidRPr="00086C8A">
              <w:rPr>
                <w:rStyle w:val="Hyperlink"/>
                <w:bCs/>
                <w:noProof/>
                <w:lang w:val="sr-Latn-CS"/>
              </w:rPr>
              <w:t>2 – UPITNIK O PROCENI UTICAJA NA ŽIVOTNU SREDUINU I DRUŠTVO za  INFRASTRUKTURU  (čak i neznatna infrastruktura)</w:t>
            </w:r>
            <w:r w:rsidR="00175B16">
              <w:rPr>
                <w:noProof/>
                <w:webHidden/>
              </w:rPr>
              <w:tab/>
            </w:r>
            <w:r w:rsidR="00175B16">
              <w:rPr>
                <w:noProof/>
                <w:webHidden/>
              </w:rPr>
              <w:fldChar w:fldCharType="begin"/>
            </w:r>
            <w:r w:rsidR="00175B16">
              <w:rPr>
                <w:noProof/>
                <w:webHidden/>
              </w:rPr>
              <w:instrText xml:space="preserve"> PAGEREF _Toc531255643 \h </w:instrText>
            </w:r>
            <w:r w:rsidR="00175B16">
              <w:rPr>
                <w:noProof/>
                <w:webHidden/>
              </w:rPr>
            </w:r>
            <w:r w:rsidR="00175B16">
              <w:rPr>
                <w:noProof/>
                <w:webHidden/>
              </w:rPr>
              <w:fldChar w:fldCharType="separate"/>
            </w:r>
            <w:r>
              <w:rPr>
                <w:noProof/>
                <w:webHidden/>
              </w:rPr>
              <w:t>27</w:t>
            </w:r>
            <w:r w:rsidR="00175B16">
              <w:rPr>
                <w:noProof/>
                <w:webHidden/>
              </w:rPr>
              <w:fldChar w:fldCharType="end"/>
            </w:r>
          </w:hyperlink>
        </w:p>
        <w:p w:rsidR="00175B16" w:rsidRDefault="007247E1">
          <w:pPr>
            <w:pStyle w:val="TOC1"/>
            <w:tabs>
              <w:tab w:val="right" w:leader="dot" w:pos="10460"/>
            </w:tabs>
            <w:rPr>
              <w:rFonts w:asciiTheme="minorHAnsi" w:eastAsiaTheme="minorEastAsia" w:hAnsiTheme="minorHAnsi" w:cstheme="minorBidi"/>
              <w:noProof/>
              <w:sz w:val="22"/>
              <w:szCs w:val="22"/>
              <w:lang w:val="sq-AL" w:eastAsia="sq-AL"/>
            </w:rPr>
          </w:pPr>
          <w:hyperlink w:anchor="_Toc531255644" w:history="1">
            <w:r w:rsidR="00175B16" w:rsidRPr="00086C8A">
              <w:rPr>
                <w:rStyle w:val="Hyperlink"/>
                <w:bCs/>
                <w:noProof/>
                <w:lang w:val="sr-Latn-CS"/>
              </w:rPr>
              <w:t>Naziv odeljka</w:t>
            </w:r>
            <w:r w:rsidR="00175B16" w:rsidRPr="00086C8A">
              <w:rPr>
                <w:rStyle w:val="Hyperlink"/>
                <w:rFonts w:eastAsia="Arial"/>
                <w:noProof/>
                <w:lang w:val="sr-Latn-CS"/>
              </w:rPr>
              <w:t>:</w:t>
            </w:r>
            <w:r w:rsidR="00175B16">
              <w:rPr>
                <w:noProof/>
                <w:webHidden/>
              </w:rPr>
              <w:tab/>
            </w:r>
            <w:r w:rsidR="00175B16">
              <w:rPr>
                <w:noProof/>
                <w:webHidden/>
              </w:rPr>
              <w:fldChar w:fldCharType="begin"/>
            </w:r>
            <w:r w:rsidR="00175B16">
              <w:rPr>
                <w:noProof/>
                <w:webHidden/>
              </w:rPr>
              <w:instrText xml:space="preserve"> PAGEREF _Toc531255644 \h </w:instrText>
            </w:r>
            <w:r w:rsidR="00175B16">
              <w:rPr>
                <w:noProof/>
                <w:webHidden/>
              </w:rPr>
            </w:r>
            <w:r w:rsidR="00175B16">
              <w:rPr>
                <w:noProof/>
                <w:webHidden/>
              </w:rPr>
              <w:fldChar w:fldCharType="separate"/>
            </w:r>
            <w:r>
              <w:rPr>
                <w:noProof/>
                <w:webHidden/>
              </w:rPr>
              <w:t>27</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45" w:history="1">
            <w:r w:rsidR="00175B16" w:rsidRPr="00086C8A">
              <w:rPr>
                <w:rStyle w:val="Hyperlink"/>
                <w:rFonts w:eastAsia="Arial"/>
                <w:noProof/>
                <w:lang w:val="sr-Latn-CS"/>
              </w:rPr>
              <w:t>ANEKS 3 – OBRAZAC KONTROLNE LISTE PLANA ZA PROCENU ŽIVOTNE SREDINE I DRUŠTVA</w:t>
            </w:r>
            <w:r w:rsidR="00175B16">
              <w:rPr>
                <w:noProof/>
                <w:webHidden/>
              </w:rPr>
              <w:tab/>
            </w:r>
            <w:r w:rsidR="00175B16">
              <w:rPr>
                <w:noProof/>
                <w:webHidden/>
              </w:rPr>
              <w:fldChar w:fldCharType="begin"/>
            </w:r>
            <w:r w:rsidR="00175B16">
              <w:rPr>
                <w:noProof/>
                <w:webHidden/>
              </w:rPr>
              <w:instrText xml:space="preserve"> PAGEREF _Toc531255645 \h </w:instrText>
            </w:r>
            <w:r w:rsidR="00175B16">
              <w:rPr>
                <w:noProof/>
                <w:webHidden/>
              </w:rPr>
            </w:r>
            <w:r w:rsidR="00175B16">
              <w:rPr>
                <w:noProof/>
                <w:webHidden/>
              </w:rPr>
              <w:fldChar w:fldCharType="separate"/>
            </w:r>
            <w:r>
              <w:rPr>
                <w:noProof/>
                <w:webHidden/>
              </w:rPr>
              <w:t>28</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46" w:history="1">
            <w:r w:rsidR="00175B16" w:rsidRPr="00086C8A">
              <w:rPr>
                <w:rStyle w:val="Hyperlink"/>
                <w:rFonts w:eastAsia="Arial"/>
                <w:noProof/>
                <w:lang w:val="sr-Latn-CS"/>
              </w:rPr>
              <w:t>Uvod</w:t>
            </w:r>
            <w:r w:rsidR="00175B16">
              <w:rPr>
                <w:noProof/>
                <w:webHidden/>
              </w:rPr>
              <w:tab/>
            </w:r>
            <w:r w:rsidR="00175B16">
              <w:rPr>
                <w:noProof/>
                <w:webHidden/>
              </w:rPr>
              <w:fldChar w:fldCharType="begin"/>
            </w:r>
            <w:r w:rsidR="00175B16">
              <w:rPr>
                <w:noProof/>
                <w:webHidden/>
              </w:rPr>
              <w:instrText xml:space="preserve"> PAGEREF _Toc531255646 \h </w:instrText>
            </w:r>
            <w:r w:rsidR="00175B16">
              <w:rPr>
                <w:noProof/>
                <w:webHidden/>
              </w:rPr>
            </w:r>
            <w:r w:rsidR="00175B16">
              <w:rPr>
                <w:noProof/>
                <w:webHidden/>
              </w:rPr>
              <w:fldChar w:fldCharType="separate"/>
            </w:r>
            <w:r>
              <w:rPr>
                <w:noProof/>
                <w:webHidden/>
              </w:rPr>
              <w:t>28</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47" w:history="1">
            <w:r w:rsidR="00175B16" w:rsidRPr="00086C8A">
              <w:rPr>
                <w:rStyle w:val="Hyperlink"/>
                <w:rFonts w:eastAsia="Arial"/>
                <w:noProof/>
                <w:lang w:val="sr-Latn-CS"/>
              </w:rPr>
              <w:t>Potencijalni uticaji na životnu sredinu</w:t>
            </w:r>
            <w:r w:rsidR="00175B16">
              <w:rPr>
                <w:noProof/>
                <w:webHidden/>
              </w:rPr>
              <w:tab/>
            </w:r>
            <w:r w:rsidR="00175B16">
              <w:rPr>
                <w:noProof/>
                <w:webHidden/>
              </w:rPr>
              <w:fldChar w:fldCharType="begin"/>
            </w:r>
            <w:r w:rsidR="00175B16">
              <w:rPr>
                <w:noProof/>
                <w:webHidden/>
              </w:rPr>
              <w:instrText xml:space="preserve"> PAGEREF _Toc531255647 \h </w:instrText>
            </w:r>
            <w:r w:rsidR="00175B16">
              <w:rPr>
                <w:noProof/>
                <w:webHidden/>
              </w:rPr>
            </w:r>
            <w:r w:rsidR="00175B16">
              <w:rPr>
                <w:noProof/>
                <w:webHidden/>
              </w:rPr>
              <w:fldChar w:fldCharType="separate"/>
            </w:r>
            <w:r>
              <w:rPr>
                <w:noProof/>
                <w:webHidden/>
              </w:rPr>
              <w:t>28</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48" w:history="1">
            <w:r w:rsidR="00175B16" w:rsidRPr="00086C8A">
              <w:rPr>
                <w:rStyle w:val="Hyperlink"/>
                <w:rFonts w:eastAsia="Arial"/>
                <w:noProof/>
                <w:lang w:val="sr-Latn-CS"/>
              </w:rPr>
              <w:t>Podprojektne aktivnosti i uticaji na životnu sredinu</w:t>
            </w:r>
            <w:r w:rsidR="00175B16">
              <w:rPr>
                <w:noProof/>
                <w:webHidden/>
              </w:rPr>
              <w:tab/>
            </w:r>
            <w:r w:rsidR="00175B16">
              <w:rPr>
                <w:noProof/>
                <w:webHidden/>
              </w:rPr>
              <w:fldChar w:fldCharType="begin"/>
            </w:r>
            <w:r w:rsidR="00175B16">
              <w:rPr>
                <w:noProof/>
                <w:webHidden/>
              </w:rPr>
              <w:instrText xml:space="preserve"> PAGEREF _Toc531255648 \h </w:instrText>
            </w:r>
            <w:r w:rsidR="00175B16">
              <w:rPr>
                <w:noProof/>
                <w:webHidden/>
              </w:rPr>
            </w:r>
            <w:r w:rsidR="00175B16">
              <w:rPr>
                <w:noProof/>
                <w:webHidden/>
              </w:rPr>
              <w:fldChar w:fldCharType="separate"/>
            </w:r>
            <w:r>
              <w:rPr>
                <w:noProof/>
                <w:webHidden/>
              </w:rPr>
              <w:t>28</w:t>
            </w:r>
            <w:r w:rsidR="00175B16">
              <w:rPr>
                <w:noProof/>
                <w:webHidden/>
              </w:rPr>
              <w:fldChar w:fldCharType="end"/>
            </w:r>
          </w:hyperlink>
        </w:p>
        <w:p w:rsidR="00175B16" w:rsidRDefault="007247E1">
          <w:pPr>
            <w:pStyle w:val="TOC3"/>
            <w:tabs>
              <w:tab w:val="right" w:leader="dot" w:pos="10460"/>
            </w:tabs>
            <w:rPr>
              <w:rFonts w:asciiTheme="minorHAnsi" w:eastAsiaTheme="minorEastAsia" w:hAnsiTheme="minorHAnsi" w:cstheme="minorBidi"/>
              <w:noProof/>
              <w:sz w:val="22"/>
              <w:szCs w:val="22"/>
              <w:lang w:val="sq-AL" w:eastAsia="sq-AL"/>
            </w:rPr>
          </w:pPr>
          <w:hyperlink w:anchor="_Toc531255649" w:history="1">
            <w:r w:rsidR="00175B16" w:rsidRPr="00086C8A">
              <w:rPr>
                <w:rStyle w:val="Hyperlink"/>
                <w:rFonts w:eastAsia="Arial"/>
                <w:noProof/>
                <w:lang w:val="sr-Latn-CS"/>
              </w:rPr>
              <w:t xml:space="preserve">Kontrolna lista </w:t>
            </w:r>
            <w:r w:rsidR="000818B6">
              <w:rPr>
                <w:rStyle w:val="Hyperlink"/>
                <w:rFonts w:eastAsia="Arial"/>
                <w:noProof/>
                <w:lang w:val="sr-Latn-CS"/>
              </w:rPr>
              <w:t>PUSŽS</w:t>
            </w:r>
            <w:r w:rsidR="00175B16" w:rsidRPr="00086C8A">
              <w:rPr>
                <w:rStyle w:val="Hyperlink"/>
                <w:rFonts w:eastAsia="Arial"/>
                <w:noProof/>
                <w:lang w:val="sr-Latn-CS"/>
              </w:rPr>
              <w:t>-a</w:t>
            </w:r>
            <w:r w:rsidR="00175B16">
              <w:rPr>
                <w:noProof/>
                <w:webHidden/>
              </w:rPr>
              <w:tab/>
            </w:r>
            <w:r w:rsidR="00175B16">
              <w:rPr>
                <w:noProof/>
                <w:webHidden/>
              </w:rPr>
              <w:fldChar w:fldCharType="begin"/>
            </w:r>
            <w:r w:rsidR="00175B16">
              <w:rPr>
                <w:noProof/>
                <w:webHidden/>
              </w:rPr>
              <w:instrText xml:space="preserve"> PAGEREF _Toc531255649 \h </w:instrText>
            </w:r>
            <w:r w:rsidR="00175B16">
              <w:rPr>
                <w:noProof/>
                <w:webHidden/>
              </w:rPr>
            </w:r>
            <w:r w:rsidR="00175B16">
              <w:rPr>
                <w:noProof/>
                <w:webHidden/>
              </w:rPr>
              <w:fldChar w:fldCharType="separate"/>
            </w:r>
            <w:r>
              <w:rPr>
                <w:noProof/>
                <w:webHidden/>
              </w:rPr>
              <w:t>28</w:t>
            </w:r>
            <w:r w:rsidR="00175B16">
              <w:rPr>
                <w:noProof/>
                <w:webHidden/>
              </w:rPr>
              <w:fldChar w:fldCharType="end"/>
            </w:r>
          </w:hyperlink>
        </w:p>
        <w:p w:rsidR="00175B16" w:rsidRDefault="007247E1">
          <w:pPr>
            <w:pStyle w:val="TOC3"/>
            <w:tabs>
              <w:tab w:val="right" w:leader="dot" w:pos="10460"/>
            </w:tabs>
            <w:rPr>
              <w:rFonts w:asciiTheme="minorHAnsi" w:eastAsiaTheme="minorEastAsia" w:hAnsiTheme="minorHAnsi" w:cstheme="minorBidi"/>
              <w:noProof/>
              <w:sz w:val="22"/>
              <w:szCs w:val="22"/>
              <w:lang w:val="sq-AL" w:eastAsia="sq-AL"/>
            </w:rPr>
          </w:pPr>
          <w:hyperlink w:anchor="_Toc531255650" w:history="1">
            <w:r w:rsidR="00175B16" w:rsidRPr="00086C8A">
              <w:rPr>
                <w:rStyle w:val="Hyperlink"/>
                <w:rFonts w:eastAsia="Arial"/>
                <w:noProof/>
                <w:lang w:val="sr-Latn-CS"/>
              </w:rPr>
              <w:t>Primena kontrolne liste EMP-a</w:t>
            </w:r>
            <w:r w:rsidR="00175B16">
              <w:rPr>
                <w:noProof/>
                <w:webHidden/>
              </w:rPr>
              <w:tab/>
            </w:r>
            <w:r w:rsidR="00175B16">
              <w:rPr>
                <w:noProof/>
                <w:webHidden/>
              </w:rPr>
              <w:fldChar w:fldCharType="begin"/>
            </w:r>
            <w:r w:rsidR="00175B16">
              <w:rPr>
                <w:noProof/>
                <w:webHidden/>
              </w:rPr>
              <w:instrText xml:space="preserve"> PAGEREF _Toc531255650 \h </w:instrText>
            </w:r>
            <w:r w:rsidR="00175B16">
              <w:rPr>
                <w:noProof/>
                <w:webHidden/>
              </w:rPr>
            </w:r>
            <w:r w:rsidR="00175B16">
              <w:rPr>
                <w:noProof/>
                <w:webHidden/>
              </w:rPr>
              <w:fldChar w:fldCharType="separate"/>
            </w:r>
            <w:r>
              <w:rPr>
                <w:noProof/>
                <w:webHidden/>
              </w:rPr>
              <w:t>29</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51" w:history="1">
            <w:r w:rsidR="00175B16" w:rsidRPr="00086C8A">
              <w:rPr>
                <w:rStyle w:val="Hyperlink"/>
                <w:rFonts w:eastAsia="NSimSun"/>
                <w:noProof/>
                <w:lang w:val="sr-Latn-CS"/>
              </w:rPr>
              <w:t>Praćenje i izveštavanje</w:t>
            </w:r>
            <w:r w:rsidR="00175B16">
              <w:rPr>
                <w:noProof/>
                <w:webHidden/>
              </w:rPr>
              <w:tab/>
            </w:r>
            <w:r w:rsidR="00175B16">
              <w:rPr>
                <w:noProof/>
                <w:webHidden/>
              </w:rPr>
              <w:fldChar w:fldCharType="begin"/>
            </w:r>
            <w:r w:rsidR="00175B16">
              <w:rPr>
                <w:noProof/>
                <w:webHidden/>
              </w:rPr>
              <w:instrText xml:space="preserve"> PAGEREF _Toc531255651 \h </w:instrText>
            </w:r>
            <w:r w:rsidR="00175B16">
              <w:rPr>
                <w:noProof/>
                <w:webHidden/>
              </w:rPr>
            </w:r>
            <w:r w:rsidR="00175B16">
              <w:rPr>
                <w:noProof/>
                <w:webHidden/>
              </w:rPr>
              <w:fldChar w:fldCharType="separate"/>
            </w:r>
            <w:r>
              <w:rPr>
                <w:noProof/>
                <w:webHidden/>
              </w:rPr>
              <w:t>29</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52" w:history="1">
            <w:r w:rsidR="00175B16" w:rsidRPr="00086C8A">
              <w:rPr>
                <w:rStyle w:val="Hyperlink"/>
                <w:rFonts w:eastAsia="Arial"/>
                <w:noProof/>
                <w:lang w:val="sr-Latn-CS"/>
              </w:rPr>
              <w:t>ANNEX 4 – ENVIRONMENTAL AND SOCIAL MANAGEMENT PLAN TEMPLATE</w:t>
            </w:r>
            <w:r w:rsidR="00175B16">
              <w:rPr>
                <w:noProof/>
                <w:webHidden/>
              </w:rPr>
              <w:tab/>
            </w:r>
            <w:r w:rsidR="00175B16">
              <w:rPr>
                <w:noProof/>
                <w:webHidden/>
              </w:rPr>
              <w:fldChar w:fldCharType="begin"/>
            </w:r>
            <w:r w:rsidR="00175B16">
              <w:rPr>
                <w:noProof/>
                <w:webHidden/>
              </w:rPr>
              <w:instrText xml:space="preserve"> PAGEREF _Toc531255652 \h </w:instrText>
            </w:r>
            <w:r w:rsidR="00175B16">
              <w:rPr>
                <w:noProof/>
                <w:webHidden/>
              </w:rPr>
            </w:r>
            <w:r w:rsidR="00175B16">
              <w:rPr>
                <w:noProof/>
                <w:webHidden/>
              </w:rPr>
              <w:fldChar w:fldCharType="separate"/>
            </w:r>
            <w:r>
              <w:rPr>
                <w:noProof/>
                <w:webHidden/>
              </w:rPr>
              <w:t>40</w:t>
            </w:r>
            <w:r w:rsidR="00175B16">
              <w:rPr>
                <w:noProof/>
                <w:webHidden/>
              </w:rPr>
              <w:fldChar w:fldCharType="end"/>
            </w:r>
          </w:hyperlink>
        </w:p>
        <w:p w:rsidR="00175B16" w:rsidRDefault="007247E1">
          <w:pPr>
            <w:pStyle w:val="TOC3"/>
            <w:tabs>
              <w:tab w:val="right" w:leader="dot" w:pos="10460"/>
            </w:tabs>
            <w:rPr>
              <w:rFonts w:asciiTheme="minorHAnsi" w:eastAsiaTheme="minorEastAsia" w:hAnsiTheme="minorHAnsi" w:cstheme="minorBidi"/>
              <w:noProof/>
              <w:sz w:val="22"/>
              <w:szCs w:val="22"/>
              <w:lang w:val="sq-AL" w:eastAsia="sq-AL"/>
            </w:rPr>
          </w:pPr>
          <w:hyperlink w:anchor="_Toc531255653" w:history="1">
            <w:r w:rsidR="00175B16" w:rsidRPr="00086C8A">
              <w:rPr>
                <w:rStyle w:val="Hyperlink"/>
                <w:rFonts w:eastAsia="Arial"/>
                <w:noProof/>
                <w:lang w:val="sr-Latn-CS"/>
              </w:rPr>
              <w:t>Ublažavanje</w:t>
            </w:r>
            <w:r w:rsidR="00175B16">
              <w:rPr>
                <w:noProof/>
                <w:webHidden/>
              </w:rPr>
              <w:tab/>
            </w:r>
            <w:r w:rsidR="00175B16">
              <w:rPr>
                <w:noProof/>
                <w:webHidden/>
              </w:rPr>
              <w:fldChar w:fldCharType="begin"/>
            </w:r>
            <w:r w:rsidR="00175B16">
              <w:rPr>
                <w:noProof/>
                <w:webHidden/>
              </w:rPr>
              <w:instrText xml:space="preserve"> PAGEREF _Toc531255653 \h </w:instrText>
            </w:r>
            <w:r w:rsidR="00175B16">
              <w:rPr>
                <w:noProof/>
                <w:webHidden/>
              </w:rPr>
            </w:r>
            <w:r w:rsidR="00175B16">
              <w:rPr>
                <w:noProof/>
                <w:webHidden/>
              </w:rPr>
              <w:fldChar w:fldCharType="separate"/>
            </w:r>
            <w:r>
              <w:rPr>
                <w:noProof/>
                <w:webHidden/>
              </w:rPr>
              <w:t>40</w:t>
            </w:r>
            <w:r w:rsidR="00175B16">
              <w:rPr>
                <w:noProof/>
                <w:webHidden/>
              </w:rPr>
              <w:fldChar w:fldCharType="end"/>
            </w:r>
          </w:hyperlink>
        </w:p>
        <w:p w:rsidR="00175B16" w:rsidRDefault="007247E1">
          <w:pPr>
            <w:pStyle w:val="TOC3"/>
            <w:tabs>
              <w:tab w:val="right" w:leader="dot" w:pos="10460"/>
            </w:tabs>
            <w:rPr>
              <w:rFonts w:asciiTheme="minorHAnsi" w:eastAsiaTheme="minorEastAsia" w:hAnsiTheme="minorHAnsi" w:cstheme="minorBidi"/>
              <w:noProof/>
              <w:sz w:val="22"/>
              <w:szCs w:val="22"/>
              <w:lang w:val="sq-AL" w:eastAsia="sq-AL"/>
            </w:rPr>
          </w:pPr>
          <w:hyperlink w:anchor="_Toc531255654" w:history="1">
            <w:r w:rsidR="00175B16" w:rsidRPr="00086C8A">
              <w:rPr>
                <w:rStyle w:val="Hyperlink"/>
                <w:rFonts w:eastAsia="Arial"/>
                <w:noProof/>
                <w:lang w:val="sr-Latn-CS"/>
              </w:rPr>
              <w:t>Praćenje</w:t>
            </w:r>
            <w:r w:rsidR="00175B16">
              <w:rPr>
                <w:noProof/>
                <w:webHidden/>
              </w:rPr>
              <w:tab/>
            </w:r>
            <w:r w:rsidR="00175B16">
              <w:rPr>
                <w:noProof/>
                <w:webHidden/>
              </w:rPr>
              <w:fldChar w:fldCharType="begin"/>
            </w:r>
            <w:r w:rsidR="00175B16">
              <w:rPr>
                <w:noProof/>
                <w:webHidden/>
              </w:rPr>
              <w:instrText xml:space="preserve"> PAGEREF _Toc531255654 \h </w:instrText>
            </w:r>
            <w:r w:rsidR="00175B16">
              <w:rPr>
                <w:noProof/>
                <w:webHidden/>
              </w:rPr>
            </w:r>
            <w:r w:rsidR="00175B16">
              <w:rPr>
                <w:noProof/>
                <w:webHidden/>
              </w:rPr>
              <w:fldChar w:fldCharType="separate"/>
            </w:r>
            <w:r>
              <w:rPr>
                <w:noProof/>
                <w:webHidden/>
              </w:rPr>
              <w:t>40</w:t>
            </w:r>
            <w:r w:rsidR="00175B16">
              <w:rPr>
                <w:noProof/>
                <w:webHidden/>
              </w:rPr>
              <w:fldChar w:fldCharType="end"/>
            </w:r>
          </w:hyperlink>
        </w:p>
        <w:p w:rsidR="00175B16" w:rsidRDefault="007247E1">
          <w:pPr>
            <w:pStyle w:val="TOC3"/>
            <w:tabs>
              <w:tab w:val="right" w:leader="dot" w:pos="10460"/>
            </w:tabs>
            <w:rPr>
              <w:rFonts w:asciiTheme="minorHAnsi" w:eastAsiaTheme="minorEastAsia" w:hAnsiTheme="minorHAnsi" w:cstheme="minorBidi"/>
              <w:noProof/>
              <w:sz w:val="22"/>
              <w:szCs w:val="22"/>
              <w:lang w:val="sq-AL" w:eastAsia="sq-AL"/>
            </w:rPr>
          </w:pPr>
          <w:hyperlink w:anchor="_Toc531255655" w:history="1">
            <w:r w:rsidR="00175B16" w:rsidRPr="00086C8A">
              <w:rPr>
                <w:rStyle w:val="Hyperlink"/>
                <w:rFonts w:eastAsia="Arial"/>
                <w:noProof/>
                <w:lang w:val="sr-Latn-CS"/>
              </w:rPr>
              <w:t>Raspored sprovođenja i procena troškova</w:t>
            </w:r>
            <w:r w:rsidR="00175B16">
              <w:rPr>
                <w:noProof/>
                <w:webHidden/>
              </w:rPr>
              <w:tab/>
            </w:r>
            <w:r w:rsidR="00175B16">
              <w:rPr>
                <w:noProof/>
                <w:webHidden/>
              </w:rPr>
              <w:fldChar w:fldCharType="begin"/>
            </w:r>
            <w:r w:rsidR="00175B16">
              <w:rPr>
                <w:noProof/>
                <w:webHidden/>
              </w:rPr>
              <w:instrText xml:space="preserve"> PAGEREF _Toc531255655 \h </w:instrText>
            </w:r>
            <w:r w:rsidR="00175B16">
              <w:rPr>
                <w:noProof/>
                <w:webHidden/>
              </w:rPr>
            </w:r>
            <w:r w:rsidR="00175B16">
              <w:rPr>
                <w:noProof/>
                <w:webHidden/>
              </w:rPr>
              <w:fldChar w:fldCharType="separate"/>
            </w:r>
            <w:r>
              <w:rPr>
                <w:noProof/>
                <w:webHidden/>
              </w:rPr>
              <w:t>40</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56" w:history="1">
            <w:r w:rsidR="00175B16" w:rsidRPr="00086C8A">
              <w:rPr>
                <w:rStyle w:val="Hyperlink"/>
                <w:rFonts w:eastAsia="Arial"/>
                <w:noProof/>
                <w:lang w:val="sr-Latn-CS"/>
              </w:rPr>
              <w:t>Plan ublažavanja</w:t>
            </w:r>
            <w:r w:rsidR="00175B16">
              <w:rPr>
                <w:noProof/>
                <w:webHidden/>
              </w:rPr>
              <w:tab/>
            </w:r>
            <w:r w:rsidR="00175B16">
              <w:rPr>
                <w:noProof/>
                <w:webHidden/>
              </w:rPr>
              <w:fldChar w:fldCharType="begin"/>
            </w:r>
            <w:r w:rsidR="00175B16">
              <w:rPr>
                <w:noProof/>
                <w:webHidden/>
              </w:rPr>
              <w:instrText xml:space="preserve"> PAGEREF _Toc531255656 \h </w:instrText>
            </w:r>
            <w:r w:rsidR="00175B16">
              <w:rPr>
                <w:noProof/>
                <w:webHidden/>
              </w:rPr>
            </w:r>
            <w:r w:rsidR="00175B16">
              <w:rPr>
                <w:noProof/>
                <w:webHidden/>
              </w:rPr>
              <w:fldChar w:fldCharType="separate"/>
            </w:r>
            <w:r>
              <w:rPr>
                <w:noProof/>
                <w:webHidden/>
              </w:rPr>
              <w:t>41</w:t>
            </w:r>
            <w:r w:rsidR="00175B16">
              <w:rPr>
                <w:noProof/>
                <w:webHidden/>
              </w:rPr>
              <w:fldChar w:fldCharType="end"/>
            </w:r>
          </w:hyperlink>
        </w:p>
        <w:p w:rsidR="00175B16" w:rsidRDefault="007247E1">
          <w:pPr>
            <w:pStyle w:val="TOC2"/>
            <w:tabs>
              <w:tab w:val="right" w:leader="dot" w:pos="10460"/>
            </w:tabs>
            <w:rPr>
              <w:rFonts w:asciiTheme="minorHAnsi" w:eastAsiaTheme="minorEastAsia" w:hAnsiTheme="minorHAnsi" w:cstheme="minorBidi"/>
              <w:noProof/>
              <w:sz w:val="22"/>
              <w:szCs w:val="22"/>
              <w:lang w:val="sq-AL" w:eastAsia="sq-AL"/>
            </w:rPr>
          </w:pPr>
          <w:hyperlink w:anchor="_Toc531255657" w:history="1">
            <w:r w:rsidR="00175B16" w:rsidRPr="00086C8A">
              <w:rPr>
                <w:rStyle w:val="Hyperlink"/>
                <w:rFonts w:eastAsia="Arial"/>
                <w:noProof/>
                <w:lang w:val="sr-Latn-CS"/>
              </w:rPr>
              <w:t>Plan praćenja</w:t>
            </w:r>
            <w:r w:rsidR="00175B16">
              <w:rPr>
                <w:noProof/>
                <w:webHidden/>
              </w:rPr>
              <w:tab/>
            </w:r>
            <w:r w:rsidR="00175B16">
              <w:rPr>
                <w:noProof/>
                <w:webHidden/>
              </w:rPr>
              <w:fldChar w:fldCharType="begin"/>
            </w:r>
            <w:r w:rsidR="00175B16">
              <w:rPr>
                <w:noProof/>
                <w:webHidden/>
              </w:rPr>
              <w:instrText xml:space="preserve"> PAGEREF _Toc531255657 \h </w:instrText>
            </w:r>
            <w:r w:rsidR="00175B16">
              <w:rPr>
                <w:noProof/>
                <w:webHidden/>
              </w:rPr>
            </w:r>
            <w:r w:rsidR="00175B16">
              <w:rPr>
                <w:noProof/>
                <w:webHidden/>
              </w:rPr>
              <w:fldChar w:fldCharType="separate"/>
            </w:r>
            <w:r>
              <w:rPr>
                <w:noProof/>
                <w:webHidden/>
              </w:rPr>
              <w:t>41</w:t>
            </w:r>
            <w:r w:rsidR="00175B16">
              <w:rPr>
                <w:noProof/>
                <w:webHidden/>
              </w:rPr>
              <w:fldChar w:fldCharType="end"/>
            </w:r>
          </w:hyperlink>
        </w:p>
        <w:p w:rsidR="00F3731A" w:rsidRPr="003B3244" w:rsidRDefault="00400AFF" w:rsidP="00F3731A">
          <w:pPr>
            <w:rPr>
              <w:lang w:val="sr-Latn-CS"/>
            </w:rPr>
          </w:pPr>
          <w:r w:rsidRPr="003B3244">
            <w:rPr>
              <w:b/>
              <w:bCs/>
              <w:noProof/>
              <w:lang w:val="sr-Latn-CS"/>
            </w:rPr>
            <w:fldChar w:fldCharType="end"/>
          </w:r>
        </w:p>
      </w:sdtContent>
    </w:sdt>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rPr>
          <w:lang w:val="sr-Latn-CS"/>
        </w:rPr>
      </w:pPr>
    </w:p>
    <w:p w:rsidR="00F3731A" w:rsidRPr="003B3244" w:rsidRDefault="00F3731A" w:rsidP="00F3731A">
      <w:pPr>
        <w:pStyle w:val="Heading1"/>
        <w:ind w:left="0"/>
        <w:rPr>
          <w:lang w:val="sr-Latn-CS"/>
        </w:rPr>
      </w:pPr>
    </w:p>
    <w:p w:rsidR="00F3731A" w:rsidRDefault="00F3731A" w:rsidP="00F3731A">
      <w:pPr>
        <w:pStyle w:val="Heading1"/>
        <w:rPr>
          <w:lang w:val="sr-Latn-CS"/>
        </w:rPr>
      </w:pPr>
    </w:p>
    <w:p w:rsidR="00175B16" w:rsidRPr="003B3244" w:rsidRDefault="00175B16" w:rsidP="00F3731A">
      <w:pPr>
        <w:pStyle w:val="Heading1"/>
        <w:rPr>
          <w:lang w:val="sr-Latn-CS"/>
        </w:rPr>
      </w:pPr>
    </w:p>
    <w:p w:rsidR="00F3731A" w:rsidRPr="003B3244" w:rsidRDefault="00F3731A" w:rsidP="00F3731A">
      <w:pPr>
        <w:pStyle w:val="Heading1"/>
        <w:rPr>
          <w:lang w:val="sr-Latn-CS"/>
        </w:rPr>
      </w:pPr>
    </w:p>
    <w:p w:rsidR="00F3731A" w:rsidRPr="003B3244" w:rsidRDefault="009B76B8" w:rsidP="00F3731A">
      <w:pPr>
        <w:pStyle w:val="Heading1"/>
        <w:rPr>
          <w:lang w:val="sr-Latn-CS"/>
        </w:rPr>
      </w:pPr>
      <w:bookmarkStart w:id="1" w:name="_Toc531255604"/>
      <w:bookmarkEnd w:id="0"/>
      <w:r>
        <w:rPr>
          <w:lang w:val="sr-Latn-CS"/>
        </w:rPr>
        <w:lastRenderedPageBreak/>
        <w:t>Uvod</w:t>
      </w:r>
      <w:bookmarkEnd w:id="1"/>
    </w:p>
    <w:p w:rsidR="00F3731A" w:rsidRPr="003B3244" w:rsidRDefault="00F3731A" w:rsidP="00F3731A">
      <w:pPr>
        <w:pStyle w:val="Heading1"/>
        <w:spacing w:before="26"/>
        <w:jc w:val="both"/>
        <w:rPr>
          <w:rFonts w:cs="Times New Roman"/>
          <w:lang w:val="sr-Latn-CS"/>
        </w:rPr>
      </w:pPr>
    </w:p>
    <w:p w:rsidR="00F3731A" w:rsidRPr="003B3244" w:rsidRDefault="009B76B8" w:rsidP="00F3731A">
      <w:pPr>
        <w:pStyle w:val="BodyText"/>
        <w:spacing w:before="15" w:after="100" w:afterAutospacing="1"/>
        <w:ind w:left="288" w:right="288"/>
        <w:rPr>
          <w:rFonts w:cs="Times New Roman"/>
          <w:lang w:val="sr-Latn-CS"/>
        </w:rPr>
      </w:pPr>
      <w:r>
        <w:rPr>
          <w:rFonts w:cs="Times New Roman"/>
          <w:lang w:val="sr-Latn-CS"/>
        </w:rPr>
        <w:t>Projekat „</w:t>
      </w:r>
      <w:r w:rsidRPr="009B76B8">
        <w:rPr>
          <w:rFonts w:cs="Times New Roman"/>
          <w:lang w:val="sr-Latn-CS"/>
        </w:rPr>
        <w:t>Podrška lokalnom razvoj</w:t>
      </w:r>
      <w:r>
        <w:rPr>
          <w:rFonts w:cs="Times New Roman"/>
          <w:lang w:val="sr-Latn-CS"/>
        </w:rPr>
        <w:t>u na Kosovu uz inkluziju mladih“</w:t>
      </w:r>
      <w:r w:rsidRPr="009B76B8">
        <w:rPr>
          <w:rFonts w:cs="Times New Roman"/>
          <w:lang w:val="sr-Latn-CS"/>
        </w:rPr>
        <w:t xml:space="preserve"> ima za cilj poboljšanje socio-ekonomske inkluzije najmanje 3.000 ugroženih mladih (15-29 godina) iz ugroženih zajednica na Kosovu kroz aktivnosti građanskog angažmana</w:t>
      </w:r>
      <w:r w:rsidR="00F3731A" w:rsidRPr="003B3244">
        <w:rPr>
          <w:rFonts w:cs="Times New Roman"/>
          <w:lang w:val="sr-Latn-CS"/>
        </w:rPr>
        <w:t>.</w:t>
      </w:r>
    </w:p>
    <w:p w:rsidR="00F3731A" w:rsidRPr="003B3244" w:rsidRDefault="008A4E45" w:rsidP="00F3731A">
      <w:pPr>
        <w:pStyle w:val="BodyText"/>
        <w:spacing w:before="15" w:after="100" w:afterAutospacing="1"/>
        <w:ind w:left="288" w:right="288"/>
        <w:rPr>
          <w:rFonts w:cs="Times New Roman"/>
          <w:lang w:val="sr-Latn-CS"/>
        </w:rPr>
      </w:pPr>
      <w:r w:rsidRPr="008A4E45">
        <w:rPr>
          <w:rFonts w:cs="Times New Roman"/>
          <w:lang w:val="sr-Latn-CS"/>
        </w:rPr>
        <w:t>Okvir upravlj</w:t>
      </w:r>
      <w:r w:rsidR="00DB55EB">
        <w:rPr>
          <w:rFonts w:cs="Times New Roman"/>
          <w:lang w:val="sr-Latn-CS"/>
        </w:rPr>
        <w:t>anja životnom sredinom i procene</w:t>
      </w:r>
      <w:r w:rsidRPr="008A4E45">
        <w:rPr>
          <w:rFonts w:cs="Times New Roman"/>
          <w:lang w:val="sr-Latn-CS"/>
        </w:rPr>
        <w:t xml:space="preserve"> uticaja na društvo (</w:t>
      </w:r>
      <w:r w:rsidR="000818B6">
        <w:rPr>
          <w:rFonts w:cs="Times New Roman"/>
          <w:lang w:val="sr-Latn-CS"/>
        </w:rPr>
        <w:t>OUSŽS</w:t>
      </w:r>
      <w:r w:rsidRPr="008A4E45">
        <w:rPr>
          <w:rFonts w:cs="Times New Roman"/>
          <w:lang w:val="sr-Latn-CS"/>
        </w:rPr>
        <w:t xml:space="preserve">) pripremilo je Ministarstvo administracije lokalne samouprave, oslanjajući se na Politiku zaštite SB-a za ovu vrstu projekta. Dokument o </w:t>
      </w:r>
      <w:r w:rsidR="000818B6">
        <w:rPr>
          <w:rFonts w:cs="Times New Roman"/>
          <w:lang w:val="sr-Latn-CS"/>
        </w:rPr>
        <w:t>OUSŽS</w:t>
      </w:r>
      <w:r w:rsidRPr="008A4E45">
        <w:rPr>
          <w:rFonts w:cs="Times New Roman"/>
          <w:lang w:val="sr-Latn-CS"/>
        </w:rPr>
        <w:t>-u, između ostalog, slu</w:t>
      </w:r>
      <w:r w:rsidR="002F73D8">
        <w:rPr>
          <w:rFonts w:cs="Times New Roman"/>
          <w:lang w:val="sr-Latn-CS"/>
        </w:rPr>
        <w:t>ži kao sredstvo za skrining pot</w:t>
      </w:r>
      <w:r w:rsidRPr="008A4E45">
        <w:rPr>
          <w:rFonts w:cs="Times New Roman"/>
          <w:lang w:val="sr-Latn-CS"/>
        </w:rPr>
        <w:t>projekata i na osnovu rezultata skrininga usmerava klijenta i ostale zainteresovane strane na postupke due diligence  koji se odnose na životnu sredinu uključujući PŽS i upravljanje životnom sredinom u svim fazama projektnog ciklusa</w:t>
      </w:r>
      <w:r w:rsidR="00F3731A" w:rsidRPr="003B3244">
        <w:rPr>
          <w:rFonts w:cs="Times New Roman"/>
          <w:lang w:val="sr-Latn-CS"/>
        </w:rPr>
        <w:t>.</w:t>
      </w:r>
    </w:p>
    <w:p w:rsidR="00F3731A" w:rsidRPr="003B3244" w:rsidRDefault="00176C8C" w:rsidP="00F3731A">
      <w:pPr>
        <w:pStyle w:val="BodyText"/>
        <w:spacing w:after="100" w:afterAutospacing="1"/>
        <w:ind w:left="288" w:right="288"/>
        <w:rPr>
          <w:rFonts w:cs="Times New Roman"/>
          <w:lang w:val="sr-Latn-CS"/>
        </w:rPr>
      </w:pPr>
      <w:r w:rsidRPr="00176C8C">
        <w:rPr>
          <w:rFonts w:cs="Times New Roman"/>
          <w:lang w:val="sr-Latn-CS"/>
        </w:rPr>
        <w:t>Razvoj i sprovođenje projekta su zasnovani na pružanju podsticajnih grantova u 10 odabranih opština. Odabrane opštine će imati koristi od podsticajnih grantova što će im omogućiti da prošire svoje programe za mlade i bolje odgovore na potrebe mladih. Lokalne vlasti će osigurati da s</w:t>
      </w:r>
      <w:r w:rsidR="002F73D8">
        <w:rPr>
          <w:rFonts w:cs="Times New Roman"/>
          <w:lang w:val="sr-Latn-CS"/>
        </w:rPr>
        <w:t>e pot</w:t>
      </w:r>
      <w:r w:rsidRPr="00176C8C">
        <w:rPr>
          <w:rFonts w:cs="Times New Roman"/>
          <w:lang w:val="sr-Latn-CS"/>
        </w:rPr>
        <w:t>projekti koji kao svoj prioritet imaju mlade ljude  integri</w:t>
      </w:r>
      <w:r w:rsidR="00725FCA">
        <w:rPr>
          <w:rFonts w:cs="Times New Roman"/>
          <w:lang w:val="sr-Latn-CS"/>
        </w:rPr>
        <w:t xml:space="preserve">šu u lokalne akcione planove i </w:t>
      </w:r>
      <w:r w:rsidR="00A27D76">
        <w:rPr>
          <w:rFonts w:cs="Times New Roman"/>
          <w:lang w:val="sr-Latn-CS"/>
        </w:rPr>
        <w:t>da se olakša njihovo sprovođen</w:t>
      </w:r>
      <w:r w:rsidRPr="00176C8C">
        <w:rPr>
          <w:rFonts w:cs="Times New Roman"/>
          <w:lang w:val="sr-Latn-CS"/>
        </w:rPr>
        <w:t>je. Okvirna lista od 10 opština uključuje Gnjilane, Kačanik, Mitrovicu, Leposavić, Orahovac, Prištinu, Prizren, Zvečan, Mališevo i Mamušu</w:t>
      </w:r>
      <w:r w:rsidR="00F3731A" w:rsidRPr="003B3244">
        <w:rPr>
          <w:rFonts w:cs="Times New Roman"/>
          <w:lang w:val="sr-Latn-CS"/>
        </w:rPr>
        <w:t>.</w:t>
      </w:r>
      <w:r w:rsidR="00F3731A" w:rsidRPr="003B3244">
        <w:rPr>
          <w:rStyle w:val="FootnoteReference"/>
          <w:rFonts w:cs="Times New Roman"/>
          <w:lang w:val="sr-Latn-CS"/>
        </w:rPr>
        <w:footnoteReference w:id="1"/>
      </w:r>
    </w:p>
    <w:p w:rsidR="00F3731A" w:rsidRPr="003B3244" w:rsidRDefault="009A7E16" w:rsidP="00F3731A">
      <w:pPr>
        <w:pStyle w:val="BodyText"/>
        <w:spacing w:before="100" w:beforeAutospacing="1" w:after="100" w:afterAutospacing="1"/>
        <w:ind w:left="289" w:right="289"/>
        <w:rPr>
          <w:rFonts w:cs="Times New Roman"/>
          <w:lang w:val="sr-Latn-CS"/>
        </w:rPr>
      </w:pPr>
      <w:r w:rsidRPr="009A7E16">
        <w:rPr>
          <w:rFonts w:cs="Times New Roman"/>
          <w:lang w:val="sr-Latn-CS"/>
        </w:rPr>
        <w:t>Omladinske grupe će imat</w:t>
      </w:r>
      <w:r w:rsidR="002F73D8">
        <w:rPr>
          <w:rFonts w:cs="Times New Roman"/>
          <w:lang w:val="sr-Latn-CS"/>
        </w:rPr>
        <w:t>i pravo da podnesu predloge pot</w:t>
      </w:r>
      <w:r w:rsidRPr="009A7E16">
        <w:rPr>
          <w:rFonts w:cs="Times New Roman"/>
          <w:lang w:val="sr-Latn-CS"/>
        </w:rPr>
        <w:t xml:space="preserve">projekata koji se odnose na socio-ekonomske potrebe mladih. Ovi predlozi će se identifikovati kroz inkluzivni i participativni proces koji uključuje diskusije fokus grupa sa različitim podgrupama mladih (etničke manjine, osobe sa invaliditetom, LGBT, žene, interno raseljena lica i izbeglice) kako bi se osiguralo da se potrebe mladih pravilno odražavaju u </w:t>
      </w:r>
      <w:r w:rsidR="00A44F23">
        <w:rPr>
          <w:rFonts w:cs="Times New Roman"/>
          <w:lang w:val="sr-Latn-CS"/>
        </w:rPr>
        <w:t>osmišljavanju</w:t>
      </w:r>
      <w:r w:rsidR="002F73D8">
        <w:rPr>
          <w:rFonts w:cs="Times New Roman"/>
          <w:lang w:val="sr-Latn-CS"/>
        </w:rPr>
        <w:t xml:space="preserve"> potprojekta. Predlozi pot</w:t>
      </w:r>
      <w:r w:rsidRPr="009A7E16">
        <w:rPr>
          <w:rFonts w:cs="Times New Roman"/>
          <w:lang w:val="sr-Latn-CS"/>
        </w:rPr>
        <w:t>projekata mogu uključivati (i) ekonomske usluge koje imaju za cilj poboljšanje mogućnosti za zapošljavanje mladih i mogućnosti generisanja prihoda (tj. obuke za izgradnju veština, poboljšanje pristupa tržištu rada, obuke o predu</w:t>
      </w:r>
      <w:r w:rsidR="00A44F23">
        <w:rPr>
          <w:rFonts w:cs="Times New Roman"/>
          <w:lang w:val="sr-Latn-CS"/>
        </w:rPr>
        <w:t>zetništvu, IKT kurseve itd.), (i</w:t>
      </w:r>
      <w:r w:rsidRPr="009A7E16">
        <w:rPr>
          <w:rFonts w:cs="Times New Roman"/>
          <w:lang w:val="sr-Latn-CS"/>
        </w:rPr>
        <w:t>i)poboljšanja infrastrukture sa fokusom na mlade(obuka o izgradnji veština, poboljšanje pristupa tržištu zapošljavanja, obuke o preduzetništvu, prostori u zdravstvenim centrima prilagođeni mladima i biblioteke), (iii) omladinske kulturne i sportske aktivnosti, (iv) psihosocijalna podrška i emocionalno savetovanje, ili (v) dodatne volo</w:t>
      </w:r>
      <w:r w:rsidR="00D60135">
        <w:rPr>
          <w:rFonts w:cs="Times New Roman"/>
          <w:lang w:val="sr-Latn-CS"/>
        </w:rPr>
        <w:t>nterske mogućnosti za mlade koje</w:t>
      </w:r>
      <w:r w:rsidRPr="009A7E16">
        <w:rPr>
          <w:rFonts w:cs="Times New Roman"/>
          <w:lang w:val="sr-Latn-CS"/>
        </w:rPr>
        <w:t xml:space="preserve"> imaju za cilj rešavanje potreba zajednice. Specifične inicijative usmerene na mlade ne mogu se odrediti a priori, s obzirom da su vođene potražnjom i da odgovaraju na neispunjene potrebe mladih na nivou zajednice. To su neke od aktivnosti koje su predstavnici bezbednosnog tela i stručnjaci za prevenciju nasilnog ekstremizma (PVE) identifikovali kao nedostajuće u krhkim zajednicama. Investiranjem u veštine, znanje i aktivnosti mladih, predloženi projekat će osnažiti mlade u nepovoljnom položaju da postanu aktivni agenti u svojim zajednicama i smanjiće njihovu osetljivost na negativne uticaje</w:t>
      </w:r>
      <w:r w:rsidR="00F3731A" w:rsidRPr="003B3244">
        <w:rPr>
          <w:rFonts w:cs="Times New Roman"/>
          <w:lang w:val="sr-Latn-CS"/>
        </w:rPr>
        <w:t xml:space="preserve">.   </w:t>
      </w:r>
    </w:p>
    <w:p w:rsidR="00F3731A" w:rsidRPr="003B3244" w:rsidRDefault="002F73D8" w:rsidP="00F3731A">
      <w:pPr>
        <w:pStyle w:val="BodyText"/>
        <w:spacing w:before="15" w:after="100" w:afterAutospacing="1"/>
        <w:ind w:left="288" w:right="288"/>
        <w:rPr>
          <w:rFonts w:cs="Times New Roman"/>
          <w:lang w:val="sr-Latn-CS"/>
        </w:rPr>
      </w:pPr>
      <w:r>
        <w:rPr>
          <w:rFonts w:cs="Times New Roman"/>
          <w:lang w:val="sr-Latn-CS"/>
        </w:rPr>
        <w:t>Svi pot</w:t>
      </w:r>
      <w:r w:rsidR="009A7E16" w:rsidRPr="009A7E16">
        <w:rPr>
          <w:rFonts w:cs="Times New Roman"/>
          <w:lang w:val="sr-Latn-CS"/>
        </w:rPr>
        <w:t xml:space="preserve">projekti koji će se finansirati u okviru </w:t>
      </w:r>
      <w:r w:rsidR="00340E58">
        <w:rPr>
          <w:rFonts w:cs="Times New Roman"/>
          <w:lang w:val="sr-Latn-CS"/>
        </w:rPr>
        <w:t>PUMP</w:t>
      </w:r>
      <w:r w:rsidR="009A7E16" w:rsidRPr="009A7E16">
        <w:rPr>
          <w:rFonts w:cs="Times New Roman"/>
          <w:lang w:val="sr-Latn-CS"/>
        </w:rPr>
        <w:t>-a biće podvrgnuti procesu procene životne sredine koji uključuje procedure opisane u ovom dokumentu. Ove procedure i zahtevi uključuju kosovsko zakonodavstvo o zaštiti životne sredine i politike zaštite Svetske banke. Sve projektne aktivnosti moraju biti u skladu sa nacionalnim propisima i politikama SB-a, u okviru kojih, po pravilu, preovlađuju strožiji</w:t>
      </w:r>
      <w:r w:rsidR="00F3731A" w:rsidRPr="003B3244">
        <w:rPr>
          <w:rFonts w:cs="Times New Roman"/>
          <w:lang w:val="sr-Latn-CS"/>
        </w:rPr>
        <w:t>.</w:t>
      </w:r>
    </w:p>
    <w:p w:rsidR="00F3731A" w:rsidRPr="003B3244" w:rsidRDefault="00BC1E13" w:rsidP="007A2553">
      <w:pPr>
        <w:pStyle w:val="BodyText"/>
        <w:spacing w:before="15" w:after="100" w:afterAutospacing="1"/>
        <w:ind w:left="288" w:right="288"/>
        <w:rPr>
          <w:rFonts w:cs="Times New Roman"/>
          <w:lang w:val="sr-Latn-CS"/>
        </w:rPr>
      </w:pPr>
      <w:r w:rsidRPr="00BC1E13">
        <w:rPr>
          <w:rFonts w:cs="Times New Roman"/>
          <w:lang w:val="sr-Latn-CS"/>
        </w:rPr>
        <w:t xml:space="preserve">Ukupni projekat je klasifikovan kao kategorija B pri čemu se određuje da </w:t>
      </w:r>
      <w:r w:rsidR="007C2266">
        <w:rPr>
          <w:rFonts w:cs="Times New Roman"/>
          <w:lang w:val="sr-Latn-CS"/>
        </w:rPr>
        <w:t xml:space="preserve">se </w:t>
      </w:r>
      <w:r w:rsidRPr="00BC1E13">
        <w:rPr>
          <w:rFonts w:cs="Times New Roman"/>
          <w:lang w:val="sr-Latn-CS"/>
        </w:rPr>
        <w:t>u okviru ove aktiv</w:t>
      </w:r>
      <w:r w:rsidR="002F73D8">
        <w:rPr>
          <w:rFonts w:cs="Times New Roman"/>
          <w:lang w:val="sr-Latn-CS"/>
        </w:rPr>
        <w:t>nosti mogu finansirati samo pot</w:t>
      </w:r>
      <w:r w:rsidRPr="00BC1E13">
        <w:rPr>
          <w:rFonts w:cs="Times New Roman"/>
          <w:lang w:val="sr-Latn-CS"/>
        </w:rPr>
        <w:t>projekti kategorije B</w:t>
      </w:r>
      <w:r w:rsidR="00F3731A" w:rsidRPr="003B3244">
        <w:rPr>
          <w:rFonts w:cs="Times New Roman"/>
          <w:lang w:val="sr-Latn-CS"/>
        </w:rPr>
        <w:t>.</w:t>
      </w:r>
      <w:r w:rsidR="007A2553" w:rsidRPr="00F52652">
        <w:rPr>
          <w:lang w:val="sr-Latn-CS"/>
        </w:rPr>
        <w:t xml:space="preserve"> </w:t>
      </w:r>
      <w:r w:rsidR="007A2553" w:rsidRPr="007A2553">
        <w:rPr>
          <w:rFonts w:cs="Times New Roman"/>
          <w:lang w:val="sr-Latn-CS"/>
        </w:rPr>
        <w:t>Pokrenuta je procena životne sredine prema politici Svetske banke OP/BP 4</w:t>
      </w:r>
      <w:r w:rsidR="002F73D8">
        <w:rPr>
          <w:rFonts w:cs="Times New Roman"/>
          <w:lang w:val="sr-Latn-CS"/>
        </w:rPr>
        <w:t>.01 i s obzirom na to da su pot</w:t>
      </w:r>
      <w:r w:rsidR="007A2553" w:rsidRPr="007A2553">
        <w:rPr>
          <w:rFonts w:cs="Times New Roman"/>
          <w:lang w:val="sr-Latn-CS"/>
        </w:rPr>
        <w:t>projekti i lokacije nepoznati razvijen je</w:t>
      </w:r>
      <w:r w:rsidR="002F73D8">
        <w:rPr>
          <w:rFonts w:cs="Times New Roman"/>
          <w:lang w:val="sr-Latn-CS"/>
        </w:rPr>
        <w:t xml:space="preserve"> proces </w:t>
      </w:r>
      <w:r w:rsidR="000818B6">
        <w:rPr>
          <w:rFonts w:cs="Times New Roman"/>
          <w:lang w:val="sr-Latn-CS"/>
        </w:rPr>
        <w:t>OUSŽS</w:t>
      </w:r>
      <w:r w:rsidR="002F73D8">
        <w:rPr>
          <w:rFonts w:cs="Times New Roman"/>
          <w:lang w:val="sr-Latn-CS"/>
        </w:rPr>
        <w:t>. U okviru svih pot</w:t>
      </w:r>
      <w:r w:rsidR="007A2553" w:rsidRPr="007A2553">
        <w:rPr>
          <w:rFonts w:cs="Times New Roman"/>
          <w:lang w:val="sr-Latn-CS"/>
        </w:rPr>
        <w:t>projekata će biti izvršen</w:t>
      </w:r>
      <w:r w:rsidR="00525D8B">
        <w:rPr>
          <w:rFonts w:cs="Times New Roman"/>
          <w:lang w:val="sr-Latn-CS"/>
        </w:rPr>
        <w:t xml:space="preserve"> skrining u pripremnom periodu </w:t>
      </w:r>
      <w:r w:rsidR="007A2553" w:rsidRPr="007A2553">
        <w:rPr>
          <w:rFonts w:cs="Times New Roman"/>
          <w:lang w:val="sr-Latn-CS"/>
        </w:rPr>
        <w:t>i projekti kategorije A ili projekti koji su na neki drugi način nepodobni će biti iskl</w:t>
      </w:r>
      <w:r w:rsidR="007A2553">
        <w:rPr>
          <w:rFonts w:cs="Times New Roman"/>
          <w:lang w:val="sr-Latn-CS"/>
        </w:rPr>
        <w:t>j</w:t>
      </w:r>
      <w:r w:rsidR="007A2553" w:rsidRPr="007A2553">
        <w:rPr>
          <w:rFonts w:cs="Times New Roman"/>
          <w:lang w:val="sr-Latn-CS"/>
        </w:rPr>
        <w:t>učeni</w:t>
      </w:r>
      <w:r w:rsidR="00F3731A" w:rsidRPr="003B3244">
        <w:rPr>
          <w:rFonts w:cs="Times New Roman"/>
          <w:lang w:val="sr-Latn-CS"/>
        </w:rPr>
        <w:t xml:space="preserve">. </w:t>
      </w:r>
    </w:p>
    <w:p w:rsidR="00F3731A" w:rsidRPr="003B3244" w:rsidRDefault="00CF67C9" w:rsidP="00F3731A">
      <w:pPr>
        <w:pStyle w:val="BodyText"/>
        <w:spacing w:before="15" w:after="100" w:afterAutospacing="1"/>
        <w:ind w:left="288" w:right="288"/>
        <w:rPr>
          <w:rFonts w:cs="Times New Roman"/>
          <w:lang w:val="sr-Latn-CS"/>
        </w:rPr>
      </w:pPr>
      <w:r w:rsidRPr="00CF67C9">
        <w:rPr>
          <w:rFonts w:cs="Times New Roman"/>
          <w:lang w:val="sr-Latn-CS"/>
        </w:rPr>
        <w:t xml:space="preserve">Sprovođenje i celokupna usklađenost sa </w:t>
      </w:r>
      <w:r w:rsidR="000818B6">
        <w:rPr>
          <w:rFonts w:cs="Times New Roman"/>
          <w:lang w:val="sr-Latn-CS"/>
        </w:rPr>
        <w:t>OUSŽS</w:t>
      </w:r>
      <w:r w:rsidRPr="00CF67C9">
        <w:rPr>
          <w:rFonts w:cs="Times New Roman"/>
          <w:lang w:val="sr-Latn-CS"/>
        </w:rPr>
        <w:t xml:space="preserve"> i SB politikom je odgovornost JUP/ MALS-a za period sprovođenja projekta, 2019-2022 i drugi</w:t>
      </w:r>
      <w:r w:rsidR="00525D8B">
        <w:rPr>
          <w:rFonts w:cs="Times New Roman"/>
          <w:lang w:val="sr-Latn-CS"/>
        </w:rPr>
        <w:t>h</w:t>
      </w:r>
      <w:r w:rsidRPr="00CF67C9">
        <w:rPr>
          <w:rFonts w:cs="Times New Roman"/>
          <w:lang w:val="sr-Latn-CS"/>
        </w:rPr>
        <w:t xml:space="preserve"> uključeni</w:t>
      </w:r>
      <w:r w:rsidR="00525D8B">
        <w:rPr>
          <w:rFonts w:cs="Times New Roman"/>
          <w:lang w:val="sr-Latn-CS"/>
        </w:rPr>
        <w:t>h aktera, ka</w:t>
      </w:r>
      <w:r w:rsidRPr="00CF67C9">
        <w:rPr>
          <w:rFonts w:cs="Times New Roman"/>
          <w:lang w:val="sr-Latn-CS"/>
        </w:rPr>
        <w:t xml:space="preserve"> i za svaku pojedinačnu aktivnost u okviru projekta, dok je sprovođenje dokumenata o proceni uticaja na životnu sredinu i mera zaštite životne</w:t>
      </w:r>
      <w:r w:rsidR="002F73D8">
        <w:rPr>
          <w:rFonts w:cs="Times New Roman"/>
          <w:lang w:val="sr-Latn-CS"/>
        </w:rPr>
        <w:t xml:space="preserve"> sredine za infrastrukturne pot</w:t>
      </w:r>
      <w:r w:rsidRPr="00CF67C9">
        <w:rPr>
          <w:rFonts w:cs="Times New Roman"/>
          <w:lang w:val="sr-Latn-CS"/>
        </w:rPr>
        <w:t>projekte odgovornost opštine u sk</w:t>
      </w:r>
      <w:r w:rsidR="002F73D8">
        <w:rPr>
          <w:rFonts w:cs="Times New Roman"/>
          <w:lang w:val="sr-Latn-CS"/>
        </w:rPr>
        <w:t>ladu sa direktnim praćenjem pot</w:t>
      </w:r>
      <w:r w:rsidRPr="00CF67C9">
        <w:rPr>
          <w:rFonts w:cs="Times New Roman"/>
          <w:lang w:val="sr-Latn-CS"/>
        </w:rPr>
        <w:t xml:space="preserve">projekata </w:t>
      </w:r>
      <w:r w:rsidR="00383FBC">
        <w:rPr>
          <w:rFonts w:cs="Times New Roman"/>
          <w:lang w:val="sr-Latn-CS"/>
        </w:rPr>
        <w:t xml:space="preserve">od strane </w:t>
      </w:r>
      <w:r w:rsidRPr="00CF67C9">
        <w:rPr>
          <w:rFonts w:cs="Times New Roman"/>
          <w:lang w:val="sr-Latn-CS"/>
        </w:rPr>
        <w:t xml:space="preserve">MALS/ JUP-a. Realizaciju </w:t>
      </w:r>
      <w:r w:rsidR="000818B6">
        <w:rPr>
          <w:rFonts w:cs="Times New Roman"/>
          <w:lang w:val="sr-Latn-CS"/>
        </w:rPr>
        <w:t>OUSŽS</w:t>
      </w:r>
      <w:r w:rsidRPr="00CF67C9">
        <w:rPr>
          <w:rFonts w:cs="Times New Roman"/>
          <w:lang w:val="sr-Latn-CS"/>
        </w:rPr>
        <w:t>-a nadgledaće MALS, JUP u bliskoj koordinaciji sa opštinama</w:t>
      </w:r>
      <w:r w:rsidR="00F3731A" w:rsidRPr="003B3244">
        <w:rPr>
          <w:rFonts w:cs="Times New Roman"/>
          <w:lang w:val="sr-Latn-CS"/>
        </w:rPr>
        <w:t xml:space="preserve">. </w:t>
      </w:r>
    </w:p>
    <w:p w:rsidR="00F3731A" w:rsidRPr="003B3244" w:rsidRDefault="003E0727" w:rsidP="00F3731A">
      <w:pPr>
        <w:pStyle w:val="BodyText"/>
        <w:spacing w:before="15" w:after="100" w:afterAutospacing="1"/>
        <w:ind w:left="288" w:right="288"/>
        <w:rPr>
          <w:rFonts w:cs="Times New Roman"/>
          <w:lang w:val="sr-Latn-CS"/>
        </w:rPr>
      </w:pPr>
      <w:r w:rsidRPr="003E0727">
        <w:rPr>
          <w:rFonts w:cs="Times New Roman"/>
          <w:lang w:val="sr-Latn-CS"/>
        </w:rPr>
        <w:t xml:space="preserve">Očekuje se finansiranje lakših građevinskih radova u okviru projekata </w:t>
      </w:r>
      <w:r w:rsidR="00383FBC">
        <w:rPr>
          <w:rFonts w:cs="Times New Roman"/>
          <w:lang w:val="sr-Latn-CS"/>
        </w:rPr>
        <w:t xml:space="preserve">kategorija </w:t>
      </w:r>
      <w:r w:rsidR="002F73D8">
        <w:rPr>
          <w:rFonts w:cs="Times New Roman"/>
          <w:lang w:val="sr-Latn-CS"/>
        </w:rPr>
        <w:t>B i C, dok se pot</w:t>
      </w:r>
      <w:r w:rsidRPr="003E0727">
        <w:rPr>
          <w:rFonts w:cs="Times New Roman"/>
          <w:lang w:val="sr-Latn-CS"/>
        </w:rPr>
        <w:t>projekti A kategorije ili većeg rizika ili koji zahtevaju PUŽS na osnovu kosovskog zakona o životnoj sredini neće finansirati. Sve u svemu, postupci procene uticaja na životnu sredinu i društvo k</w:t>
      </w:r>
      <w:r w:rsidR="002F73D8">
        <w:rPr>
          <w:rFonts w:cs="Times New Roman"/>
          <w:lang w:val="sr-Latn-CS"/>
        </w:rPr>
        <w:t>oji se primenjuju na ciklus pot</w:t>
      </w:r>
      <w:r w:rsidRPr="003E0727">
        <w:rPr>
          <w:rFonts w:cs="Times New Roman"/>
          <w:lang w:val="sr-Latn-CS"/>
        </w:rPr>
        <w:t xml:space="preserve">projekta i </w:t>
      </w:r>
      <w:r w:rsidRPr="003E0727">
        <w:rPr>
          <w:rFonts w:cs="Times New Roman"/>
          <w:lang w:val="sr-Latn-CS"/>
        </w:rPr>
        <w:lastRenderedPageBreak/>
        <w:t>odgovornosti ključnih strana su opisani u daljem tekstu</w:t>
      </w:r>
      <w:r w:rsidR="00F3731A" w:rsidRPr="003B3244">
        <w:rPr>
          <w:rFonts w:cs="Times New Roman"/>
          <w:lang w:val="sr-Latn-CS"/>
        </w:rPr>
        <w:t>.</w:t>
      </w:r>
      <w:bookmarkStart w:id="2" w:name="_TOC_250027"/>
      <w:bookmarkEnd w:id="2"/>
    </w:p>
    <w:p w:rsidR="00F3731A" w:rsidRPr="003B3244" w:rsidRDefault="003E0727" w:rsidP="00F3731A">
      <w:pPr>
        <w:pStyle w:val="Heading1"/>
        <w:rPr>
          <w:lang w:val="sr-Latn-CS"/>
        </w:rPr>
      </w:pPr>
      <w:bookmarkStart w:id="3" w:name="_Toc531255605"/>
      <w:r>
        <w:rPr>
          <w:lang w:val="sr-Latn-CS"/>
        </w:rPr>
        <w:t>Ukratko o Kosovu</w:t>
      </w:r>
      <w:bookmarkEnd w:id="3"/>
    </w:p>
    <w:p w:rsidR="00F3731A" w:rsidRPr="003B3244" w:rsidRDefault="002C2F4A" w:rsidP="00F3731A">
      <w:pPr>
        <w:pStyle w:val="BodyText"/>
        <w:spacing w:before="100" w:beforeAutospacing="1" w:after="100" w:afterAutospacing="1"/>
        <w:ind w:left="289" w:right="289"/>
        <w:rPr>
          <w:rFonts w:cs="Times New Roman"/>
          <w:lang w:val="sr-Latn-CS"/>
        </w:rPr>
      </w:pPr>
      <w:r w:rsidRPr="002C2F4A">
        <w:rPr>
          <w:rFonts w:cs="Times New Roman"/>
          <w:lang w:val="sr-Latn-CS"/>
        </w:rPr>
        <w:t>Kosovo je zemlja okružena kopnom u centru Jugoistočne Evrope</w:t>
      </w:r>
      <w:r w:rsidR="00383FBC">
        <w:rPr>
          <w:rFonts w:cs="Times New Roman"/>
          <w:lang w:val="sr-Latn-CS"/>
        </w:rPr>
        <w:t>,</w:t>
      </w:r>
      <w:r w:rsidRPr="002C2F4A">
        <w:rPr>
          <w:rFonts w:cs="Times New Roman"/>
          <w:lang w:val="sr-Latn-CS"/>
        </w:rPr>
        <w:t xml:space="preserve"> koja se graniči sa Albanijom, Bivšom Jugoslovenskom Republikom Makedonijom, Crnom Gorom i Srbijom. Ukupna površina je 10.887 km2. Zemlja se nalazi na nadmorskoj visini od 400-700 m nadmorske visine okružena nizom visokih planina, sa nadmorskim visinama od 2.000 do 2.500 m</w:t>
      </w:r>
      <w:r w:rsidR="00F3731A" w:rsidRPr="003B3244">
        <w:rPr>
          <w:rFonts w:cs="Times New Roman"/>
          <w:vertAlign w:val="superscript"/>
          <w:lang w:val="sr-Latn-CS"/>
        </w:rPr>
        <w:footnoteReference w:id="2"/>
      </w:r>
      <w:r w:rsidR="00F3731A" w:rsidRPr="003B3244">
        <w:rPr>
          <w:rFonts w:cs="Times New Roman"/>
          <w:lang w:val="sr-Latn-CS"/>
        </w:rPr>
        <w:t>.</w:t>
      </w:r>
    </w:p>
    <w:p w:rsidR="00F3731A" w:rsidRPr="003B3244" w:rsidRDefault="008C5096" w:rsidP="00F3731A">
      <w:pPr>
        <w:pStyle w:val="BodyText"/>
        <w:spacing w:before="100" w:beforeAutospacing="1" w:after="100" w:afterAutospacing="1"/>
        <w:ind w:left="289" w:right="289"/>
        <w:rPr>
          <w:rFonts w:cs="Times New Roman"/>
          <w:lang w:val="sr-Latn-CS"/>
        </w:rPr>
      </w:pPr>
      <w:r w:rsidRPr="008C5096">
        <w:rPr>
          <w:rFonts w:cs="Times New Roman"/>
          <w:lang w:val="sr-Latn-CS"/>
        </w:rPr>
        <w:t xml:space="preserve">Populacija Kosova od 1,8 miliona stanovnika nastavlja da raste i stoga je došlo do povećanja ekspanzije naselja i promena u korišćenju zemljišta. U 2012. naselja su pokrivala 4,7% kosovske teritorije, u poređenju sa 3,7% u 2002. Poljoprivredna zemljišta su sa 31,3% teritorije Kosova u 2002. porasla na 27,8% u 2012. godini (usled  ekspanzije naselja). Šumsko zemljište se povećalo sa 42,1% teritorije Kosova u 2002. godini na 44,7% u 2012. godini. U 2012. godini oko 78% populacije se  vodom snabdevalo iz javnog vodovoda (4% više nego u 2011. godini), dok je oko 56% populacije imalo pristup uslugama </w:t>
      </w:r>
      <w:r w:rsidR="00C402AC">
        <w:rPr>
          <w:rFonts w:cs="Times New Roman"/>
          <w:lang w:val="sr-Latn-CS"/>
        </w:rPr>
        <w:t xml:space="preserve">tretmana </w:t>
      </w:r>
      <w:r w:rsidRPr="008C5096">
        <w:rPr>
          <w:rFonts w:cs="Times New Roman"/>
          <w:lang w:val="sr-Latn-CS"/>
        </w:rPr>
        <w:t>otpadnih voda (5% više nego u 2011. godini</w:t>
      </w:r>
      <w:r w:rsidR="00F3731A" w:rsidRPr="003B3244">
        <w:rPr>
          <w:rFonts w:cs="Times New Roman"/>
          <w:lang w:val="sr-Latn-CS"/>
        </w:rPr>
        <w:t>)</w:t>
      </w:r>
      <w:r w:rsidR="00F3731A" w:rsidRPr="003B3244">
        <w:rPr>
          <w:rFonts w:cs="Times New Roman"/>
          <w:vertAlign w:val="superscript"/>
          <w:lang w:val="sr-Latn-CS"/>
        </w:rPr>
        <w:footnoteReference w:id="3"/>
      </w:r>
      <w:r w:rsidR="00F3731A" w:rsidRPr="003B3244">
        <w:rPr>
          <w:rFonts w:cs="Times New Roman"/>
          <w:lang w:val="sr-Latn-CS"/>
        </w:rPr>
        <w:t>.</w:t>
      </w:r>
    </w:p>
    <w:p w:rsidR="00F3731A" w:rsidRPr="003B3244" w:rsidRDefault="00002910" w:rsidP="00F3731A">
      <w:pPr>
        <w:pStyle w:val="BodyText"/>
        <w:spacing w:before="100" w:beforeAutospacing="1" w:after="100" w:afterAutospacing="1"/>
        <w:ind w:left="289" w:right="289"/>
        <w:rPr>
          <w:rFonts w:cs="Times New Roman"/>
          <w:lang w:val="sr-Latn-CS"/>
        </w:rPr>
      </w:pPr>
      <w:r>
        <w:rPr>
          <w:rFonts w:cs="Times New Roman"/>
          <w:lang w:val="sr-Latn-CS"/>
        </w:rPr>
        <w:t>Kroz Kosovo protiču gornji  slivovi</w:t>
      </w:r>
      <w:r w:rsidR="00421FBE" w:rsidRPr="00421FBE">
        <w:rPr>
          <w:rFonts w:cs="Times New Roman"/>
          <w:lang w:val="sr-Latn-CS"/>
        </w:rPr>
        <w:t xml:space="preserve"> četiri reke koje se ulivaju u tri različita mora: Jadransko, Egejsko i Crno more. Reka Ibar uliva se u reku Dunav, što je čini delom jednog od glavnih e</w:t>
      </w:r>
      <w:r w:rsidR="00FE270D">
        <w:rPr>
          <w:rFonts w:cs="Times New Roman"/>
          <w:lang w:val="sr-Latn-CS"/>
        </w:rPr>
        <w:t>vropskih rečnih sistema. Kroz Ko</w:t>
      </w:r>
      <w:r w:rsidR="00421FBE" w:rsidRPr="00421FBE">
        <w:rPr>
          <w:rFonts w:cs="Times New Roman"/>
          <w:lang w:val="sr-Latn-CS"/>
        </w:rPr>
        <w:t xml:space="preserve">sovo prolazi sliv koji dalje teče u susedne zemlje, ali zbog svoje povišene topografije ne dobija vodu izvan svojih granica. Na Kosovu postoji samo jedna velika brana koja je izgrađena  za proizvodnju hidro električne energije, </w:t>
      </w:r>
      <w:r>
        <w:rPr>
          <w:rFonts w:cs="Times New Roman"/>
          <w:lang w:val="sr-Latn-CS"/>
        </w:rPr>
        <w:t>međutim</w:t>
      </w:r>
      <w:r w:rsidR="00421FBE" w:rsidRPr="00421FBE">
        <w:rPr>
          <w:rFonts w:cs="Times New Roman"/>
          <w:lang w:val="sr-Latn-CS"/>
        </w:rPr>
        <w:t xml:space="preserve"> susedne zemlje su izgradile brane na rekama nizvodno od Kosova. Mnogi delovi reka su ozbiljno poremećeni vađenjem peska i šljunka i pokušajima da se kontroliše </w:t>
      </w:r>
      <w:r w:rsidR="00FE270D">
        <w:rPr>
          <w:rFonts w:cs="Times New Roman"/>
          <w:lang w:val="sr-Latn-CS"/>
        </w:rPr>
        <w:t>izlivanje</w:t>
      </w:r>
      <w:r w:rsidR="00421FBE" w:rsidRPr="00421FBE">
        <w:rPr>
          <w:rFonts w:cs="Times New Roman"/>
          <w:lang w:val="sr-Latn-CS"/>
        </w:rPr>
        <w:t xml:space="preserve"> reka pomoću veštačkih nasipa</w:t>
      </w:r>
      <w:r w:rsidR="00F3731A" w:rsidRPr="003B3244">
        <w:rPr>
          <w:rFonts w:cs="Times New Roman"/>
          <w:vertAlign w:val="superscript"/>
          <w:lang w:val="sr-Latn-CS"/>
        </w:rPr>
        <w:footnoteReference w:id="4"/>
      </w:r>
      <w:r w:rsidR="00F3731A" w:rsidRPr="003B3244">
        <w:rPr>
          <w:rFonts w:cs="Times New Roman"/>
          <w:lang w:val="sr-Latn-CS"/>
        </w:rPr>
        <w:t xml:space="preserve">. </w:t>
      </w:r>
    </w:p>
    <w:p w:rsidR="00F3731A" w:rsidRPr="003B3244" w:rsidRDefault="000A417E" w:rsidP="00F3731A">
      <w:pPr>
        <w:pStyle w:val="BodyText"/>
        <w:spacing w:before="100" w:beforeAutospacing="1" w:after="100" w:afterAutospacing="1"/>
        <w:ind w:left="289" w:right="289"/>
        <w:rPr>
          <w:rFonts w:cs="Times New Roman"/>
          <w:lang w:val="sr-Latn-CS"/>
        </w:rPr>
      </w:pPr>
      <w:r w:rsidRPr="000A417E">
        <w:rPr>
          <w:rFonts w:cs="Times New Roman"/>
          <w:lang w:val="sr-Latn-CS"/>
        </w:rPr>
        <w:t>Na klimu Kosova utiče njegova blizina Jadranskom i Egejskom moru, kao i kontinentalna evropska kopnena masa na severu. Celokupna klima je modifikovana kontinentalna vrsta, sa određenim elementima submediteranske klime na ekstremnom jugu i alpskim režimom u višim planinama. Zime su hladne sa prosečnom temperaturom u januaru i februaru od 0 stepeni Celzijusa i značajn</w:t>
      </w:r>
      <w:r w:rsidR="000E6C63">
        <w:rPr>
          <w:rFonts w:cs="Times New Roman"/>
          <w:lang w:val="sr-Latn-CS"/>
        </w:rPr>
        <w:t>om akumulacijom snega, posebno na</w:t>
      </w:r>
      <w:r w:rsidRPr="000A417E">
        <w:rPr>
          <w:rFonts w:cs="Times New Roman"/>
          <w:lang w:val="sr-Latn-CS"/>
        </w:rPr>
        <w:t xml:space="preserve"> planinama. Leta su vruća, sa ekstremnim temperaturama do 40 stepeni. Prosečne godišnje padavine na Kosovu iznose 720 mm, ali mogu dostići više od 1000 mm u planinama. Letnje suše nisu neuobičajene. </w:t>
      </w:r>
      <w:r w:rsidR="000E6C63">
        <w:rPr>
          <w:rFonts w:cs="Times New Roman"/>
          <w:lang w:val="sr-Latn-CS"/>
        </w:rPr>
        <w:t>Različite</w:t>
      </w:r>
      <w:r w:rsidRPr="000A417E">
        <w:rPr>
          <w:rFonts w:cs="Times New Roman"/>
          <w:lang w:val="sr-Latn-CS"/>
        </w:rPr>
        <w:t xml:space="preserve"> nadmorske visine, klimatski uticaji i tla na Kosovu pružaju široku raznolikost mikrohabitacija kojima su biljne i životinjske vrste prilagođene</w:t>
      </w:r>
      <w:r w:rsidR="00F3731A" w:rsidRPr="003B3244">
        <w:rPr>
          <w:rFonts w:cs="Times New Roman"/>
          <w:vertAlign w:val="superscript"/>
          <w:lang w:val="sr-Latn-CS"/>
        </w:rPr>
        <w:footnoteReference w:id="5"/>
      </w:r>
      <w:r w:rsidR="00F3731A" w:rsidRPr="003B3244">
        <w:rPr>
          <w:rFonts w:cs="Times New Roman"/>
          <w:lang w:val="sr-Latn-CS"/>
        </w:rPr>
        <w:t xml:space="preserve">. </w:t>
      </w:r>
    </w:p>
    <w:p w:rsidR="00F3731A" w:rsidRPr="003B3244" w:rsidRDefault="002822ED" w:rsidP="00F3731A">
      <w:pPr>
        <w:pStyle w:val="BodyText"/>
        <w:spacing w:before="100" w:beforeAutospacing="1" w:after="100" w:afterAutospacing="1"/>
        <w:ind w:left="289" w:right="289"/>
        <w:rPr>
          <w:rFonts w:cs="Times New Roman"/>
          <w:lang w:val="sr-Latn-CS"/>
        </w:rPr>
      </w:pPr>
      <w:r w:rsidRPr="002822ED">
        <w:rPr>
          <w:rFonts w:cs="Times New Roman"/>
          <w:lang w:val="sr-Latn-CS"/>
        </w:rPr>
        <w:t>Kosovo je sklono raznovrsnim</w:t>
      </w:r>
      <w:r>
        <w:rPr>
          <w:rFonts w:cs="Times New Roman"/>
          <w:lang w:val="sr-Latn-CS"/>
        </w:rPr>
        <w:t xml:space="preserve"> prirodnim</w:t>
      </w:r>
      <w:r w:rsidRPr="002822ED">
        <w:rPr>
          <w:rFonts w:cs="Times New Roman"/>
          <w:lang w:val="sr-Latn-CS"/>
        </w:rPr>
        <w:t xml:space="preserve"> opasnostima - uključujući poplave, klizišta, suše, zemljotrese i požare - što bi moglo predstavljati ozbiljne štete za ekonomiju, fiskalnu ravnotežu i dobrobit ugroženih populacija. Očekuje se da će mnoge od ovih klimatskih opasnosti biti uvećane sa budućim klimatskim promenama. Ovi klimatski i katastrofalni rizici mogu ozbiljno uticati na produktivne sektore ekonomije, kao što su poljoprivreda, infrastruktura, energetika, vodni resursi, zajednice i domaćinstva. Prirodne katastrofe i klimatske promene mogu takođe ometati reforme i izvršiti pritisak na fiskalnu poziciju, pogoršati postojeće pritiske rashoda, preusmeriti javne resurse dalje od dugoročnih razvojnih planova i ograničiti sposobnost zemlje da osmisli mere ublažavanja za razvojne programe i buduće potrebe. Oni takođe mogu preusmeriti oskudne državne administrativne kapacitete u operacije hitne pomoći</w:t>
      </w:r>
      <w:r w:rsidR="00F3731A" w:rsidRPr="003B3244">
        <w:rPr>
          <w:rFonts w:cs="Times New Roman"/>
          <w:vertAlign w:val="superscript"/>
          <w:lang w:val="sr-Latn-CS"/>
        </w:rPr>
        <w:footnoteReference w:id="6"/>
      </w:r>
      <w:r w:rsidR="00F3731A" w:rsidRPr="003B3244">
        <w:rPr>
          <w:rFonts w:cs="Times New Roman"/>
          <w:lang w:val="sr-Latn-CS"/>
        </w:rPr>
        <w:t xml:space="preserve">. </w:t>
      </w:r>
    </w:p>
    <w:p w:rsidR="00F3731A" w:rsidRPr="003B3244" w:rsidRDefault="00BD789F" w:rsidP="00F3731A">
      <w:pPr>
        <w:pStyle w:val="BodyText"/>
        <w:spacing w:before="100" w:beforeAutospacing="1" w:after="100" w:afterAutospacing="1"/>
        <w:ind w:left="289" w:right="289"/>
        <w:rPr>
          <w:rFonts w:cs="Times New Roman"/>
          <w:lang w:val="sr-Latn-CS"/>
        </w:rPr>
      </w:pPr>
      <w:r w:rsidRPr="00BD789F">
        <w:rPr>
          <w:rFonts w:cs="Times New Roman"/>
          <w:lang w:val="sr-Latn-CS"/>
        </w:rPr>
        <w:t>Kosovska ekonomija pokazala je napredak u tranziciji ka tržišno zasnovanom sistemu i održavanju makroekonomske stabilnosti, ali je i dalje veoma zavisna od međunarodne zajednice i dijaspore u smislu finansijske i tehničke pomoći. Procenjuje se da doznake iz dijaspore,  uglavnom iz Nemačke, Švajcarske i nordijskih zemlja, čine oko 17% BDP-a, a međunarodna donatorska pomoć čini oko 10% BDP-a. Uz međunarodnu pomoć, Kosovo je uspelo da privatizuje većinu svojih preduzeća u državnom vlasništvu</w:t>
      </w:r>
      <w:r w:rsidR="00F3731A" w:rsidRPr="003B3244">
        <w:rPr>
          <w:rFonts w:cs="Times New Roman"/>
          <w:vertAlign w:val="superscript"/>
          <w:lang w:val="sr-Latn-CS"/>
        </w:rPr>
        <w:footnoteReference w:id="7"/>
      </w:r>
      <w:r w:rsidR="00F3731A" w:rsidRPr="003B3244">
        <w:rPr>
          <w:rFonts w:cs="Times New Roman"/>
          <w:lang w:val="sr-Latn-CS"/>
        </w:rPr>
        <w:t>.</w:t>
      </w:r>
    </w:p>
    <w:p w:rsidR="00F3731A" w:rsidRPr="003B3244" w:rsidRDefault="00210BE8" w:rsidP="00F3731A">
      <w:pPr>
        <w:pStyle w:val="BodyText"/>
        <w:spacing w:before="100" w:beforeAutospacing="1" w:after="100" w:afterAutospacing="1"/>
        <w:ind w:left="289" w:right="289"/>
        <w:rPr>
          <w:rFonts w:cs="Times New Roman"/>
          <w:lang w:val="sr-Latn-CS"/>
        </w:rPr>
      </w:pPr>
      <w:r w:rsidRPr="00210BE8">
        <w:rPr>
          <w:rFonts w:cs="Times New Roman"/>
          <w:lang w:val="sr-Latn-CS"/>
        </w:rPr>
        <w:t>Proizvodnja minerala i metala - uklju</w:t>
      </w:r>
      <w:r w:rsidR="0087453B">
        <w:rPr>
          <w:rFonts w:cs="Times New Roman"/>
          <w:lang w:val="sr-Latn-CS"/>
        </w:rPr>
        <w:t>čujući lignit, olovo, cink, nik</w:t>
      </w:r>
      <w:r w:rsidRPr="00210BE8">
        <w:rPr>
          <w:rFonts w:cs="Times New Roman"/>
          <w:lang w:val="sr-Latn-CS"/>
        </w:rPr>
        <w:t xml:space="preserve">l, hrom, aluminijum, magnezijum i širok spektar građevinskih materijala - nekada glavni ogranak industrije, sada je smanjena zbog zastarele opreme i nedovoljnih investicija, problemi koji su pogoršani konkurentskim i nerešenim vlasničkim potraživanjima najvećih rudnika </w:t>
      </w:r>
      <w:r w:rsidRPr="00210BE8">
        <w:rPr>
          <w:rFonts w:cs="Times New Roman"/>
          <w:lang w:val="sr-Latn-CS"/>
        </w:rPr>
        <w:lastRenderedPageBreak/>
        <w:t>na Kosovu. Ograničeno i nepouzdano snabdevanje električnom energijom predstavlja glavnu prepreku ekonomskom razvoju, ali su i pored toga postignute određene prekretnice. Kosovo je 2012. godine privatizovalo mrežu za snabdevanje i distribuciju električne energije. U saradnji sa Svetskom bankom i Vladom SAD, MER radi na zaključivanju komercijalnog tendera za izgradnju Kosova C, nove elektrane na lignit, koja bi koristila velike rezerve lignita na Kosovu. MER takođe ima planove za rehabilitaciju starije termoelektrane na ugalj Kosovo B i razvoj rudnika uglja koji bi mogao snabdevati obe elektrane</w:t>
      </w:r>
      <w:r w:rsidR="00F3731A" w:rsidRPr="003B3244">
        <w:rPr>
          <w:rFonts w:cs="Times New Roman"/>
          <w:vertAlign w:val="superscript"/>
          <w:lang w:val="sr-Latn-CS"/>
        </w:rPr>
        <w:footnoteReference w:id="8"/>
      </w:r>
      <w:r w:rsidR="00F3731A" w:rsidRPr="003B3244">
        <w:rPr>
          <w:rFonts w:cs="Times New Roman"/>
          <w:lang w:val="sr-Latn-CS"/>
        </w:rPr>
        <w:t>.</w:t>
      </w:r>
    </w:p>
    <w:p w:rsidR="00F3731A" w:rsidRPr="003B3244" w:rsidRDefault="0010029B" w:rsidP="00ED221C">
      <w:pPr>
        <w:pStyle w:val="BodyText"/>
        <w:spacing w:before="100" w:beforeAutospacing="1" w:after="100" w:afterAutospacing="1"/>
        <w:ind w:left="289" w:right="289"/>
        <w:rPr>
          <w:rFonts w:cs="Times New Roman"/>
          <w:lang w:val="sr-Latn-CS"/>
        </w:rPr>
      </w:pPr>
      <w:r w:rsidRPr="0010029B">
        <w:rPr>
          <w:rFonts w:cs="Times New Roman"/>
          <w:lang w:val="sr-Latn-CS"/>
        </w:rPr>
        <w:t>U junu 2009. godine, Kosovo se pridružilo Svetskoj banci i Međunarodnom monetarnom fondu, te je počelo da servisira svoj deo duga bivše Jugoslavije. Da bi pomogao integraciji Kosova u regionalne ekonomske strukture, UNMIK je 2006. godine (u ime Kosova) potpisao pristupanje Centralnoevropskoj zoni slobodne trgovine (</w:t>
      </w:r>
      <w:r w:rsidR="00340E58">
        <w:rPr>
          <w:rFonts w:cs="Times New Roman"/>
          <w:lang w:val="sr-Latn-CS"/>
        </w:rPr>
        <w:t>CZST</w:t>
      </w:r>
      <w:r w:rsidRPr="0010029B">
        <w:rPr>
          <w:rFonts w:cs="Times New Roman"/>
          <w:lang w:val="sr-Latn-CS"/>
        </w:rPr>
        <w:t xml:space="preserve">) u 2006. godini. Kosovo se pridružilo Evropskoj banci za obnovu i razvoj u 2012. i Banci </w:t>
      </w:r>
      <w:r w:rsidR="00F05E79">
        <w:rPr>
          <w:rFonts w:cs="Times New Roman"/>
          <w:lang w:val="sr-Latn-CS"/>
        </w:rPr>
        <w:t>z</w:t>
      </w:r>
      <w:r w:rsidRPr="0010029B">
        <w:rPr>
          <w:rFonts w:cs="Times New Roman"/>
          <w:lang w:val="sr-Latn-CS"/>
        </w:rPr>
        <w:t xml:space="preserve">a razvoj Saveta Evrope 2013. godine. U 2016. godini, Kosovo je sprovelo pregovore o Sporazumu o stabilizaciji i pridruživanju (SSP) sa EU, sa fokusom na liberalizaciju trgovine. Prema SSP-u, Kosovo - koje približno 58% državnih prihoda </w:t>
      </w:r>
      <w:r w:rsidR="001A6BE3">
        <w:rPr>
          <w:rFonts w:cs="Times New Roman"/>
          <w:lang w:val="sr-Latn-CS"/>
        </w:rPr>
        <w:t>ostvaruje iz</w:t>
      </w:r>
      <w:r w:rsidRPr="0010029B">
        <w:rPr>
          <w:rFonts w:cs="Times New Roman"/>
          <w:lang w:val="sr-Latn-CS"/>
        </w:rPr>
        <w:t xml:space="preserve"> tarifa za uvoz </w:t>
      </w:r>
      <w:r w:rsidR="004E269A">
        <w:rPr>
          <w:rFonts w:cs="Times New Roman"/>
          <w:lang w:val="sr-Latn-CS"/>
        </w:rPr>
        <w:t>–</w:t>
      </w:r>
      <w:r w:rsidRPr="0010029B">
        <w:rPr>
          <w:rFonts w:cs="Times New Roman"/>
          <w:lang w:val="sr-Latn-CS"/>
        </w:rPr>
        <w:t xml:space="preserve"> </w:t>
      </w:r>
      <w:r w:rsidR="004E269A">
        <w:rPr>
          <w:rFonts w:cs="Times New Roman"/>
          <w:lang w:val="sr-Latn-CS"/>
        </w:rPr>
        <w:t>treba</w:t>
      </w:r>
      <w:r w:rsidRPr="0010029B">
        <w:rPr>
          <w:rFonts w:cs="Times New Roman"/>
          <w:lang w:val="sr-Latn-CS"/>
        </w:rPr>
        <w:t xml:space="preserve"> da ukine tarife za robu iz EU u narednih sedam godina. U 2014. godini skoro 60% carinskog uvoza na Kosovu je bila roba iz EU. Godine 2015, Kosovo je pregovaralo o Stand-by aranžmanu (SBA) od 185 miliona dolara  sa MMF-om nakon zaključenja prethodnog SBA-a u 2014. MMF je zatražio produženje aktuelnog SBA do avgusta 2017. godine kako bi se olakšao kontinuitet politike i omogućilo dovoljno vremena za ostvarivanje napretka u tekućim strukturnim reformama. U avgustu 2015. godine, u sklopu procesa normalizacije sa Srbijom, uz posredstvo EU, Kosovo je potpisalo sporazume o telekomuni</w:t>
      </w:r>
      <w:r w:rsidR="004E269A">
        <w:rPr>
          <w:rFonts w:cs="Times New Roman"/>
          <w:lang w:val="sr-Latn-CS"/>
        </w:rPr>
        <w:t>kacijama i distribuciji električne energije</w:t>
      </w:r>
      <w:r w:rsidRPr="0010029B">
        <w:rPr>
          <w:rFonts w:cs="Times New Roman"/>
          <w:lang w:val="sr-Latn-CS"/>
        </w:rPr>
        <w:t xml:space="preserve">, </w:t>
      </w:r>
      <w:r w:rsidR="004E269A">
        <w:rPr>
          <w:rFonts w:cs="Times New Roman"/>
          <w:lang w:val="sr-Latn-CS"/>
        </w:rPr>
        <w:t xml:space="preserve">međutim </w:t>
      </w:r>
      <w:r w:rsidRPr="0010029B">
        <w:rPr>
          <w:rFonts w:cs="Times New Roman"/>
          <w:lang w:val="sr-Latn-CS"/>
        </w:rPr>
        <w:t xml:space="preserve"> neslaganja oko toga ko poseduje ekonomsku imovinu, kao što je</w:t>
      </w:r>
      <w:r w:rsidR="00ED221C">
        <w:rPr>
          <w:rFonts w:cs="Times New Roman"/>
          <w:lang w:val="sr-Latn-CS"/>
        </w:rPr>
        <w:t xml:space="preserve"> imovina rudarskog</w:t>
      </w:r>
      <w:r w:rsidRPr="0010029B">
        <w:rPr>
          <w:rFonts w:cs="Times New Roman"/>
          <w:lang w:val="sr-Latn-CS"/>
        </w:rPr>
        <w:t xml:space="preserve"> konglomerat</w:t>
      </w:r>
      <w:r w:rsidR="00ED221C">
        <w:rPr>
          <w:rFonts w:cs="Times New Roman"/>
          <w:lang w:val="sr-Latn-CS"/>
        </w:rPr>
        <w:t>a Trepča</w:t>
      </w:r>
      <w:r w:rsidRPr="0010029B">
        <w:rPr>
          <w:rFonts w:cs="Times New Roman"/>
          <w:lang w:val="sr-Latn-CS"/>
        </w:rPr>
        <w:t xml:space="preserve"> na Kosovu</w:t>
      </w:r>
      <w:r w:rsidR="00ED221C">
        <w:rPr>
          <w:rFonts w:cs="Times New Roman"/>
          <w:lang w:val="sr-Latn-CS"/>
        </w:rPr>
        <w:t>,</w:t>
      </w:r>
      <w:r w:rsidRPr="0010029B">
        <w:rPr>
          <w:rFonts w:cs="Times New Roman"/>
          <w:lang w:val="sr-Latn-CS"/>
        </w:rPr>
        <w:t xml:space="preserve"> se nastavljaju</w:t>
      </w:r>
      <w:r w:rsidR="00F3731A" w:rsidRPr="003B3244">
        <w:rPr>
          <w:rFonts w:cs="Times New Roman"/>
          <w:vertAlign w:val="superscript"/>
          <w:lang w:val="sr-Latn-CS"/>
        </w:rPr>
        <w:footnoteReference w:id="9"/>
      </w:r>
      <w:r w:rsidR="00F3731A" w:rsidRPr="003B3244">
        <w:rPr>
          <w:rFonts w:cs="Times New Roman"/>
          <w:lang w:val="sr-Latn-CS"/>
        </w:rPr>
        <w:t>.</w:t>
      </w:r>
    </w:p>
    <w:p w:rsidR="00F3731A" w:rsidRPr="003B3244" w:rsidRDefault="0010029B" w:rsidP="00F3731A">
      <w:pPr>
        <w:pStyle w:val="BodyText"/>
        <w:spacing w:before="100" w:beforeAutospacing="1" w:after="100" w:afterAutospacing="1"/>
        <w:ind w:left="289" w:right="289"/>
        <w:rPr>
          <w:rFonts w:cs="Times New Roman"/>
          <w:lang w:val="sr-Latn-CS"/>
        </w:rPr>
      </w:pPr>
      <w:r w:rsidRPr="0010029B">
        <w:rPr>
          <w:rFonts w:cs="Times New Roman"/>
          <w:lang w:val="sr-Latn-CS"/>
        </w:rPr>
        <w:t>Dok kosovska ekonomija nastavlja da ostvar</w:t>
      </w:r>
      <w:r w:rsidR="00ED221C">
        <w:rPr>
          <w:rFonts w:cs="Times New Roman"/>
          <w:lang w:val="sr-Latn-CS"/>
        </w:rPr>
        <w:t xml:space="preserve">uje napredak, potrebna su dalje reforme </w:t>
      </w:r>
      <w:r w:rsidRPr="0010029B">
        <w:rPr>
          <w:rFonts w:cs="Times New Roman"/>
          <w:lang w:val="sr-Latn-CS"/>
        </w:rPr>
        <w:t xml:space="preserve">i investicije kako bi se omogućio nivo rasta potreban za smanjenje nezaposlenosti i podizanje životnog standarda na značajan način </w:t>
      </w:r>
      <w:r w:rsidR="00F3731A" w:rsidRPr="003B3244">
        <w:rPr>
          <w:rFonts w:cs="Times New Roman"/>
          <w:vertAlign w:val="superscript"/>
          <w:lang w:val="sr-Latn-CS"/>
        </w:rPr>
        <w:footnoteReference w:id="10"/>
      </w:r>
      <w:r w:rsidR="00F3731A" w:rsidRPr="003B3244">
        <w:rPr>
          <w:rFonts w:cs="Times New Roman"/>
          <w:lang w:val="sr-Latn-CS"/>
        </w:rPr>
        <w:t>.</w:t>
      </w:r>
    </w:p>
    <w:p w:rsidR="00F3731A" w:rsidRPr="003B3244" w:rsidRDefault="0010029B" w:rsidP="00F3731A">
      <w:pPr>
        <w:pStyle w:val="Heading2"/>
        <w:rPr>
          <w:lang w:val="sr-Latn-CS"/>
        </w:rPr>
      </w:pPr>
      <w:bookmarkStart w:id="4" w:name="_Toc531255606"/>
      <w:r>
        <w:rPr>
          <w:lang w:val="sr-Latn-CS"/>
        </w:rPr>
        <w:t>Zaštićena područja</w:t>
      </w:r>
      <w:r w:rsidR="00F3731A" w:rsidRPr="003B3244">
        <w:rPr>
          <w:lang w:val="sr-Latn-CS"/>
        </w:rPr>
        <w:t xml:space="preserve"> (</w:t>
      </w:r>
      <w:r>
        <w:rPr>
          <w:lang w:val="sr-Latn-CS"/>
        </w:rPr>
        <w:t>ZP-ovi</w:t>
      </w:r>
      <w:r w:rsidR="00F3731A" w:rsidRPr="003B3244">
        <w:rPr>
          <w:lang w:val="sr-Latn-CS"/>
        </w:rPr>
        <w:t xml:space="preserve">) </w:t>
      </w:r>
      <w:r>
        <w:rPr>
          <w:lang w:val="sr-Latn-CS"/>
        </w:rPr>
        <w:t>Kosova</w:t>
      </w:r>
      <w:bookmarkEnd w:id="4"/>
    </w:p>
    <w:p w:rsidR="00F3731A" w:rsidRPr="003B3244" w:rsidRDefault="00390FC9" w:rsidP="00F3731A">
      <w:pPr>
        <w:pStyle w:val="BodyText"/>
        <w:spacing w:before="100" w:beforeAutospacing="1" w:after="100" w:afterAutospacing="1"/>
        <w:ind w:left="289" w:right="289"/>
        <w:rPr>
          <w:rFonts w:cs="Times New Roman"/>
          <w:lang w:val="sr-Latn-CS"/>
        </w:rPr>
      </w:pPr>
      <w:r w:rsidRPr="00390FC9">
        <w:rPr>
          <w:rFonts w:cs="Times New Roman"/>
          <w:lang w:val="sr-Latn-CS"/>
        </w:rPr>
        <w:t xml:space="preserve">Nacionalnu mrežu zaštićenih područja čine 116 prirodnih područja (ili 10,9% teritorije zemlje </w:t>
      </w:r>
      <w:r w:rsidR="00F3731A" w:rsidRPr="003B3244">
        <w:rPr>
          <w:rFonts w:cs="Times New Roman"/>
          <w:vertAlign w:val="superscript"/>
          <w:lang w:val="sr-Latn-CS"/>
        </w:rPr>
        <w:footnoteReference w:id="11"/>
      </w:r>
      <w:r w:rsidR="00F3731A" w:rsidRPr="003B3244">
        <w:rPr>
          <w:rFonts w:cs="Times New Roman"/>
          <w:lang w:val="sr-Latn-CS"/>
        </w:rPr>
        <w:t xml:space="preserve">). </w:t>
      </w:r>
      <w:r w:rsidRPr="00390FC9">
        <w:rPr>
          <w:rFonts w:cs="Times New Roman"/>
          <w:lang w:val="sr-Latn-CS"/>
        </w:rPr>
        <w:t>Najveću teritoriju zaštićenog područj</w:t>
      </w:r>
      <w:r w:rsidR="00ED221C">
        <w:rPr>
          <w:rFonts w:cs="Times New Roman"/>
          <w:lang w:val="sr-Latn-CS"/>
        </w:rPr>
        <w:t>a pokrivaju Nacionalni parkovi „</w:t>
      </w:r>
      <w:r w:rsidRPr="00390FC9">
        <w:rPr>
          <w:rFonts w:cs="Times New Roman"/>
          <w:lang w:val="sr-Latn-CS"/>
        </w:rPr>
        <w:t>Sharri</w:t>
      </w:r>
      <w:r w:rsidR="00ED221C">
        <w:rPr>
          <w:rFonts w:cs="Times New Roman"/>
          <w:lang w:val="sr-Latn-CS"/>
        </w:rPr>
        <w:t>“ i „Bjeshket e Nemuna“</w:t>
      </w:r>
      <w:r w:rsidR="00F3731A" w:rsidRPr="003B3244">
        <w:rPr>
          <w:rFonts w:cs="Times New Roman"/>
          <w:vertAlign w:val="superscript"/>
          <w:lang w:val="sr-Latn-CS"/>
        </w:rPr>
        <w:footnoteReference w:id="12"/>
      </w:r>
      <w:r w:rsidR="00F3731A" w:rsidRPr="003B3244">
        <w:rPr>
          <w:rFonts w:cs="Times New Roman"/>
          <w:lang w:val="sr-Latn-CS"/>
        </w:rPr>
        <w:t>.</w:t>
      </w:r>
    </w:p>
    <w:p w:rsidR="00F3731A" w:rsidRPr="003B3244" w:rsidRDefault="00390FC9" w:rsidP="00F3731A">
      <w:pPr>
        <w:pStyle w:val="BodyText"/>
        <w:spacing w:before="100" w:beforeAutospacing="1" w:after="100" w:afterAutospacing="1"/>
        <w:ind w:left="289" w:right="289"/>
        <w:rPr>
          <w:rFonts w:cs="Times New Roman"/>
          <w:lang w:val="sr-Latn-CS"/>
        </w:rPr>
      </w:pPr>
      <w:r w:rsidRPr="00390FC9">
        <w:rPr>
          <w:rFonts w:cs="Times New Roman"/>
          <w:lang w:val="sr-Latn-CS"/>
        </w:rPr>
        <w:t>Kada je 2012. godine Kosovo objavilo osnivanje svog drugog nacionalnog parka Bjeshkët e Nemura (62.488 hektara), proširilo je i teritoriju svog prvog nacionalnog parka Sharri. Ova dve mere povećale su ukupan udeo zaštićenih područja na Kosovu sa 4,36% (u 2003. godini) na 10,9% nacionalne teritorije. Osim svoja dva nacionalna parka, Kosovo ima još 97 drugih zaštićenih područja različitih kategorija</w:t>
      </w:r>
      <w:r w:rsidR="00F3731A" w:rsidRPr="003B3244">
        <w:rPr>
          <w:rFonts w:cs="Times New Roman"/>
          <w:vertAlign w:val="superscript"/>
          <w:lang w:val="sr-Latn-CS"/>
        </w:rPr>
        <w:footnoteReference w:id="13"/>
      </w:r>
      <w:r w:rsidR="00F3731A" w:rsidRPr="003B3244">
        <w:rPr>
          <w:rFonts w:cs="Times New Roman"/>
          <w:lang w:val="sr-Latn-CS"/>
        </w:rPr>
        <w:t xml:space="preserve">. </w:t>
      </w:r>
      <w:r w:rsidR="00FB5EF1" w:rsidRPr="00FB5EF1">
        <w:rPr>
          <w:rFonts w:cs="Times New Roman"/>
          <w:lang w:val="sr-Latn-CS"/>
        </w:rPr>
        <w:t xml:space="preserve">U daljem tekstu pogledajte mapu na kojoj su vizuelno predstavljena zaštićena područja </w:t>
      </w:r>
      <w:r w:rsidR="00F3731A" w:rsidRPr="003B3244">
        <w:rPr>
          <w:rFonts w:cs="Times New Roman"/>
          <w:vertAlign w:val="superscript"/>
          <w:lang w:val="sr-Latn-CS"/>
        </w:rPr>
        <w:footnoteReference w:id="14"/>
      </w:r>
      <w:r w:rsidR="00F3731A" w:rsidRPr="003B3244">
        <w:rPr>
          <w:rFonts w:cs="Times New Roman"/>
          <w:lang w:val="sr-Latn-CS"/>
        </w:rPr>
        <w:t>.</w:t>
      </w:r>
    </w:p>
    <w:p w:rsidR="00F3731A" w:rsidRPr="003B3244" w:rsidRDefault="00F3731A" w:rsidP="00F3731A">
      <w:pPr>
        <w:pStyle w:val="BodyText"/>
        <w:spacing w:before="100" w:beforeAutospacing="1" w:after="100" w:afterAutospacing="1"/>
        <w:ind w:left="289" w:right="289"/>
        <w:rPr>
          <w:rFonts w:cs="Times New Roman"/>
          <w:lang w:val="sr-Latn-CS"/>
        </w:rPr>
      </w:pPr>
    </w:p>
    <w:p w:rsidR="00F3731A" w:rsidRPr="003B3244" w:rsidRDefault="00F3731A" w:rsidP="00F3731A">
      <w:pPr>
        <w:pStyle w:val="BodyText"/>
        <w:spacing w:before="100" w:beforeAutospacing="1" w:after="100" w:afterAutospacing="1"/>
        <w:ind w:left="289" w:right="289"/>
        <w:rPr>
          <w:rFonts w:cs="Times New Roman"/>
          <w:lang w:val="sr-Latn-CS"/>
        </w:rPr>
      </w:pPr>
      <w:r w:rsidRPr="003B3244">
        <w:rPr>
          <w:rFonts w:cs="Times New Roman"/>
          <w:noProof/>
          <w:lang w:val="en-GB" w:eastAsia="en-GB"/>
        </w:rPr>
        <w:lastRenderedPageBreak/>
        <w:drawing>
          <wp:inline distT="0" distB="0" distL="0" distR="0">
            <wp:extent cx="6189345" cy="76803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2-27 at 5.18.12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9345" cy="7680325"/>
                    </a:xfrm>
                    <a:prstGeom prst="rect">
                      <a:avLst/>
                    </a:prstGeom>
                  </pic:spPr>
                </pic:pic>
              </a:graphicData>
            </a:graphic>
          </wp:inline>
        </w:drawing>
      </w:r>
    </w:p>
    <w:p w:rsidR="00F3731A" w:rsidRPr="003B3244" w:rsidRDefault="00F3731A" w:rsidP="00F3731A">
      <w:pPr>
        <w:pStyle w:val="BodyText"/>
        <w:spacing w:before="100" w:beforeAutospacing="1" w:after="100" w:afterAutospacing="1"/>
        <w:ind w:left="289" w:right="289"/>
        <w:rPr>
          <w:rFonts w:cs="Times New Roman"/>
          <w:lang w:val="sr-Latn-CS"/>
        </w:rPr>
      </w:pPr>
    </w:p>
    <w:p w:rsidR="00F3731A" w:rsidRPr="003B3244" w:rsidRDefault="00FB5EF1" w:rsidP="00F3731A">
      <w:pPr>
        <w:pStyle w:val="BodyText"/>
        <w:spacing w:before="100" w:beforeAutospacing="1" w:after="100" w:afterAutospacing="1"/>
        <w:ind w:left="289" w:right="289"/>
        <w:rPr>
          <w:rFonts w:cs="Times New Roman"/>
          <w:lang w:val="sr-Latn-CS"/>
        </w:rPr>
      </w:pPr>
      <w:r>
        <w:rPr>
          <w:rFonts w:cs="Times New Roman"/>
          <w:lang w:val="sr-Latn-CS"/>
        </w:rPr>
        <w:t>Izvor</w:t>
      </w:r>
      <w:r w:rsidR="00F3731A" w:rsidRPr="003B3244">
        <w:rPr>
          <w:rFonts w:cs="Times New Roman"/>
          <w:lang w:val="sr-Latn-CS"/>
        </w:rPr>
        <w:t xml:space="preserve">: </w:t>
      </w:r>
      <w:r>
        <w:rPr>
          <w:rFonts w:cs="Times New Roman"/>
          <w:lang w:val="sr-Latn-CS"/>
        </w:rPr>
        <w:t>Kosovska agencija za zaštitu životne sredine</w:t>
      </w:r>
      <w:r w:rsidR="00F3731A" w:rsidRPr="003B3244">
        <w:rPr>
          <w:rFonts w:cs="Times New Roman"/>
          <w:lang w:val="sr-Latn-CS"/>
        </w:rPr>
        <w:t xml:space="preserve"> (2015)</w:t>
      </w:r>
    </w:p>
    <w:p w:rsidR="00F3731A" w:rsidRPr="003B3244" w:rsidRDefault="00F3731A" w:rsidP="00F3731A">
      <w:pPr>
        <w:pStyle w:val="BodyText"/>
        <w:spacing w:before="100" w:beforeAutospacing="1" w:after="100" w:afterAutospacing="1"/>
        <w:ind w:left="289" w:right="289"/>
        <w:rPr>
          <w:rFonts w:cs="Times New Roman"/>
          <w:lang w:val="sr-Latn-CS"/>
        </w:rPr>
      </w:pPr>
      <w:r w:rsidRPr="003B3244">
        <w:rPr>
          <w:rFonts w:cs="Times New Roman"/>
          <w:lang w:val="sr-Latn-CS"/>
        </w:rPr>
        <w:br/>
      </w:r>
    </w:p>
    <w:p w:rsidR="00F3731A" w:rsidRPr="003B3244" w:rsidRDefault="00F3731A" w:rsidP="00F3731A">
      <w:pPr>
        <w:pStyle w:val="BodyText"/>
        <w:spacing w:before="100" w:beforeAutospacing="1" w:after="100" w:afterAutospacing="1"/>
        <w:ind w:left="289" w:right="289"/>
        <w:rPr>
          <w:rFonts w:cs="Times New Roman"/>
          <w:lang w:val="sr-Latn-CS"/>
        </w:rPr>
      </w:pPr>
    </w:p>
    <w:p w:rsidR="00F3731A" w:rsidRPr="003B3244" w:rsidRDefault="00F3731A" w:rsidP="00F3731A">
      <w:pPr>
        <w:pStyle w:val="BodyText"/>
        <w:spacing w:before="100" w:beforeAutospacing="1" w:after="100" w:afterAutospacing="1"/>
        <w:ind w:left="289" w:right="289"/>
        <w:rPr>
          <w:rFonts w:cs="Times New Roman"/>
          <w:lang w:val="sr-Latn-CS"/>
        </w:rPr>
      </w:pPr>
    </w:p>
    <w:p w:rsidR="00F3731A" w:rsidRPr="003B3244" w:rsidRDefault="00F3731A" w:rsidP="00F3731A">
      <w:pPr>
        <w:pStyle w:val="BodyText"/>
        <w:spacing w:before="100" w:beforeAutospacing="1" w:after="100" w:afterAutospacing="1"/>
        <w:ind w:left="289" w:right="289"/>
        <w:rPr>
          <w:rFonts w:cs="Times New Roman"/>
          <w:lang w:val="sr-Latn-CS"/>
        </w:rPr>
      </w:pPr>
    </w:p>
    <w:p w:rsidR="00F3731A" w:rsidRPr="003B3244" w:rsidRDefault="00FB5EF1" w:rsidP="00F3731A">
      <w:pPr>
        <w:pStyle w:val="Heading2"/>
        <w:rPr>
          <w:lang w:val="sr-Latn-CS"/>
        </w:rPr>
      </w:pPr>
      <w:bookmarkStart w:id="5" w:name="_Toc531255607"/>
      <w:r>
        <w:rPr>
          <w:lang w:val="sr-Latn-CS"/>
        </w:rPr>
        <w:t>Fizičko kulturno nasleđe</w:t>
      </w:r>
      <w:bookmarkEnd w:id="5"/>
    </w:p>
    <w:p w:rsidR="00F3731A" w:rsidRPr="003B3244" w:rsidRDefault="00C65FB5" w:rsidP="00F3731A">
      <w:pPr>
        <w:pStyle w:val="BodyText"/>
        <w:spacing w:before="100" w:beforeAutospacing="1" w:after="100" w:afterAutospacing="1"/>
        <w:ind w:left="289" w:right="289"/>
        <w:rPr>
          <w:rFonts w:cs="Times New Roman"/>
          <w:lang w:val="sr-Latn-CS"/>
        </w:rPr>
      </w:pPr>
      <w:r w:rsidRPr="00C65FB5">
        <w:rPr>
          <w:rFonts w:cs="Times New Roman"/>
          <w:lang w:val="sr-Latn-CS"/>
        </w:rPr>
        <w:t>Kosovo je naseljeno od praistorijskih vremena. Nedavna arheološka nalazišta potiču iz ranog neolitskog perioda, tj. 6. milenijuma p.n.e. i uključuju različite antropomorfne i zoomorfne figurine plodnosti i obojene keramike. U antičkom periodu, na području sadašnjeg Kosova nalazili su se visoko urbanizovani centri rafinirane kulture</w:t>
      </w:r>
      <w:r w:rsidR="00F3731A" w:rsidRPr="003B3244">
        <w:rPr>
          <w:rFonts w:cs="Times New Roman"/>
          <w:vertAlign w:val="superscript"/>
          <w:lang w:val="sr-Latn-CS"/>
        </w:rPr>
        <w:footnoteReference w:id="15"/>
      </w:r>
      <w:r w:rsidR="00F3731A" w:rsidRPr="003B3244">
        <w:rPr>
          <w:rFonts w:cs="Times New Roman"/>
          <w:lang w:val="sr-Latn-CS"/>
        </w:rPr>
        <w:t xml:space="preserve">. </w:t>
      </w:r>
      <w:r w:rsidRPr="00C65FB5">
        <w:rPr>
          <w:rFonts w:cs="Times New Roman"/>
          <w:lang w:val="sr-Latn-CS"/>
        </w:rPr>
        <w:t>Zbog toga nije čudno što je Kosovo dom značajnog kulturnog i verskog nasleđa, a ne samo prirodnih znamenitosti</w:t>
      </w:r>
      <w:r w:rsidR="00F3731A" w:rsidRPr="003B3244">
        <w:rPr>
          <w:rFonts w:cs="Times New Roman"/>
          <w:lang w:val="sr-Latn-CS"/>
        </w:rPr>
        <w:t>.</w:t>
      </w:r>
    </w:p>
    <w:p w:rsidR="00F3731A" w:rsidRPr="003B3244" w:rsidRDefault="00C65FB5" w:rsidP="00F3731A">
      <w:pPr>
        <w:pStyle w:val="BodyText"/>
        <w:spacing w:before="100" w:beforeAutospacing="1" w:after="100" w:afterAutospacing="1"/>
        <w:ind w:left="289" w:right="289"/>
        <w:rPr>
          <w:rFonts w:cs="Times New Roman"/>
          <w:lang w:val="sr-Latn-CS"/>
        </w:rPr>
      </w:pPr>
      <w:r w:rsidRPr="00C65FB5">
        <w:rPr>
          <w:rFonts w:cs="Times New Roman"/>
          <w:lang w:val="sr-Latn-CS"/>
        </w:rPr>
        <w:t>Kulturno nasleđe Kosova uključuje spomenike, lokacije, artefakte, kao i njihove nematerijalne atribute stvorene od strane svih naroda koji su živeli na Kosovu tokom vekova</w:t>
      </w:r>
      <w:r w:rsidR="00F3731A" w:rsidRPr="003B3244">
        <w:rPr>
          <w:rFonts w:cs="Times New Roman"/>
          <w:lang w:val="sr-Latn-CS"/>
        </w:rPr>
        <w:t xml:space="preserve">. </w:t>
      </w:r>
    </w:p>
    <w:p w:rsidR="00F3731A" w:rsidRPr="003B3244" w:rsidRDefault="00BA37CB" w:rsidP="00F3731A">
      <w:pPr>
        <w:pStyle w:val="BodyText"/>
        <w:spacing w:before="100" w:beforeAutospacing="1" w:after="100" w:afterAutospacing="1"/>
        <w:ind w:left="289" w:right="289"/>
        <w:rPr>
          <w:rFonts w:cs="Times New Roman"/>
          <w:lang w:val="sr-Latn-CS"/>
        </w:rPr>
      </w:pPr>
      <w:r>
        <w:rPr>
          <w:rFonts w:cs="Times New Roman"/>
          <w:lang w:val="sr-Latn-CS"/>
        </w:rPr>
        <w:t>Što se tiče reljefnih znamenitosti</w:t>
      </w:r>
      <w:r w:rsidR="000109E6" w:rsidRPr="000109E6">
        <w:rPr>
          <w:rFonts w:cs="Times New Roman"/>
          <w:lang w:val="sr-Latn-CS"/>
        </w:rPr>
        <w:t>, na Kosovu postoji nekoliko malih i srednjih jezera, uključujući i nekoliko alpskih</w:t>
      </w:r>
      <w:r>
        <w:rPr>
          <w:rFonts w:cs="Times New Roman"/>
          <w:lang w:val="sr-Latn-CS"/>
        </w:rPr>
        <w:t xml:space="preserve"> jezera glacijalnog porekla koja</w:t>
      </w:r>
      <w:r w:rsidR="000109E6" w:rsidRPr="000109E6">
        <w:rPr>
          <w:rFonts w:cs="Times New Roman"/>
          <w:lang w:val="sr-Latn-CS"/>
        </w:rPr>
        <w:t xml:space="preserve"> su od naučnog i scenskog interesa</w:t>
      </w:r>
      <w:r w:rsidR="00F3731A" w:rsidRPr="003B3244">
        <w:rPr>
          <w:rFonts w:cs="Times New Roman"/>
          <w:lang w:val="sr-Latn-CS"/>
        </w:rPr>
        <w:t>.</w:t>
      </w:r>
    </w:p>
    <w:p w:rsidR="00F3731A" w:rsidRPr="003B3244" w:rsidRDefault="000109E6" w:rsidP="00F3731A">
      <w:pPr>
        <w:pStyle w:val="Heading2"/>
        <w:rPr>
          <w:lang w:val="sr-Latn-CS"/>
        </w:rPr>
      </w:pPr>
      <w:bookmarkStart w:id="6" w:name="_Toc531255608"/>
      <w:r>
        <w:rPr>
          <w:lang w:val="sr-Latn-CS"/>
        </w:rPr>
        <w:t>Ve</w:t>
      </w:r>
      <w:r w:rsidR="00BA37CB">
        <w:rPr>
          <w:lang w:val="sr-Latn-CS"/>
        </w:rPr>
        <w:t>ć</w:t>
      </w:r>
      <w:r>
        <w:rPr>
          <w:lang w:val="sr-Latn-CS"/>
        </w:rPr>
        <w:t>i ekološki problemi</w:t>
      </w:r>
      <w:bookmarkEnd w:id="6"/>
    </w:p>
    <w:p w:rsidR="00F3731A" w:rsidRPr="003B3244" w:rsidRDefault="00F3731A" w:rsidP="00F3731A">
      <w:pPr>
        <w:pStyle w:val="Heading2"/>
        <w:rPr>
          <w:lang w:val="sr-Latn-CS"/>
        </w:rPr>
      </w:pPr>
    </w:p>
    <w:p w:rsidR="00F3731A" w:rsidRPr="003B3244" w:rsidRDefault="000109E6" w:rsidP="00F3731A">
      <w:pPr>
        <w:jc w:val="both"/>
        <w:rPr>
          <w:rFonts w:ascii="Times New Roman" w:eastAsia="Calibri" w:hAnsi="Times New Roman" w:cs="Times New Roman"/>
          <w:b/>
          <w:color w:val="000000"/>
          <w:lang w:val="sr-Latn-CS"/>
        </w:rPr>
      </w:pPr>
      <w:r w:rsidRPr="000109E6">
        <w:rPr>
          <w:rFonts w:ascii="Times New Roman" w:eastAsia="Calibri" w:hAnsi="Times New Roman" w:cs="Times New Roman"/>
          <w:b/>
          <w:color w:val="000000"/>
          <w:lang w:val="sr-Latn-CS"/>
        </w:rPr>
        <w:t>Kosovo se bori sa nizom rizika po životnu sredinu, kako je navedeno u daljem tekstu</w:t>
      </w:r>
      <w:r w:rsidR="00F3731A" w:rsidRPr="003B3244">
        <w:rPr>
          <w:rFonts w:ascii="Times New Roman" w:eastAsia="Calibri" w:hAnsi="Times New Roman" w:cs="Times New Roman"/>
          <w:b/>
          <w:color w:val="000000"/>
          <w:lang w:val="sr-Latn-CS"/>
        </w:rPr>
        <w:t>:</w:t>
      </w:r>
    </w:p>
    <w:p w:rsidR="00F3731A" w:rsidRPr="003B3244" w:rsidRDefault="000452C7" w:rsidP="001C4673">
      <w:pPr>
        <w:pStyle w:val="ListParagraph"/>
        <w:numPr>
          <w:ilvl w:val="0"/>
          <w:numId w:val="12"/>
        </w:numPr>
        <w:jc w:val="both"/>
        <w:rPr>
          <w:rFonts w:eastAsia="Calibri"/>
          <w:color w:val="000000"/>
          <w:lang w:val="sr-Latn-CS"/>
        </w:rPr>
      </w:pPr>
      <w:r w:rsidRPr="000452C7">
        <w:rPr>
          <w:rFonts w:eastAsia="Calibri"/>
          <w:color w:val="000000"/>
          <w:lang w:val="sr-Latn-CS"/>
        </w:rPr>
        <w:t xml:space="preserve">Zagađenje vazduha je značajan problem u urbanim područjima Kosova i umereni problem za zemlju u celini. Kvalitet urbanog ambijentalnog vazduha je siromašan naročito u Prištini, na području Obilića, na području Glogovca i u Mitrovici. Glavni izvori zagađenja uključuju (a) korišćenje drveta i lignita za potrebe grejanja u domaćinstvima / zgradama, a u manjoj meri i za proizvodnju </w:t>
      </w:r>
      <w:r w:rsidR="009C58FA">
        <w:rPr>
          <w:rFonts w:eastAsia="Calibri"/>
          <w:color w:val="000000"/>
          <w:lang w:val="sr-Latn-CS"/>
        </w:rPr>
        <w:t>energije i rudarstvo</w:t>
      </w:r>
      <w:r w:rsidRPr="000452C7">
        <w:rPr>
          <w:rFonts w:eastAsia="Calibri"/>
          <w:color w:val="000000"/>
          <w:lang w:val="sr-Latn-CS"/>
        </w:rPr>
        <w:t>; (b) dim i emisije iz velikih industrijskih kompleksa; (c) deponije urbanog i industrijskog otpada sa tendencijom specifičnog lokalnog uticaja; i (d) emisije vozila. Ključni uticaji na zdravlje od zagađenja vazduha su povezani sa visokim nivoima čestica (PM), poznatih i kao sitne čestice ili prašina</w:t>
      </w:r>
      <w:r w:rsidR="00F3731A" w:rsidRPr="003B3244">
        <w:rPr>
          <w:rFonts w:eastAsia="Calibri"/>
          <w:vertAlign w:val="superscript"/>
          <w:lang w:val="sr-Latn-CS"/>
        </w:rPr>
        <w:footnoteReference w:id="16"/>
      </w:r>
      <w:r w:rsidR="00F3731A" w:rsidRPr="003B3244">
        <w:rPr>
          <w:rFonts w:eastAsia="Calibri"/>
          <w:color w:val="000000"/>
          <w:lang w:val="sr-Latn-CS"/>
        </w:rPr>
        <w:t xml:space="preserve">. </w:t>
      </w:r>
    </w:p>
    <w:p w:rsidR="00F3731A" w:rsidRPr="003B3244" w:rsidRDefault="00F3731A" w:rsidP="00F3731A">
      <w:pPr>
        <w:jc w:val="both"/>
        <w:rPr>
          <w:rFonts w:ascii="Times New Roman" w:eastAsia="Calibri" w:hAnsi="Times New Roman" w:cs="Times New Roman"/>
          <w:color w:val="000000"/>
          <w:lang w:val="sr-Latn-CS"/>
        </w:rPr>
      </w:pPr>
    </w:p>
    <w:p w:rsidR="00F3731A" w:rsidRPr="003B3244" w:rsidRDefault="000452C7" w:rsidP="001C4673">
      <w:pPr>
        <w:pStyle w:val="ListParagraph"/>
        <w:numPr>
          <w:ilvl w:val="0"/>
          <w:numId w:val="12"/>
        </w:numPr>
        <w:jc w:val="both"/>
        <w:rPr>
          <w:rFonts w:eastAsia="Calibri"/>
          <w:color w:val="000000"/>
          <w:lang w:val="sr-Latn-CS"/>
        </w:rPr>
      </w:pPr>
      <w:r w:rsidRPr="000452C7">
        <w:rPr>
          <w:rFonts w:eastAsia="Calibri"/>
          <w:color w:val="000000"/>
          <w:lang w:val="sr-Latn-CS"/>
        </w:rPr>
        <w:t>Kvalitet vode. Podaci Instituta za javno zdravlje o kvalitetu vode za piće pokazuju da je zagađenje vode za piće uglavnom povezano sa bakterijskom, a ne hem</w:t>
      </w:r>
      <w:r w:rsidR="009C58FA">
        <w:rPr>
          <w:rFonts w:eastAsia="Calibri"/>
          <w:color w:val="000000"/>
          <w:lang w:val="sr-Latn-CS"/>
        </w:rPr>
        <w:t>ijskom kontaminacijom. Do većine</w:t>
      </w:r>
      <w:r w:rsidRPr="000452C7">
        <w:rPr>
          <w:rFonts w:eastAsia="Calibri"/>
          <w:color w:val="000000"/>
          <w:lang w:val="sr-Latn-CS"/>
        </w:rPr>
        <w:t xml:space="preserve"> ove bakterijske (fekalne) kontaminacije dolazi u sistemima za snabdevanje vodom u malim gradovima i ruralnim područjima gde se smatra da je veliki deo bunara i izvora kontaminiran, iako ne postoje čvrsti brojevi. Takođe postoji nedostatak operativnih postrojenja za prečišćavanje otpadnih voda na Kosovu</w:t>
      </w:r>
      <w:r w:rsidR="00F3731A" w:rsidRPr="003B3244">
        <w:rPr>
          <w:rFonts w:eastAsia="Calibri"/>
          <w:vertAlign w:val="superscript"/>
          <w:lang w:val="sr-Latn-CS"/>
        </w:rPr>
        <w:footnoteReference w:id="17"/>
      </w:r>
      <w:r w:rsidR="00F3731A" w:rsidRPr="003B3244">
        <w:rPr>
          <w:rFonts w:eastAsia="Calibri"/>
          <w:color w:val="000000"/>
          <w:lang w:val="sr-Latn-CS"/>
        </w:rPr>
        <w:t xml:space="preserve">. </w:t>
      </w:r>
    </w:p>
    <w:p w:rsidR="00F3731A" w:rsidRPr="003B3244" w:rsidRDefault="00F3731A" w:rsidP="00F3731A">
      <w:pPr>
        <w:jc w:val="both"/>
        <w:rPr>
          <w:rFonts w:ascii="Times New Roman" w:eastAsia="Calibri" w:hAnsi="Times New Roman" w:cs="Times New Roman"/>
          <w:color w:val="000000"/>
          <w:lang w:val="sr-Latn-CS"/>
        </w:rPr>
      </w:pPr>
    </w:p>
    <w:p w:rsidR="00F3731A" w:rsidRPr="003B3244" w:rsidRDefault="00E92CC1" w:rsidP="001C4673">
      <w:pPr>
        <w:pStyle w:val="ListParagraph"/>
        <w:numPr>
          <w:ilvl w:val="0"/>
          <w:numId w:val="12"/>
        </w:numPr>
        <w:jc w:val="both"/>
        <w:rPr>
          <w:rFonts w:eastAsia="Calibri"/>
          <w:color w:val="000000"/>
          <w:lang w:val="sr-Latn-CS"/>
        </w:rPr>
      </w:pPr>
      <w:r w:rsidRPr="00E92CC1">
        <w:rPr>
          <w:rFonts w:eastAsia="Calibri"/>
          <w:color w:val="000000"/>
          <w:lang w:val="sr-Latn-CS"/>
        </w:rPr>
        <w:t>Neobrađeni opasni i komunalni otpad. Istorijski i tekući industrijski otpad je ostao - u dugim vremenskim periodima - na proizvodnim lokacijama, skladišnim površinama i industrijskim žarištima. Pored rudarskih i industrijskih aktivnosti koje generišu oko 1,3 miliona tona godišnje otpada (komercijalnog, opasnog i bez opasnosti), godišnje se generiše 382.000 tona komunalnog čvrstog otpada. Trenutno, na Kosovu postoji skoro potpuno nepostojanje odgovarajućeg upravljanja svim vr</w:t>
      </w:r>
      <w:r w:rsidR="00F417EB">
        <w:rPr>
          <w:rFonts w:eastAsia="Calibri"/>
          <w:color w:val="000000"/>
          <w:lang w:val="sr-Latn-CS"/>
        </w:rPr>
        <w:t>stama otpada - domaćim, industrijskim</w:t>
      </w:r>
      <w:r w:rsidRPr="00E92CC1">
        <w:rPr>
          <w:rFonts w:eastAsia="Calibri"/>
          <w:color w:val="000000"/>
          <w:lang w:val="sr-Latn-CS"/>
        </w:rPr>
        <w:t xml:space="preserve">, </w:t>
      </w:r>
      <w:r>
        <w:rPr>
          <w:rFonts w:eastAsia="Calibri"/>
          <w:color w:val="000000"/>
          <w:lang w:val="sr-Latn-CS"/>
        </w:rPr>
        <w:t>m</w:t>
      </w:r>
      <w:r w:rsidR="00F417EB">
        <w:rPr>
          <w:rFonts w:eastAsia="Calibri"/>
          <w:color w:val="000000"/>
          <w:lang w:val="sr-Latn-CS"/>
        </w:rPr>
        <w:t>edicinskim i opasnim otpadom</w:t>
      </w:r>
      <w:r w:rsidRPr="00E92CC1">
        <w:rPr>
          <w:rFonts w:eastAsia="Calibri"/>
          <w:color w:val="000000"/>
          <w:lang w:val="sr-Latn-CS"/>
        </w:rPr>
        <w:t xml:space="preserve"> - kao i </w:t>
      </w:r>
      <w:r w:rsidR="00F417EB">
        <w:rPr>
          <w:rFonts w:eastAsia="Calibri"/>
          <w:color w:val="000000"/>
          <w:lang w:val="sr-Latn-CS"/>
        </w:rPr>
        <w:t>preostalim otpadom</w:t>
      </w:r>
      <w:r w:rsidRPr="00E92CC1">
        <w:rPr>
          <w:rFonts w:eastAsia="Calibri"/>
          <w:color w:val="000000"/>
          <w:lang w:val="sr-Latn-CS"/>
        </w:rPr>
        <w:t xml:space="preserve"> od istorijskog zagađenja. Sadašnja praksa upravljanja otpadom, ako se ne promeni, dovešće do visokog nivoa zagađenja podzemnih voda i vazduha (na primer, putem metana ili deponijskog gasa), ali i dioksina i sitnih čestica koji nastaju prilikom spaljivanja otpada</w:t>
      </w:r>
      <w:r w:rsidR="00F3731A" w:rsidRPr="003B3244">
        <w:rPr>
          <w:rFonts w:eastAsia="Calibri"/>
          <w:color w:val="000000"/>
          <w:lang w:val="sr-Latn-CS"/>
        </w:rPr>
        <w:t xml:space="preserve">. </w:t>
      </w:r>
    </w:p>
    <w:p w:rsidR="00F3731A" w:rsidRPr="003B3244" w:rsidRDefault="00F3731A" w:rsidP="00F3731A">
      <w:pPr>
        <w:jc w:val="both"/>
        <w:rPr>
          <w:rFonts w:ascii="Times New Roman" w:eastAsia="Calibri" w:hAnsi="Times New Roman" w:cs="Times New Roman"/>
          <w:color w:val="000000"/>
          <w:lang w:val="sr-Latn-CS"/>
        </w:rPr>
      </w:pPr>
    </w:p>
    <w:p w:rsidR="00F3731A" w:rsidRPr="003B3244" w:rsidRDefault="005A539A" w:rsidP="001C4673">
      <w:pPr>
        <w:pStyle w:val="ListParagraph"/>
        <w:numPr>
          <w:ilvl w:val="0"/>
          <w:numId w:val="12"/>
        </w:numPr>
        <w:jc w:val="both"/>
        <w:rPr>
          <w:rFonts w:eastAsia="Calibri"/>
          <w:color w:val="000000"/>
          <w:lang w:val="sr-Latn-CS"/>
        </w:rPr>
      </w:pPr>
      <w:r w:rsidRPr="005A539A">
        <w:rPr>
          <w:rFonts w:eastAsia="Calibri"/>
          <w:color w:val="000000"/>
          <w:lang w:val="sr-Latn-CS"/>
        </w:rPr>
        <w:t xml:space="preserve">Šumski resursi su pod pritiskom od 1990. godine sa većinom nelegalno posečenih stabala  za drva za ogrev i pojave obimne seče drva za obnovu kuća nakon rata. Pored toga, prevazilaženje nedostatka finansijskih sredstava za adekvatan tretman serokulture, naročito za proređivanje u </w:t>
      </w:r>
      <w:r w:rsidR="00AF0B1D">
        <w:rPr>
          <w:rFonts w:eastAsia="Calibri"/>
          <w:color w:val="000000"/>
          <w:lang w:val="sr-Latn-CS"/>
        </w:rPr>
        <w:t>ranoj</w:t>
      </w:r>
      <w:r w:rsidRPr="005A539A">
        <w:rPr>
          <w:rFonts w:eastAsia="Calibri"/>
          <w:color w:val="000000"/>
          <w:lang w:val="sr-Latn-CS"/>
        </w:rPr>
        <w:t xml:space="preserve"> fazi razvoja šume, </w:t>
      </w:r>
      <w:r w:rsidR="008C5E26" w:rsidRPr="005A539A">
        <w:rPr>
          <w:rFonts w:eastAsia="Calibri"/>
          <w:color w:val="000000"/>
          <w:lang w:val="sr-Latn-CS"/>
        </w:rPr>
        <w:t xml:space="preserve">je </w:t>
      </w:r>
      <w:r w:rsidRPr="005A539A">
        <w:rPr>
          <w:rFonts w:eastAsia="Calibri"/>
          <w:color w:val="000000"/>
          <w:lang w:val="sr-Latn-CS"/>
        </w:rPr>
        <w:t xml:space="preserve">neophodno </w:t>
      </w:r>
      <w:r w:rsidR="008C5E26">
        <w:rPr>
          <w:rFonts w:eastAsia="Calibri"/>
          <w:color w:val="000000"/>
          <w:lang w:val="sr-Latn-CS"/>
        </w:rPr>
        <w:t>kako bi se šume vratile</w:t>
      </w:r>
      <w:r w:rsidRPr="005A539A">
        <w:rPr>
          <w:rFonts w:eastAsia="Calibri"/>
          <w:color w:val="000000"/>
          <w:lang w:val="sr-Latn-CS"/>
        </w:rPr>
        <w:t xml:space="preserve"> u željeno upravljanje i rast</w:t>
      </w:r>
      <w:r w:rsidR="00F3731A" w:rsidRPr="003B3244">
        <w:rPr>
          <w:rFonts w:eastAsia="Calibri"/>
          <w:vertAlign w:val="superscript"/>
          <w:lang w:val="sr-Latn-CS"/>
        </w:rPr>
        <w:footnoteReference w:id="18"/>
      </w:r>
      <w:r w:rsidR="00F3731A" w:rsidRPr="003B3244">
        <w:rPr>
          <w:rFonts w:eastAsia="Calibri"/>
          <w:color w:val="000000"/>
          <w:lang w:val="sr-Latn-CS"/>
        </w:rPr>
        <w:t xml:space="preserve">. </w:t>
      </w:r>
    </w:p>
    <w:p w:rsidR="00F3731A" w:rsidRPr="003B3244" w:rsidRDefault="00F3731A" w:rsidP="00F3731A">
      <w:pPr>
        <w:tabs>
          <w:tab w:val="left" w:pos="3247"/>
        </w:tabs>
        <w:rPr>
          <w:rFonts w:ascii="Times New Roman" w:eastAsia="Trebuchet MS" w:hAnsi="Times New Roman" w:cs="Trebuchet MS"/>
          <w:b/>
          <w:sz w:val="28"/>
          <w:szCs w:val="32"/>
          <w:lang w:val="sr-Latn-CS"/>
        </w:rPr>
      </w:pPr>
    </w:p>
    <w:p w:rsidR="00F3731A" w:rsidRPr="003B3244" w:rsidRDefault="00F3731A" w:rsidP="00F3731A">
      <w:pPr>
        <w:tabs>
          <w:tab w:val="left" w:pos="3247"/>
        </w:tabs>
        <w:rPr>
          <w:rFonts w:ascii="Times New Roman" w:eastAsia="Trebuchet MS" w:hAnsi="Times New Roman" w:cs="Trebuchet MS"/>
          <w:b/>
          <w:sz w:val="28"/>
          <w:szCs w:val="32"/>
          <w:lang w:val="sr-Latn-CS"/>
        </w:rPr>
      </w:pPr>
    </w:p>
    <w:p w:rsidR="00F3731A" w:rsidRDefault="00F3731A" w:rsidP="00F3731A">
      <w:pPr>
        <w:pStyle w:val="Heading1"/>
        <w:rPr>
          <w:lang w:val="sr-Latn-CS"/>
        </w:rPr>
      </w:pPr>
    </w:p>
    <w:p w:rsidR="00175B16" w:rsidRDefault="00175B16" w:rsidP="00F3731A">
      <w:pPr>
        <w:pStyle w:val="Heading1"/>
        <w:rPr>
          <w:lang w:val="sr-Latn-CS"/>
        </w:rPr>
      </w:pPr>
    </w:p>
    <w:p w:rsidR="00175B16" w:rsidRPr="003B3244" w:rsidRDefault="00175B16" w:rsidP="00F3731A">
      <w:pPr>
        <w:pStyle w:val="Heading1"/>
        <w:rPr>
          <w:lang w:val="sr-Latn-CS"/>
        </w:rPr>
      </w:pPr>
    </w:p>
    <w:p w:rsidR="00F3731A" w:rsidRPr="003B3244" w:rsidRDefault="005A539A" w:rsidP="00F3731A">
      <w:pPr>
        <w:pStyle w:val="Heading1"/>
        <w:rPr>
          <w:lang w:val="sr-Latn-CS"/>
        </w:rPr>
      </w:pPr>
      <w:bookmarkStart w:id="7" w:name="_TOC_250026"/>
      <w:bookmarkStart w:id="8" w:name="_Toc531255609"/>
      <w:bookmarkEnd w:id="7"/>
      <w:r>
        <w:rPr>
          <w:lang w:val="sr-Latn-CS"/>
        </w:rPr>
        <w:t>Ciljevi i komponente projekta</w:t>
      </w:r>
      <w:bookmarkEnd w:id="8"/>
    </w:p>
    <w:p w:rsidR="00F3731A" w:rsidRPr="003B3244" w:rsidRDefault="00F3731A" w:rsidP="00F3731A">
      <w:pPr>
        <w:pStyle w:val="Heading2"/>
        <w:ind w:left="840"/>
        <w:rPr>
          <w:rFonts w:eastAsia="Calibri"/>
          <w:lang w:val="sr-Latn-CS"/>
        </w:rPr>
      </w:pPr>
      <w:bookmarkStart w:id="9" w:name="_Toc528270773"/>
    </w:p>
    <w:p w:rsidR="00F3731A" w:rsidRPr="003B3244" w:rsidRDefault="005A539A" w:rsidP="00F3731A">
      <w:pPr>
        <w:pStyle w:val="Heading2"/>
        <w:rPr>
          <w:rFonts w:eastAsia="Calibri"/>
          <w:lang w:val="sr-Latn-CS"/>
        </w:rPr>
      </w:pPr>
      <w:bookmarkStart w:id="10" w:name="_Toc531255610"/>
      <w:bookmarkEnd w:id="9"/>
      <w:r>
        <w:rPr>
          <w:rFonts w:eastAsia="Calibri"/>
          <w:lang w:val="sr-Latn-CS"/>
        </w:rPr>
        <w:t>Razvojni cilj projekta</w:t>
      </w:r>
      <w:bookmarkEnd w:id="10"/>
    </w:p>
    <w:p w:rsidR="00F3731A" w:rsidRPr="003B3244" w:rsidRDefault="00F3731A" w:rsidP="00F3731A">
      <w:pPr>
        <w:pStyle w:val="Heading2"/>
        <w:ind w:left="840"/>
        <w:rPr>
          <w:rFonts w:eastAsia="Calibri"/>
          <w:lang w:val="sr-Latn-CS"/>
        </w:rPr>
      </w:pPr>
    </w:p>
    <w:p w:rsidR="00F3731A" w:rsidRPr="003B3244" w:rsidRDefault="005A539A" w:rsidP="00F3731A">
      <w:pPr>
        <w:adjustRightInd w:val="0"/>
        <w:ind w:left="720"/>
        <w:contextualSpacing/>
        <w:rPr>
          <w:rFonts w:ascii="Times New Roman" w:eastAsia="Arial" w:hAnsi="Times New Roman" w:cs="Arial"/>
          <w:lang w:val="sr-Latn-CS"/>
        </w:rPr>
      </w:pPr>
      <w:r w:rsidRPr="005A539A">
        <w:rPr>
          <w:rFonts w:ascii="Times New Roman" w:eastAsia="Arial" w:hAnsi="Times New Roman" w:cs="Arial"/>
          <w:lang w:val="sr-Latn-CS"/>
        </w:rPr>
        <w:t>Razvojni cilj projekta je poboljšanje socio-ekonomske inkluzije najmanje 3.000 ugroženih mladih (15-29 godina) iz ugroženih zajednica na Kosovu kroz aktivnosti građanskog angažmana</w:t>
      </w:r>
      <w:r w:rsidR="00F3731A" w:rsidRPr="003B3244">
        <w:rPr>
          <w:rFonts w:ascii="Times New Roman" w:eastAsia="Arial" w:hAnsi="Times New Roman" w:cs="Arial"/>
          <w:lang w:val="sr-Latn-CS"/>
        </w:rPr>
        <w:t xml:space="preserve">. </w:t>
      </w:r>
    </w:p>
    <w:p w:rsidR="00F3731A" w:rsidRPr="003B3244" w:rsidRDefault="00F3731A" w:rsidP="00F3731A">
      <w:pPr>
        <w:pStyle w:val="BodyText"/>
        <w:spacing w:before="4"/>
        <w:rPr>
          <w:rFonts w:eastAsia="Calibri" w:cs="Times New Roman"/>
          <w:color w:val="000000"/>
          <w:lang w:val="sr-Latn-CS"/>
        </w:rPr>
      </w:pPr>
    </w:p>
    <w:p w:rsidR="00F3731A" w:rsidRPr="003B3244" w:rsidRDefault="005A539A" w:rsidP="00F3731A">
      <w:pPr>
        <w:pStyle w:val="Heading2"/>
        <w:rPr>
          <w:rFonts w:eastAsia="Calibri"/>
          <w:lang w:val="sr-Latn-CS"/>
        </w:rPr>
      </w:pPr>
      <w:bookmarkStart w:id="11" w:name="_Toc531255611"/>
      <w:r>
        <w:rPr>
          <w:rFonts w:eastAsia="Calibri"/>
          <w:lang w:val="sr-Latn-CS"/>
        </w:rPr>
        <w:t>Komponente projekta</w:t>
      </w:r>
      <w:bookmarkEnd w:id="11"/>
    </w:p>
    <w:p w:rsidR="00F3731A" w:rsidRPr="003B3244" w:rsidRDefault="00F3731A" w:rsidP="00F3731A">
      <w:pPr>
        <w:pStyle w:val="BodyText"/>
        <w:ind w:left="720"/>
        <w:rPr>
          <w:lang w:val="sr-Latn-CS"/>
        </w:rPr>
      </w:pPr>
    </w:p>
    <w:p w:rsidR="00F3731A" w:rsidRPr="003B3244" w:rsidRDefault="00506444" w:rsidP="00F3731A">
      <w:pPr>
        <w:pStyle w:val="BodyText"/>
        <w:ind w:left="720"/>
        <w:rPr>
          <w:lang w:val="sr-Latn-CS"/>
        </w:rPr>
      </w:pPr>
      <w:r w:rsidRPr="00506444">
        <w:rPr>
          <w:lang w:val="sr-Latn-CS"/>
        </w:rPr>
        <w:t xml:space="preserve">Predloženi projekat dopunjuje planiranu </w:t>
      </w:r>
      <w:r w:rsidR="008C5E26">
        <w:rPr>
          <w:lang w:val="sr-Latn-CS"/>
        </w:rPr>
        <w:t>omladinsku operaciju na Kosovu „</w:t>
      </w:r>
      <w:r w:rsidRPr="00506444">
        <w:rPr>
          <w:lang w:val="sr-Latn-CS"/>
        </w:rPr>
        <w:t>Inkluzija mladih i preduzetništvo</w:t>
      </w:r>
      <w:r w:rsidR="008C5E26">
        <w:rPr>
          <w:lang w:val="sr-Latn-CS"/>
        </w:rPr>
        <w:t>“</w:t>
      </w:r>
      <w:r w:rsidRPr="00506444">
        <w:rPr>
          <w:lang w:val="sr-Latn-CS"/>
        </w:rPr>
        <w:t xml:space="preserve"> (</w:t>
      </w:r>
      <w:r w:rsidR="00340E58">
        <w:rPr>
          <w:lang w:val="sr-Latn-CS"/>
        </w:rPr>
        <w:t>PUMP</w:t>
      </w:r>
      <w:r w:rsidRPr="00506444">
        <w:rPr>
          <w:lang w:val="sr-Latn-CS"/>
        </w:rPr>
        <w:t xml:space="preserve">) koja je usredsređena na povećanje socio-ekonomskih mogućnosti za neaktivnu omladinu kroz bolji pristup građanskom učešću, izgradnji veština i održivim preduzetničkim uslugama (videti Okvir za partnerstvo sa Kosovom / KCPF FY17-21). </w:t>
      </w:r>
      <w:r w:rsidR="00340E58">
        <w:rPr>
          <w:lang w:val="sr-Latn-CS"/>
        </w:rPr>
        <w:t>PUMP</w:t>
      </w:r>
      <w:r w:rsidRPr="00506444">
        <w:rPr>
          <w:lang w:val="sr-Latn-CS"/>
        </w:rPr>
        <w:t xml:space="preserve"> (10,4 miliona dolara) obezbeđuje reš</w:t>
      </w:r>
      <w:r w:rsidR="00D40759">
        <w:rPr>
          <w:lang w:val="sr-Latn-CS"/>
        </w:rPr>
        <w:t>enja na strani ponude namenjena</w:t>
      </w:r>
      <w:r w:rsidRPr="00506444">
        <w:rPr>
          <w:lang w:val="sr-Latn-CS"/>
        </w:rPr>
        <w:t xml:space="preserve"> podršci socio-ekonomskoj inkluziji mladih u ekonomiji sa ograničenim otvaranjem novih radnih mesta, posebno za ugrožene mlade ljude. Predloženi </w:t>
      </w:r>
      <w:r w:rsidR="00373965">
        <w:rPr>
          <w:lang w:val="sr-Latn-CS"/>
        </w:rPr>
        <w:t>JSRF</w:t>
      </w:r>
      <w:r w:rsidRPr="00506444">
        <w:rPr>
          <w:lang w:val="sr-Latn-CS"/>
        </w:rPr>
        <w:t xml:space="preserve"> će dopuniti napore za uključivanje u </w:t>
      </w:r>
      <w:r w:rsidR="00340E58">
        <w:rPr>
          <w:lang w:val="sr-Latn-CS"/>
        </w:rPr>
        <w:t>PUMP</w:t>
      </w:r>
      <w:r w:rsidRPr="00506444">
        <w:rPr>
          <w:lang w:val="sr-Latn-CS"/>
        </w:rPr>
        <w:t xml:space="preserve"> uvođenjem rešenja na strani potražnje koja imaju za cilj rešavanje socio-ekonomskih potreba mladih na nivou zajednice. Omladina aktivirana kroz predloženi grant </w:t>
      </w:r>
      <w:r w:rsidR="00373965">
        <w:rPr>
          <w:lang w:val="sr-Latn-CS"/>
        </w:rPr>
        <w:t>JSRF</w:t>
      </w:r>
      <w:r w:rsidRPr="00506444">
        <w:rPr>
          <w:lang w:val="sr-Latn-CS"/>
        </w:rPr>
        <w:t xml:space="preserve"> će biti usmerena na dodatne socio-ekonomske i preduzetničke mogućnosti koje nudi YEIP kako bi se povećale njihove šanse u smislu ekonomske integracije. </w:t>
      </w:r>
      <w:r w:rsidR="00340E58">
        <w:rPr>
          <w:lang w:val="sr-Latn-CS"/>
        </w:rPr>
        <w:t>PUMP</w:t>
      </w:r>
      <w:r w:rsidRPr="00506444">
        <w:rPr>
          <w:lang w:val="sr-Latn-CS"/>
        </w:rPr>
        <w:t xml:space="preserve"> će biti sproveden u istih 10 opština, usmeren na istu ugroženu populaciju mladih i biće sproveden u koordinaciji (tj. PiE sistem sa usklađenim pokazateljima). Predloženi projekat nije uključen u pripremu YEIP-a, jer predstavlja novu inicijativu koja će biti uvedena od strane Vlade Kosova (VK) pre nego što se sagleda u narednim intervencijama na osnovu rezultata projekta. VK je izrazila interes za racionalizacijom podrške za programiranje omladinskih projekata kroz postojeće sisteme vlasti. Konkretno, MA</w:t>
      </w:r>
      <w:r w:rsidR="0022433F">
        <w:rPr>
          <w:lang w:val="sr-Latn-CS"/>
        </w:rPr>
        <w:t>LS će proceniti rezultate pilot programa</w:t>
      </w:r>
      <w:r w:rsidRPr="00506444">
        <w:rPr>
          <w:lang w:val="sr-Latn-CS"/>
        </w:rPr>
        <w:t xml:space="preserve"> kako bi integrisao podršku omladinskim inicijativama kao deo svog budućeg sistema dodele podsticajnih grantova na osnovu učinka</w:t>
      </w:r>
      <w:r w:rsidR="00F3731A" w:rsidRPr="003B3244">
        <w:rPr>
          <w:lang w:val="sr-Latn-CS"/>
        </w:rPr>
        <w:t xml:space="preserve">. </w:t>
      </w:r>
    </w:p>
    <w:p w:rsidR="00F3731A" w:rsidRPr="003B3244" w:rsidRDefault="00F3731A" w:rsidP="00F3731A">
      <w:pPr>
        <w:pStyle w:val="BodyText"/>
        <w:ind w:left="720"/>
        <w:rPr>
          <w:lang w:val="sr-Latn-CS"/>
        </w:rPr>
      </w:pPr>
    </w:p>
    <w:p w:rsidR="00F3731A" w:rsidRPr="003B3244" w:rsidRDefault="00506444" w:rsidP="00F3731A">
      <w:pPr>
        <w:pStyle w:val="Heading3"/>
        <w:rPr>
          <w:lang w:val="sr-Latn-CS"/>
        </w:rPr>
      </w:pPr>
      <w:bookmarkStart w:id="12" w:name="_Toc528270775"/>
      <w:bookmarkStart w:id="13" w:name="_Toc531255612"/>
      <w:r>
        <w:rPr>
          <w:rStyle w:val="Heading3Char"/>
          <w:b/>
          <w:lang w:val="sr-Latn-CS"/>
        </w:rPr>
        <w:t>Komponenta</w:t>
      </w:r>
      <w:r w:rsidR="00F3731A" w:rsidRPr="003B3244">
        <w:rPr>
          <w:rStyle w:val="Heading3Char"/>
          <w:b/>
          <w:lang w:val="sr-Latn-CS"/>
        </w:rPr>
        <w:t xml:space="preserve"> 1: </w:t>
      </w:r>
      <w:r w:rsidR="00F76423">
        <w:rPr>
          <w:rStyle w:val="Heading3Char"/>
          <w:b/>
          <w:lang w:val="sr-Latn-CS"/>
        </w:rPr>
        <w:t xml:space="preserve">Inicijative za razvoj zajednice </w:t>
      </w:r>
      <w:r w:rsidR="0022433F">
        <w:rPr>
          <w:rStyle w:val="Heading3Char"/>
          <w:b/>
          <w:lang w:val="sr-Latn-CS"/>
        </w:rPr>
        <w:t>sa fokusom na mlade</w:t>
      </w:r>
      <w:r w:rsidR="00F3731A" w:rsidRPr="003B3244">
        <w:rPr>
          <w:rStyle w:val="Heading3Char"/>
          <w:b/>
          <w:lang w:val="sr-Latn-CS"/>
        </w:rPr>
        <w:t xml:space="preserve"> (1,719,000</w:t>
      </w:r>
      <w:r w:rsidR="00F76423" w:rsidRPr="00F76423">
        <w:rPr>
          <w:rStyle w:val="Heading3Char"/>
          <w:b/>
          <w:lang w:val="sr-Latn-CS"/>
        </w:rPr>
        <w:t xml:space="preserve"> </w:t>
      </w:r>
      <w:r w:rsidR="00F76423" w:rsidRPr="003B3244">
        <w:rPr>
          <w:rStyle w:val="Heading3Char"/>
          <w:b/>
          <w:lang w:val="sr-Latn-CS"/>
        </w:rPr>
        <w:t>US$</w:t>
      </w:r>
      <w:r w:rsidR="00F3731A" w:rsidRPr="003B3244">
        <w:rPr>
          <w:lang w:val="sr-Latn-CS"/>
        </w:rPr>
        <w:t>)</w:t>
      </w:r>
      <w:bookmarkEnd w:id="12"/>
      <w:bookmarkEnd w:id="13"/>
    </w:p>
    <w:p w:rsidR="00F3731A" w:rsidRPr="003B3244" w:rsidRDefault="00F3731A" w:rsidP="00F3731A">
      <w:pPr>
        <w:pStyle w:val="BodyText"/>
        <w:ind w:left="720"/>
        <w:rPr>
          <w:b/>
          <w:lang w:val="sr-Latn-CS"/>
        </w:rPr>
      </w:pPr>
    </w:p>
    <w:p w:rsidR="00F3731A" w:rsidRPr="003B3244" w:rsidRDefault="00732172" w:rsidP="00F3731A">
      <w:pPr>
        <w:pStyle w:val="BodyText"/>
        <w:ind w:left="720"/>
        <w:rPr>
          <w:lang w:val="sr-Latn-CS"/>
        </w:rPr>
      </w:pPr>
      <w:r w:rsidRPr="00732172">
        <w:rPr>
          <w:lang w:val="sr-Latn-CS"/>
        </w:rPr>
        <w:t>Ova komponenta će finansirati socio-ekonomske inicijative usmerene na mlade na nivou zajednice koje podržavaju inkluziju mladih i životna sredstva. Ministarstvo a</w:t>
      </w:r>
      <w:r>
        <w:rPr>
          <w:lang w:val="sr-Latn-CS"/>
        </w:rPr>
        <w:t>dministracije lokalne samouprav</w:t>
      </w:r>
      <w:r w:rsidRPr="00732172">
        <w:rPr>
          <w:lang w:val="sr-Latn-CS"/>
        </w:rPr>
        <w:t>e</w:t>
      </w:r>
      <w:r>
        <w:rPr>
          <w:lang w:val="sr-Latn-CS"/>
        </w:rPr>
        <w:t xml:space="preserve"> </w:t>
      </w:r>
      <w:r w:rsidRPr="00732172">
        <w:rPr>
          <w:lang w:val="sr-Latn-CS"/>
        </w:rPr>
        <w:t xml:space="preserve">(MALS) dodeliće podsticajne grantove odabranim opštinama namenjene omladinskim inicijativama, u okviru godišnjeg ciklusa dodele grantova. Očekuje se da ova komponenta finansira 150 inicijativa usmerenih na mlade, angažujući najmanje 3.000 mladih u nepovoljnom položaju u identifikaciji, određivanju prioriteta i osmišljavanju </w:t>
      </w:r>
      <w:r w:rsidR="002F73D8">
        <w:rPr>
          <w:lang w:val="sr-Latn-CS"/>
        </w:rPr>
        <w:t>pot</w:t>
      </w:r>
      <w:r>
        <w:rPr>
          <w:lang w:val="sr-Latn-CS"/>
        </w:rPr>
        <w:t>projekata. Omladina koja uč</w:t>
      </w:r>
      <w:r w:rsidRPr="00732172">
        <w:rPr>
          <w:lang w:val="sr-Latn-CS"/>
        </w:rPr>
        <w:t>estvuje će imati koristi od volonterski</w:t>
      </w:r>
      <w:r>
        <w:rPr>
          <w:lang w:val="sr-Latn-CS"/>
        </w:rPr>
        <w:t>h mogućnosti u smislu pozitivnog</w:t>
      </w:r>
      <w:r w:rsidRPr="00732172">
        <w:rPr>
          <w:lang w:val="sr-Latn-CS"/>
        </w:rPr>
        <w:t xml:space="preserve"> uticaja na svoje zajednice i druge ugrož</w:t>
      </w:r>
      <w:r w:rsidR="00A65679">
        <w:rPr>
          <w:lang w:val="sr-Latn-CS"/>
        </w:rPr>
        <w:t>ene mlade, dok istovremeno stiče</w:t>
      </w:r>
      <w:r w:rsidRPr="00732172">
        <w:rPr>
          <w:lang w:val="sr-Latn-CS"/>
        </w:rPr>
        <w:t xml:space="preserve"> vredno radno iskustvo i veštine, što čini mlade ljude atraktivnijim za potencijalne poslodavce. Od omladinskih inicijativa usmerenih na mlade </w:t>
      </w:r>
      <w:r w:rsidR="00A65679" w:rsidRPr="00732172">
        <w:rPr>
          <w:lang w:val="sr-Latn-CS"/>
        </w:rPr>
        <w:t xml:space="preserve">koristi </w:t>
      </w:r>
      <w:r w:rsidRPr="00732172">
        <w:rPr>
          <w:lang w:val="sr-Latn-CS"/>
        </w:rPr>
        <w:t xml:space="preserve">će imati oko 5.000 mladih </w:t>
      </w:r>
      <w:r w:rsidR="00A65679">
        <w:rPr>
          <w:lang w:val="sr-Latn-CS"/>
        </w:rPr>
        <w:t xml:space="preserve">i to </w:t>
      </w:r>
      <w:r w:rsidRPr="00732172">
        <w:rPr>
          <w:lang w:val="sr-Latn-CS"/>
        </w:rPr>
        <w:t>kroz veći pristup uslugama vezanim za omladinu i infrastrukturu u zajednici</w:t>
      </w:r>
      <w:r w:rsidR="00F3731A" w:rsidRPr="003B3244">
        <w:rPr>
          <w:lang w:val="sr-Latn-CS"/>
        </w:rPr>
        <w:t>.</w:t>
      </w:r>
    </w:p>
    <w:p w:rsidR="00F3731A" w:rsidRPr="003B3244" w:rsidRDefault="00DE5F4A" w:rsidP="00F3731A">
      <w:pPr>
        <w:pStyle w:val="BodyText"/>
        <w:ind w:left="720"/>
        <w:rPr>
          <w:lang w:val="sr-Latn-CS"/>
        </w:rPr>
      </w:pPr>
      <w:r w:rsidRPr="00DE5F4A">
        <w:rPr>
          <w:lang w:val="sr-Latn-CS"/>
        </w:rPr>
        <w:t xml:space="preserve">Partnerstvo sa opštinama. MALS će odabrati 10 opština procenom na osnovu preliminarnih potreba i procene mapiranja, što uključuje: (i) veliku potražnju i ograničenu ponudu usluga omladinske infrastrukture, (ii) visoku koncentraciju neaktivnih mladih, (iii) ograničenu prisutnost međunarodnih donatora, i (iv) veliko relativno prisustvo manjinskih etničkih zajednica (srpske, aškalijske, bošnjačke, romske, turske, egipćanske, goranske i crnogorske). Aktivnosti sa fokusom na omladinu će </w:t>
      </w:r>
      <w:r w:rsidR="003D1682">
        <w:rPr>
          <w:lang w:val="sr-Latn-CS"/>
        </w:rPr>
        <w:t xml:space="preserve">se </w:t>
      </w:r>
      <w:r w:rsidRPr="00DE5F4A">
        <w:rPr>
          <w:lang w:val="sr-Latn-CS"/>
        </w:rPr>
        <w:t>sprovoditi u ugroženim zajednicama, uključujući one sa višim nivoima neaktivnosti kod mladih, stopom siromaštva i ograničenim pristupom uslugama vezanim za omladinu</w:t>
      </w:r>
      <w:r w:rsidR="00F3731A" w:rsidRPr="003B3244">
        <w:rPr>
          <w:lang w:val="sr-Latn-CS"/>
        </w:rPr>
        <w:t>.</w:t>
      </w:r>
    </w:p>
    <w:p w:rsidR="00425591" w:rsidRPr="00F52652" w:rsidRDefault="00425591" w:rsidP="00425591">
      <w:pPr>
        <w:widowControl w:val="0"/>
        <w:autoSpaceDE w:val="0"/>
        <w:autoSpaceDN w:val="0"/>
        <w:spacing w:after="0" w:line="240" w:lineRule="auto"/>
        <w:ind w:left="720"/>
        <w:jc w:val="both"/>
        <w:rPr>
          <w:rFonts w:ascii="Times New Roman" w:eastAsia="Arial" w:hAnsi="Times New Roman" w:cs="Arial"/>
          <w:lang w:val="sr-Latn-CS"/>
        </w:rPr>
      </w:pPr>
      <w:r w:rsidRPr="00425591">
        <w:rPr>
          <w:rFonts w:ascii="Times New Roman" w:eastAsia="Arial" w:hAnsi="Times New Roman" w:cs="Arial"/>
          <w:lang w:val="sr-Latn-CS"/>
        </w:rPr>
        <w:t>Odabrane opštine će biti predmet procene kapaciteta kako bi se osiguralo da imaju kapacitete za efikasno upravljanje dodeljenim podsticajnim grantovima. Ova procena će se zasnivati ​​na sistemu dodele podsticajnih grantova učinka MALS-a, koji ocenjuje učinak opštine na nivou finansijskih i upravljačkih pokazatelja</w:t>
      </w:r>
      <w:r w:rsidRPr="00425591">
        <w:rPr>
          <w:rFonts w:ascii="Times New Roman" w:eastAsia="Arial" w:hAnsi="Times New Roman" w:cs="Arial"/>
          <w:vertAlign w:val="superscript"/>
          <w:lang w:val="sr-Latn-CS"/>
        </w:rPr>
        <w:footnoteReference w:id="19"/>
      </w:r>
      <w:r w:rsidRPr="00425591">
        <w:rPr>
          <w:rFonts w:ascii="Times New Roman" w:eastAsia="Arial" w:hAnsi="Times New Roman" w:cs="Arial"/>
          <w:lang w:val="sr-Latn-CS"/>
        </w:rPr>
        <w:t xml:space="preserve">.  U skladu sa aktuelnim sprovođenjem sistema dodele podsticajnih grantova učinka MALS-a, Ministarstvo će dodeliti podsticajne grantove odabranim opštinama, ali će zadržati odgovornosti za finansijsko upravljanje. Da bi bile u prilici da učestvuju, opštine moraju da finansiraju 15 procenata od svog podsticajnog granta u partnerskom fondu. Pored toga, opštine će obavezati osoblje da olakša sprovođenje i nadzor nad potprojektima. Opštinski doprinosi će osigurati lokalnu odgovornost i održivost programa za mlade integrišući aktivnosti u </w:t>
      </w:r>
      <w:r w:rsidRPr="00425591">
        <w:rPr>
          <w:rFonts w:ascii="Times New Roman" w:eastAsia="Arial" w:hAnsi="Times New Roman" w:cs="Arial"/>
          <w:lang w:val="sr-Latn-CS"/>
        </w:rPr>
        <w:lastRenderedPageBreak/>
        <w:t>lokalne planove razvoja i izgradnjom veće saradnje i poverenja između mladih i zainteresovanih strana iz opštine</w:t>
      </w:r>
      <w:r w:rsidRPr="00F52652">
        <w:rPr>
          <w:rFonts w:ascii="Times New Roman" w:eastAsia="Arial" w:hAnsi="Times New Roman" w:cs="Arial"/>
          <w:lang w:val="sr-Latn-CS"/>
        </w:rPr>
        <w:t>.</w:t>
      </w:r>
    </w:p>
    <w:p w:rsidR="00425591" w:rsidRPr="00F52652" w:rsidRDefault="00425591" w:rsidP="00425591">
      <w:pPr>
        <w:widowControl w:val="0"/>
        <w:autoSpaceDE w:val="0"/>
        <w:autoSpaceDN w:val="0"/>
        <w:spacing w:after="0" w:line="240" w:lineRule="auto"/>
        <w:ind w:left="720"/>
        <w:jc w:val="both"/>
        <w:rPr>
          <w:rFonts w:ascii="Times New Roman" w:eastAsia="Arial" w:hAnsi="Times New Roman" w:cs="Arial"/>
          <w:lang w:val="sr-Latn-CS"/>
        </w:rPr>
      </w:pPr>
    </w:p>
    <w:p w:rsidR="00F3731A" w:rsidRPr="003B3244" w:rsidRDefault="00425591" w:rsidP="00425591">
      <w:pPr>
        <w:pStyle w:val="BodyText"/>
        <w:ind w:left="720"/>
        <w:rPr>
          <w:lang w:val="sr-Latn-CS"/>
        </w:rPr>
      </w:pPr>
      <w:r w:rsidRPr="00425591">
        <w:rPr>
          <w:rFonts w:ascii="Calibri" w:eastAsia="Calibri" w:hAnsi="Calibri" w:cs="Times New Roman"/>
          <w:lang w:val="sr-Latn-CS"/>
        </w:rPr>
        <w:t>Kriterijum izbora. Predlozi potprojekata će biti pregledani na osnovu dogovorenih kriterijuma odabira, koji bi dodelili veću težinu potprojektu koji: (i) uključuje široko učešće mladih u identifikaciji i izradi potprojekta, (ii) koristi najveći broj mladih, (iii) uključuje mogućnosti za volonterizam mladih tokom faze sprovođenja potprojekta, (iv) usklađen je sa opštinskim planovima za mlade, i (v) povezuje mlade iz različitih etničkih zajednica, kako bi se ojačala interna - etnička saradnja i premošćavanje postojeće društvene podele</w:t>
      </w:r>
      <w:r w:rsidR="00BC0348">
        <w:rPr>
          <w:rStyle w:val="FootnoteReference"/>
          <w:rFonts w:ascii="Calibri" w:eastAsia="Calibri" w:hAnsi="Calibri" w:cs="Times New Roman"/>
          <w:lang w:val="sr-Latn-CS"/>
        </w:rPr>
        <w:footnoteReference w:id="20"/>
      </w:r>
      <w:r w:rsidRPr="00425591">
        <w:rPr>
          <w:rFonts w:ascii="Calibri" w:eastAsia="Calibri" w:hAnsi="Calibri" w:cs="Times New Roman"/>
          <w:lang w:val="sr-Latn-CS"/>
        </w:rPr>
        <w:t>. Da bi se osiguralo da potprojekat ima podršku zajednice, predlozi moraju biti podržani od strane najmanje jednog subjekta zajednice (okružna veća, verska udruženja, centri za mlade, itd.). Veličina podgranta ne može biti veća od 30,000 US $. Opštinski podgrantovi će biti isplaćeni omladinskim NVO-ovima i lokalnim organizacijama u nekoliko rata nakon rigoroznog sistema koji uključuje: (i) poziv za podnošenje predloga projekta, (ii) obuku u pisanju predloga za lokalne organizacije, (iii) skrining i tehničku procenu predloga, (iv) zaštitni skrining kako bi se osigurala potpuna usklađenost sa nacionalnim i zahtevima Svetske banke, (v) ocenjivanje projekata od strane Komisije za dodelu grantova, (vi) sporazum o podgrantu, uključujući primenu fiducijarnih pravila Svetske banke; i (vii) isplata podgranta i praćenje prihvatljivih troškova. Za novoformirane omladinske grupe, sredstvima bi mogao upravljati partnerski NVO u skladu sa idejnim potprojektom koji su razvili mladi i koji su odobreni od strane projekta</w:t>
      </w:r>
      <w:r w:rsidR="00F3731A" w:rsidRPr="003B3244">
        <w:rPr>
          <w:lang w:val="sr-Latn-CS"/>
        </w:rPr>
        <w:t>.</w:t>
      </w:r>
    </w:p>
    <w:p w:rsidR="00F3731A" w:rsidRPr="003B3244" w:rsidRDefault="00F3731A" w:rsidP="00F3731A">
      <w:pPr>
        <w:pStyle w:val="BodyText"/>
        <w:ind w:left="720"/>
        <w:rPr>
          <w:lang w:val="sr-Latn-CS"/>
        </w:rPr>
      </w:pPr>
    </w:p>
    <w:p w:rsidR="00F3731A" w:rsidRPr="003B3244" w:rsidRDefault="00DF687E" w:rsidP="00F3731A">
      <w:pPr>
        <w:pStyle w:val="Heading3"/>
        <w:rPr>
          <w:lang w:val="sr-Latn-CS"/>
        </w:rPr>
      </w:pPr>
      <w:bookmarkStart w:id="14" w:name="_Toc531255613"/>
      <w:r w:rsidRPr="00DF687E">
        <w:rPr>
          <w:lang w:val="sr-Latn-CS"/>
        </w:rPr>
        <w:t xml:space="preserve">Komponenta 2: Obuka mladih zainteresovanih strana </w:t>
      </w:r>
      <w:r w:rsidR="00F3731A" w:rsidRPr="003B3244">
        <w:rPr>
          <w:lang w:val="sr-Latn-CS"/>
        </w:rPr>
        <w:t>(777,000</w:t>
      </w:r>
      <w:r w:rsidRPr="00DF687E">
        <w:rPr>
          <w:lang w:val="sr-Latn-CS"/>
        </w:rPr>
        <w:t xml:space="preserve"> </w:t>
      </w:r>
      <w:r w:rsidRPr="003B3244">
        <w:rPr>
          <w:lang w:val="sr-Latn-CS"/>
        </w:rPr>
        <w:t>US$</w:t>
      </w:r>
      <w:r w:rsidR="00F3731A" w:rsidRPr="003B3244">
        <w:rPr>
          <w:lang w:val="sr-Latn-CS"/>
        </w:rPr>
        <w:t>)</w:t>
      </w:r>
      <w:bookmarkEnd w:id="14"/>
    </w:p>
    <w:p w:rsidR="00F3731A" w:rsidRPr="003B3244" w:rsidRDefault="00F3731A" w:rsidP="00F3731A">
      <w:pPr>
        <w:pStyle w:val="BodyText"/>
        <w:ind w:left="720"/>
        <w:rPr>
          <w:lang w:val="sr-Latn-CS"/>
        </w:rPr>
      </w:pPr>
    </w:p>
    <w:p w:rsidR="0017764D" w:rsidRPr="0017764D" w:rsidRDefault="0017764D" w:rsidP="0017764D">
      <w:pPr>
        <w:widowControl w:val="0"/>
        <w:autoSpaceDE w:val="0"/>
        <w:autoSpaceDN w:val="0"/>
        <w:spacing w:after="0" w:line="240" w:lineRule="auto"/>
        <w:ind w:left="720"/>
        <w:jc w:val="both"/>
        <w:rPr>
          <w:rFonts w:ascii="Times New Roman" w:eastAsia="Arial" w:hAnsi="Times New Roman" w:cs="Arial"/>
          <w:lang w:val="sr-Latn-CS"/>
        </w:rPr>
      </w:pPr>
      <w:r w:rsidRPr="0017764D">
        <w:rPr>
          <w:rFonts w:ascii="Times New Roman" w:eastAsia="Arial" w:hAnsi="Times New Roman" w:cs="Arial"/>
          <w:lang w:val="sr-Latn-CS"/>
        </w:rPr>
        <w:t>Ova komponenta će finansirati: (i) mobilizaciju zajednice i aktivnosti informisanja, (ii) obuku za meke veštine i obuku za pripremu/upravljanje projektom za mlade u ciljnim zajednicama, (iii) tehničku podršku omladinskim NVO-ovima i CBO-ovima koji su podneli zahteve. a koje je prethodno odabrala opština za finansiranje, i (iv) praćenje podrške i nadzora tokom sprovođenja potprojekta. MALS će konkurentno odabrati iskusnu NVO za sprovođenje aktivnosti u okviru ove komponente. Ova komponenta očekuje da direktne koristi ostvari 3.000 mladih kroz meke veštine i obuku za upravljanje projektima, a indirektno koristi 5.000 ugroženih mladih jačanjem tehničkih specifikacija potprojekta osmišljenih za poboljšanje pristupa socio-ekonomskih usluga mladima u nepovoljnom položaju.</w:t>
      </w:r>
    </w:p>
    <w:p w:rsidR="0017764D" w:rsidRPr="0017764D" w:rsidRDefault="0017764D" w:rsidP="0017764D">
      <w:pPr>
        <w:widowControl w:val="0"/>
        <w:autoSpaceDE w:val="0"/>
        <w:autoSpaceDN w:val="0"/>
        <w:spacing w:after="0" w:line="240" w:lineRule="auto"/>
        <w:ind w:left="720"/>
        <w:jc w:val="both"/>
        <w:rPr>
          <w:rFonts w:ascii="Times New Roman" w:eastAsia="Arial" w:hAnsi="Times New Roman" w:cs="Arial"/>
          <w:lang w:val="sr-Latn-CS"/>
        </w:rPr>
      </w:pPr>
      <w:r w:rsidRPr="0017764D">
        <w:rPr>
          <w:rFonts w:ascii="Times New Roman" w:eastAsia="Arial" w:hAnsi="Times New Roman" w:cs="Arial"/>
          <w:lang w:val="sr-Latn-CS"/>
        </w:rPr>
        <w:t xml:space="preserve">Mobilizacija zajednice: partnerski NVO će sprovoditi kampanje za dosezanje do zajednice radi povećanja svesti među ugroženim mladima, uključujući i omladinske NVO-ove i CBO-ove, o projektnim aktivnostima i ohrabriti ih da se prijave. Sprovođenje aktivnosti će obuhvatiti kampanje od vrata do vrata, sastanke sa ključnim akterima u zajednici (okružna veća, omladinske grupe, omladinske centre, lokalne NVO-ove i predstavnike verske zajednice) i distribucija flajera i plakata na strateškim lokacijama u ciljnim područjima (omladinski centri, kafići, kancelarije lokalnih vlasti ili druge lokacije na kojima se mladi okupljaju). Partnerski NVO će takođe pripremiti kratke profile zajednice koji će opisati potrebe mladih i postojeće infrastrukturne usluge za mlade kako bi informisali idejne potprojekte i podržali omladinske grupe u prioritizaciji ciljeva zajednice.   </w:t>
      </w:r>
    </w:p>
    <w:p w:rsidR="0017764D" w:rsidRPr="0017764D" w:rsidRDefault="0017764D" w:rsidP="0017764D">
      <w:pPr>
        <w:widowControl w:val="0"/>
        <w:autoSpaceDE w:val="0"/>
        <w:autoSpaceDN w:val="0"/>
        <w:spacing w:after="0" w:line="240" w:lineRule="auto"/>
        <w:ind w:left="720"/>
        <w:jc w:val="both"/>
        <w:rPr>
          <w:rFonts w:ascii="Times New Roman" w:eastAsia="Arial" w:hAnsi="Times New Roman" w:cs="Arial"/>
          <w:lang w:val="sr-Latn-CS"/>
        </w:rPr>
      </w:pPr>
    </w:p>
    <w:p w:rsidR="00F3731A" w:rsidRPr="003B3244" w:rsidRDefault="0017764D" w:rsidP="0017764D">
      <w:pPr>
        <w:pStyle w:val="BodyText"/>
        <w:ind w:left="720"/>
        <w:rPr>
          <w:lang w:val="sr-Latn-CS"/>
        </w:rPr>
      </w:pPr>
      <w:r w:rsidRPr="0017764D">
        <w:rPr>
          <w:rFonts w:ascii="Calibri" w:eastAsia="Calibri" w:hAnsi="Calibri" w:cs="Times New Roman"/>
          <w:lang w:val="sr-Latn-CS"/>
        </w:rPr>
        <w:t>Obuke o mekim veštinama i upravljanje projektima: partnerski NVO će pružiti obuku o mekim veštinama za 3.000 mladih u nepovoljnom položaju usredsređene na liderske veštine, kreativnost, posredovanje u sukobima, komunikaciju i timski rad. Ove obuke će povećati zapošljavanje mladih fokusiranjem na meke veštine dragocene za potencijalnog poslodavca i kritične za efikasno upravljanje poslovanjem, a takođe će olakšati saradnju u zajedničkom radu u zajednici. Obuka za meke veštine biće ulazna tačka za sve mlade zainteresovane za izradu potprojekata u okviru projekta. Nakon završetka obuke o mekim veštinama, mladi korisnici mogu formirati grupe ili koristiti postojeće NVO-ove za pripremu predloga potprojekata. Obuke će biti fokusirane na mobilizaciju zajednice, pripremu potprojekata (uključujući izradu, ciljanje korisnika, budžetiranje) i sprovođenje (nabavka, finansijsko upravljanje, participativno praćenje i evaluacija). Obuka će biti zasnovana na najsavremenijim planovima i programima o projektovanju i upravljanju projektima u zajednici, uključujući participativne pristupe i identifikovanje i izradu klimatskih pametnih projekata</w:t>
      </w:r>
      <w:r w:rsidRPr="0017764D">
        <w:rPr>
          <w:rFonts w:ascii="Calibri" w:eastAsia="Calibri" w:hAnsi="Calibri" w:cs="Times New Roman"/>
          <w:vertAlign w:val="superscript"/>
          <w:lang w:val="sr-Latn-CS"/>
        </w:rPr>
        <w:footnoteReference w:id="21"/>
      </w:r>
      <w:r w:rsidRPr="0017764D">
        <w:rPr>
          <w:rFonts w:ascii="Calibri" w:eastAsia="Calibri" w:hAnsi="Calibri" w:cs="Times New Roman"/>
          <w:lang w:val="sr-Latn-CS"/>
        </w:rPr>
        <w:t>.  Pored toga, potprojekti odabrani za finansiranje će dobiti stalnu podršku kako bi se osiguralo efikasno sprovođenje potprojekta</w:t>
      </w:r>
      <w:r w:rsidR="00F3731A" w:rsidRPr="003B3244">
        <w:rPr>
          <w:lang w:val="sr-Latn-CS"/>
        </w:rPr>
        <w:t>.</w:t>
      </w:r>
    </w:p>
    <w:p w:rsidR="00F3731A" w:rsidRPr="003B3244" w:rsidRDefault="00F3731A" w:rsidP="00F3731A">
      <w:pPr>
        <w:pStyle w:val="BodyText"/>
        <w:ind w:left="720"/>
        <w:rPr>
          <w:lang w:val="sr-Latn-CS"/>
        </w:rPr>
      </w:pPr>
    </w:p>
    <w:p w:rsidR="00F3731A" w:rsidRPr="003B3244" w:rsidRDefault="004B3B6E" w:rsidP="00F3731A">
      <w:pPr>
        <w:pStyle w:val="Heading3"/>
        <w:rPr>
          <w:lang w:val="sr-Latn-CS"/>
        </w:rPr>
      </w:pPr>
      <w:bookmarkStart w:id="15" w:name="_Toc531255614"/>
      <w:r w:rsidRPr="004B3B6E">
        <w:rPr>
          <w:lang w:val="sr-Latn-CS"/>
        </w:rPr>
        <w:t xml:space="preserve">Komponenta 3: Upravljanje projektom i administracija, praćenje i evaluacija i širenje znanja </w:t>
      </w:r>
      <w:r w:rsidR="00F3731A" w:rsidRPr="003B3244">
        <w:rPr>
          <w:lang w:val="sr-Latn-CS"/>
        </w:rPr>
        <w:t>(280,000</w:t>
      </w:r>
      <w:r w:rsidRPr="004B3B6E">
        <w:rPr>
          <w:lang w:val="sr-Latn-CS"/>
        </w:rPr>
        <w:t xml:space="preserve"> </w:t>
      </w:r>
      <w:r w:rsidRPr="003B3244">
        <w:rPr>
          <w:lang w:val="sr-Latn-CS"/>
        </w:rPr>
        <w:t>US$</w:t>
      </w:r>
      <w:r w:rsidR="00F3731A" w:rsidRPr="003B3244">
        <w:rPr>
          <w:lang w:val="sr-Latn-CS"/>
        </w:rPr>
        <w:t>)</w:t>
      </w:r>
      <w:bookmarkEnd w:id="15"/>
    </w:p>
    <w:p w:rsidR="00F3731A" w:rsidRPr="003B3244" w:rsidRDefault="00F3731A" w:rsidP="00F3731A">
      <w:pPr>
        <w:pStyle w:val="BodyText"/>
        <w:ind w:left="720"/>
        <w:rPr>
          <w:lang w:val="sr-Latn-CS"/>
        </w:rPr>
      </w:pPr>
    </w:p>
    <w:p w:rsidR="00F3731A" w:rsidRPr="003B3244" w:rsidRDefault="00F3731A" w:rsidP="00F3731A">
      <w:pPr>
        <w:pStyle w:val="BodyText"/>
        <w:ind w:left="720"/>
        <w:rPr>
          <w:lang w:val="sr-Latn-CS"/>
        </w:rPr>
      </w:pPr>
    </w:p>
    <w:p w:rsidR="00F3731A" w:rsidRPr="003B3244" w:rsidRDefault="00FD6B16" w:rsidP="00F3731A">
      <w:pPr>
        <w:pStyle w:val="BodyText"/>
        <w:ind w:left="720"/>
        <w:rPr>
          <w:lang w:val="sr-Latn-CS"/>
        </w:rPr>
      </w:pPr>
      <w:r w:rsidRPr="00FD6B16">
        <w:rPr>
          <w:rFonts w:ascii="Calibri" w:eastAsia="Calibri" w:hAnsi="Calibri" w:cs="Times New Roman"/>
          <w:lang w:val="sr-Latn-CS"/>
        </w:rPr>
        <w:t>MALS će uspostaviti Jedinicu za upravljanje projektom (JUP) koja je odgovorna za celokupno sprovođenje projekta. JUP će se sastojati od tima osoblja prebačenog iz MALS-a, kao i malog tima konsultanata koji će podržati ključne funkcije izveštavanja, poverenika i zaštite. Konkretno, dodeljeno osoblje iz ministarstva će uključiti direktora projekta, dva komponentna koordinatora (po jedan za svaku komponentu), službenika za kapacitete i učinak i službenika za praćenje i evaluaciju, dok će tim konsultanata koji se finansiraju iz projekta uključiti koordinatora projekta, specijalistu finansijskog upravljanja, specijalistu za nabavke i konsultanta za zaštitu životne sredine. Pored toga, MALS će obezbediti radni prostor, transport i pokriti logističke i administrativne troškove</w:t>
      </w:r>
      <w:r w:rsidR="00F3731A" w:rsidRPr="003B3244">
        <w:rPr>
          <w:lang w:val="sr-Latn-CS"/>
        </w:rPr>
        <w:t xml:space="preserve">. </w:t>
      </w:r>
    </w:p>
    <w:p w:rsidR="00F3731A" w:rsidRPr="003B3244" w:rsidRDefault="00F3731A" w:rsidP="00F3731A">
      <w:pPr>
        <w:pStyle w:val="BodyText"/>
        <w:ind w:left="720"/>
        <w:rPr>
          <w:lang w:val="sr-Latn-CS"/>
        </w:rPr>
      </w:pPr>
    </w:p>
    <w:p w:rsidR="00F3731A" w:rsidRPr="003B3244" w:rsidRDefault="00FD6B16" w:rsidP="00F3731A">
      <w:pPr>
        <w:pStyle w:val="Heading1"/>
        <w:rPr>
          <w:lang w:val="sr-Latn-CS"/>
        </w:rPr>
      </w:pPr>
      <w:bookmarkStart w:id="16" w:name="_Toc531255615"/>
      <w:r w:rsidRPr="00FD6B16">
        <w:rPr>
          <w:lang w:val="sr-Latn-CS"/>
        </w:rPr>
        <w:t>Linije finansijske podrške</w:t>
      </w:r>
      <w:bookmarkEnd w:id="16"/>
    </w:p>
    <w:p w:rsidR="00F3731A" w:rsidRPr="003B3244" w:rsidRDefault="00F3731A" w:rsidP="00F3731A">
      <w:pPr>
        <w:pStyle w:val="BodyText"/>
        <w:ind w:left="720"/>
        <w:rPr>
          <w:lang w:val="sr-Latn-CS"/>
        </w:rPr>
      </w:pPr>
    </w:p>
    <w:p w:rsidR="00A61082" w:rsidRPr="00A61082" w:rsidRDefault="00A61082" w:rsidP="00A61082">
      <w:pPr>
        <w:pStyle w:val="BodyText"/>
        <w:ind w:left="720"/>
        <w:rPr>
          <w:lang w:val="sr-Latn-CS"/>
        </w:rPr>
      </w:pPr>
      <w:r w:rsidRPr="00A61082">
        <w:rPr>
          <w:lang w:val="sr-Latn-CS"/>
        </w:rPr>
        <w:t>Finansije će teći od Svetske banke do trezora, Ministarstva finansija i Ministarstva administracije lokalne samouprave (MALS). Svim finansijskim sredstvima vezanim za projekte upravlja Ministarstvo administracije lokalne samouprave. Svim rashodima projekta, uključujući osoblje, troškove projektnih aktivnosti, izvođače radova, pod-primaoca i upravljanje projektom, rukovodiće MALS u skladu sa procedurama finansijskog upravljanja i nabavke Svetske banke.</w:t>
      </w:r>
    </w:p>
    <w:p w:rsidR="00A61082" w:rsidRPr="00A61082" w:rsidRDefault="00A61082" w:rsidP="00A61082">
      <w:pPr>
        <w:pStyle w:val="BodyText"/>
        <w:ind w:left="720"/>
        <w:rPr>
          <w:lang w:val="sr-Latn-CS"/>
        </w:rPr>
      </w:pPr>
    </w:p>
    <w:p w:rsidR="00F3731A" w:rsidRPr="003B3244" w:rsidRDefault="00A61082" w:rsidP="00A61082">
      <w:pPr>
        <w:pStyle w:val="BodyText"/>
        <w:ind w:left="720"/>
        <w:rPr>
          <w:lang w:val="sr-Latn-CS"/>
        </w:rPr>
      </w:pPr>
      <w:r w:rsidRPr="00A61082">
        <w:rPr>
          <w:lang w:val="sr-Latn-CS"/>
        </w:rPr>
        <w:t>Odgovornosti za nabavku radova za svaki potprojekat biće definisane tokom sprovođenja projekta</w:t>
      </w:r>
      <w:r w:rsidR="00E42F92">
        <w:rPr>
          <w:lang w:val="sr-Latn-CS"/>
        </w:rPr>
        <w:t xml:space="preserve">  u zavisnosti od kapaciteta, </w:t>
      </w:r>
      <w:r w:rsidRPr="00A61082">
        <w:rPr>
          <w:lang w:val="sr-Latn-CS"/>
        </w:rPr>
        <w:t>podnosioca zahteva (krajnji korisnici sredstava). Predviđeno je da iskusni NVO-ovi izvrše nabavku za svoje aktivnosti, a za neiskusne NVO-ove / Omladinske inicijative ili pojedince će biti pružena dodatna pomoć za sprovođenje nabavki (</w:t>
      </w:r>
      <w:r w:rsidR="00CF37A6">
        <w:rPr>
          <w:lang w:val="sr-Latn-CS"/>
        </w:rPr>
        <w:t>pomoć NVO ili osoblju</w:t>
      </w:r>
      <w:r w:rsidRPr="00A61082">
        <w:rPr>
          <w:lang w:val="sr-Latn-CS"/>
        </w:rPr>
        <w:t xml:space="preserve"> MALS-a). Štaviše, za neiskusne NVO-ove/omladinske inicijative/pojedince, </w:t>
      </w:r>
      <w:r w:rsidR="00CF37A6" w:rsidRPr="00CF37A6">
        <w:rPr>
          <w:lang w:val="sr-Latn-CS"/>
        </w:rPr>
        <w:t xml:space="preserve">nabavka će biti sprovedena </w:t>
      </w:r>
      <w:r w:rsidRPr="00A61082">
        <w:rPr>
          <w:lang w:val="sr-Latn-CS"/>
        </w:rPr>
        <w:t>od strane MALS-a i postaviće se granica po kojoj mogu sami vršiti nabavku, a van tog ograničenja nabavka će biti obavljena u ime</w:t>
      </w:r>
      <w:r w:rsidR="00CF37A6">
        <w:rPr>
          <w:lang w:val="sr-Latn-CS"/>
        </w:rPr>
        <w:t xml:space="preserve"> NVO</w:t>
      </w:r>
      <w:r w:rsidRPr="00A61082">
        <w:rPr>
          <w:lang w:val="sr-Latn-CS"/>
        </w:rPr>
        <w:t>. Radovi će biti ugovoreni od strane projektnih subjekata korisničkih projekata i u nedostatku kapaciteta MALS će vršiti nabavku za njih</w:t>
      </w:r>
      <w:r w:rsidR="00F3731A" w:rsidRPr="003B3244">
        <w:rPr>
          <w:lang w:val="sr-Latn-CS"/>
        </w:rPr>
        <w:t>.</w:t>
      </w:r>
    </w:p>
    <w:p w:rsidR="00F3731A" w:rsidRPr="003B3244" w:rsidRDefault="00F3731A" w:rsidP="00F3731A">
      <w:pPr>
        <w:pStyle w:val="BodyText"/>
        <w:ind w:left="720"/>
        <w:rPr>
          <w:lang w:val="sr-Latn-CS"/>
        </w:rPr>
      </w:pPr>
    </w:p>
    <w:p w:rsidR="00F3731A" w:rsidRPr="003B3244" w:rsidRDefault="00A61082" w:rsidP="00F3731A">
      <w:pPr>
        <w:pStyle w:val="Heading1"/>
        <w:rPr>
          <w:lang w:val="sr-Latn-CS"/>
        </w:rPr>
      </w:pPr>
      <w:bookmarkStart w:id="17" w:name="_Toc531255616"/>
      <w:r w:rsidRPr="00A61082">
        <w:rPr>
          <w:lang w:val="sr-Latn-CS"/>
        </w:rPr>
        <w:t>Neprihvatljive aktivnosti</w:t>
      </w:r>
      <w:bookmarkEnd w:id="17"/>
    </w:p>
    <w:p w:rsidR="004D1C25" w:rsidRPr="004D1C25" w:rsidRDefault="004D1C25" w:rsidP="004D1C25">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4D1C25">
        <w:rPr>
          <w:rFonts w:ascii="Times New Roman" w:eastAsia="Arial" w:hAnsi="Times New Roman" w:cs="Times New Roman"/>
          <w:lang w:val="sr-Latn-CS"/>
        </w:rPr>
        <w:t>Aktivnosti u zaštićenim područjima i objektima i/ili lokacijama kulturnog nasleđa, kao i one koje pokreću primenu politika zaštite SB-a osim 4.01 Procena uticaja na životnu sredinu neće se finansirati u okviru projekta.</w:t>
      </w:r>
    </w:p>
    <w:p w:rsidR="004D1C25" w:rsidRPr="004D1C25" w:rsidRDefault="004D1C25" w:rsidP="004D1C25">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4D1C25">
        <w:rPr>
          <w:rFonts w:ascii="Times New Roman" w:eastAsia="Arial" w:hAnsi="Times New Roman" w:cs="Times New Roman"/>
          <w:lang w:val="sr-Latn-CS"/>
        </w:rPr>
        <w:t xml:space="preserve">Prihvatljive aktivnosti neće pokrenuti operativnu politiku Svetske banke (OP) 4.12 o prinudnom raseljavanju. Pored toga, ovaj projekat ne može finansirati potprojekte koji bi uključivali: </w:t>
      </w:r>
    </w:p>
    <w:p w:rsidR="004D1C25" w:rsidRPr="004D1C25" w:rsidRDefault="004D1C25" w:rsidP="004D1C25">
      <w:pPr>
        <w:widowControl w:val="0"/>
        <w:autoSpaceDE w:val="0"/>
        <w:autoSpaceDN w:val="0"/>
        <w:spacing w:after="0" w:line="240" w:lineRule="auto"/>
        <w:ind w:left="289" w:right="289"/>
        <w:jc w:val="both"/>
        <w:rPr>
          <w:rFonts w:ascii="Times New Roman" w:eastAsia="Arial" w:hAnsi="Times New Roman" w:cs="Times New Roman"/>
          <w:lang w:val="sr-Latn-CS"/>
        </w:rPr>
      </w:pPr>
      <w:r w:rsidRPr="004D1C25">
        <w:rPr>
          <w:rFonts w:ascii="Times New Roman" w:eastAsia="Arial" w:hAnsi="Times New Roman" w:cs="Times New Roman"/>
          <w:lang w:val="sr-Latn-CS"/>
        </w:rPr>
        <w:t>•</w:t>
      </w:r>
      <w:r w:rsidRPr="004D1C25">
        <w:rPr>
          <w:rFonts w:ascii="Times New Roman" w:eastAsia="Arial" w:hAnsi="Times New Roman" w:cs="Times New Roman"/>
          <w:lang w:val="sr-Latn-CS"/>
        </w:rPr>
        <w:tab/>
        <w:t>Aktivnosti koje ograničavaju ili lišavaju pojedinca ili zajednice pristupa zemljištu ili raspoloživim resursima;</w:t>
      </w:r>
    </w:p>
    <w:p w:rsidR="004D1C25" w:rsidRPr="004D1C25" w:rsidRDefault="004D1C25" w:rsidP="004D1C25">
      <w:pPr>
        <w:widowControl w:val="0"/>
        <w:autoSpaceDE w:val="0"/>
        <w:autoSpaceDN w:val="0"/>
        <w:spacing w:after="0" w:line="240" w:lineRule="auto"/>
        <w:ind w:left="289" w:right="289"/>
        <w:jc w:val="both"/>
        <w:rPr>
          <w:rFonts w:ascii="Times New Roman" w:eastAsia="Arial" w:hAnsi="Times New Roman" w:cs="Times New Roman"/>
          <w:lang w:val="sr-Latn-CS"/>
        </w:rPr>
      </w:pPr>
      <w:r w:rsidRPr="004D1C25">
        <w:rPr>
          <w:rFonts w:ascii="Times New Roman" w:eastAsia="Arial" w:hAnsi="Times New Roman" w:cs="Times New Roman"/>
          <w:lang w:val="sr-Latn-CS"/>
        </w:rPr>
        <w:t>•</w:t>
      </w:r>
      <w:r w:rsidRPr="004D1C25">
        <w:rPr>
          <w:rFonts w:ascii="Times New Roman" w:eastAsia="Arial" w:hAnsi="Times New Roman" w:cs="Times New Roman"/>
          <w:lang w:val="sr-Latn-CS"/>
        </w:rPr>
        <w:tab/>
        <w:t xml:space="preserve">Aktivnosti koje prouzrokuju kupovinu zemljišta ili raseljavanje pojedinaca ili zajednica; </w:t>
      </w:r>
    </w:p>
    <w:p w:rsidR="004D1C25" w:rsidRPr="004D1C25" w:rsidRDefault="004D1C25" w:rsidP="004D1C25">
      <w:pPr>
        <w:widowControl w:val="0"/>
        <w:autoSpaceDE w:val="0"/>
        <w:autoSpaceDN w:val="0"/>
        <w:spacing w:after="0" w:line="240" w:lineRule="auto"/>
        <w:ind w:left="289" w:right="289"/>
        <w:jc w:val="both"/>
        <w:rPr>
          <w:rFonts w:ascii="Times New Roman" w:eastAsia="Arial" w:hAnsi="Times New Roman" w:cs="Times New Roman"/>
          <w:lang w:val="sr-Latn-CS"/>
        </w:rPr>
      </w:pPr>
      <w:r w:rsidRPr="004D1C25">
        <w:rPr>
          <w:rFonts w:ascii="Times New Roman" w:eastAsia="Arial" w:hAnsi="Times New Roman" w:cs="Times New Roman"/>
          <w:lang w:val="sr-Latn-CS"/>
        </w:rPr>
        <w:t>•</w:t>
      </w:r>
      <w:r w:rsidRPr="004D1C25">
        <w:rPr>
          <w:rFonts w:ascii="Times New Roman" w:eastAsia="Arial" w:hAnsi="Times New Roman" w:cs="Times New Roman"/>
          <w:lang w:val="sr-Latn-CS"/>
        </w:rPr>
        <w:tab/>
        <w:t>Aktivnosti u zaštićenim područjima i osetljiva ili kritična prirodna staništa, kao i potprojekti koji uključuju seču drveća;</w:t>
      </w:r>
    </w:p>
    <w:p w:rsidR="004D1C25" w:rsidRPr="004D1C25" w:rsidRDefault="004D1C25" w:rsidP="004D1C25">
      <w:pPr>
        <w:widowControl w:val="0"/>
        <w:autoSpaceDE w:val="0"/>
        <w:autoSpaceDN w:val="0"/>
        <w:spacing w:after="0" w:line="240" w:lineRule="auto"/>
        <w:ind w:left="289" w:right="289"/>
        <w:jc w:val="both"/>
        <w:rPr>
          <w:rFonts w:ascii="Times New Roman" w:eastAsia="Arial" w:hAnsi="Times New Roman" w:cs="Times New Roman"/>
          <w:lang w:val="sr-Latn-CS"/>
        </w:rPr>
      </w:pPr>
      <w:r w:rsidRPr="004D1C25">
        <w:rPr>
          <w:rFonts w:ascii="Times New Roman" w:eastAsia="Arial" w:hAnsi="Times New Roman" w:cs="Times New Roman"/>
          <w:lang w:val="sr-Latn-CS"/>
        </w:rPr>
        <w:t>•</w:t>
      </w:r>
      <w:r w:rsidRPr="004D1C25">
        <w:rPr>
          <w:rFonts w:ascii="Times New Roman" w:eastAsia="Arial" w:hAnsi="Times New Roman" w:cs="Times New Roman"/>
          <w:lang w:val="sr-Latn-CS"/>
        </w:rPr>
        <w:tab/>
        <w:t>Aktivnosti koje uvode promene u upotrebi pesticida;</w:t>
      </w:r>
    </w:p>
    <w:p w:rsidR="004D1C25" w:rsidRPr="004D1C25" w:rsidRDefault="004D1C25" w:rsidP="004D1C25">
      <w:pPr>
        <w:widowControl w:val="0"/>
        <w:autoSpaceDE w:val="0"/>
        <w:autoSpaceDN w:val="0"/>
        <w:spacing w:after="0" w:line="240" w:lineRule="auto"/>
        <w:ind w:left="289" w:right="289"/>
        <w:jc w:val="both"/>
        <w:rPr>
          <w:rFonts w:ascii="Times New Roman" w:eastAsia="Arial" w:hAnsi="Times New Roman" w:cs="Times New Roman"/>
          <w:lang w:val="sr-Latn-CS"/>
        </w:rPr>
      </w:pPr>
      <w:r w:rsidRPr="004D1C25">
        <w:rPr>
          <w:rFonts w:ascii="Times New Roman" w:eastAsia="Arial" w:hAnsi="Times New Roman" w:cs="Times New Roman"/>
          <w:lang w:val="sr-Latn-CS"/>
        </w:rPr>
        <w:t>•</w:t>
      </w:r>
      <w:r w:rsidRPr="004D1C25">
        <w:rPr>
          <w:rFonts w:ascii="Times New Roman" w:eastAsia="Arial" w:hAnsi="Times New Roman" w:cs="Times New Roman"/>
          <w:lang w:val="sr-Latn-CS"/>
        </w:rPr>
        <w:tab/>
        <w:t>Aktivnosti koje utiču na kulturno nasleđe;</w:t>
      </w:r>
    </w:p>
    <w:p w:rsidR="004D1C25" w:rsidRPr="004D1C25" w:rsidRDefault="004D1C25" w:rsidP="004D1C25">
      <w:pPr>
        <w:widowControl w:val="0"/>
        <w:autoSpaceDE w:val="0"/>
        <w:autoSpaceDN w:val="0"/>
        <w:spacing w:after="0" w:line="240" w:lineRule="auto"/>
        <w:ind w:left="289" w:right="289"/>
        <w:jc w:val="both"/>
        <w:rPr>
          <w:rFonts w:ascii="Times New Roman" w:eastAsia="Arial" w:hAnsi="Times New Roman" w:cs="Times New Roman"/>
          <w:lang w:val="sr-Latn-CS"/>
        </w:rPr>
      </w:pPr>
    </w:p>
    <w:p w:rsidR="004D1C25" w:rsidRPr="004D1C25" w:rsidRDefault="004D1C25" w:rsidP="004D1C25">
      <w:pPr>
        <w:widowControl w:val="0"/>
        <w:autoSpaceDE w:val="0"/>
        <w:autoSpaceDN w:val="0"/>
        <w:spacing w:after="0" w:line="240" w:lineRule="auto"/>
        <w:ind w:left="289" w:right="289"/>
        <w:jc w:val="both"/>
        <w:rPr>
          <w:rFonts w:ascii="Times New Roman" w:eastAsia="Arial" w:hAnsi="Times New Roman" w:cs="Times New Roman"/>
          <w:lang w:val="sr-Latn-CS"/>
        </w:rPr>
      </w:pPr>
      <w:r w:rsidRPr="004D1C25">
        <w:rPr>
          <w:rFonts w:ascii="Times New Roman" w:eastAsia="Arial" w:hAnsi="Times New Roman" w:cs="Times New Roman"/>
          <w:lang w:val="sr-Latn-CS"/>
        </w:rPr>
        <w:t>Potprojekti koji mogu dovesti do stvaranja velikih količina opasnog otpada (azbestni otpad, KFS, ostaci olova, kontaminirani rezervoari za zagrevanje ulja itd.) ili posebne vrste opasnog otpada (npr. radioaktivne gromobranske šipke) neće biti prihvatljivi za finansiranje.</w:t>
      </w:r>
    </w:p>
    <w:p w:rsidR="00F3731A" w:rsidRPr="003B3244" w:rsidRDefault="004D1C25" w:rsidP="004D1C25">
      <w:pPr>
        <w:pStyle w:val="BodyText"/>
        <w:spacing w:before="100" w:beforeAutospacing="1" w:after="100" w:afterAutospacing="1"/>
        <w:ind w:left="289" w:right="289"/>
        <w:rPr>
          <w:rFonts w:cs="Times New Roman"/>
          <w:lang w:val="sr-Latn-CS"/>
        </w:rPr>
      </w:pPr>
      <w:r w:rsidRPr="004D1C25">
        <w:rPr>
          <w:rFonts w:ascii="Calibri" w:eastAsia="Calibri" w:hAnsi="Calibri" w:cs="Times New Roman"/>
          <w:lang w:val="sr-Latn-CS"/>
        </w:rPr>
        <w:t>Iako rizici povezani sa različitim potprojektima mogu varirati od niskog do umerenog rizika, od njih se očekuje da potpadnu pod PUŽS kategoriju B ili C</w:t>
      </w:r>
      <w:r w:rsidR="00F3731A" w:rsidRPr="003B3244">
        <w:rPr>
          <w:rFonts w:cs="Times New Roman"/>
          <w:lang w:val="sr-Latn-CS"/>
        </w:rPr>
        <w:t xml:space="preserve">. </w:t>
      </w:r>
    </w:p>
    <w:p w:rsidR="00F3731A" w:rsidRPr="003B3244" w:rsidRDefault="004D1C25" w:rsidP="00F3731A">
      <w:pPr>
        <w:pStyle w:val="Heading1"/>
        <w:rPr>
          <w:lang w:val="sr-Latn-CS"/>
        </w:rPr>
      </w:pPr>
      <w:bookmarkStart w:id="18" w:name="_Toc531255617"/>
      <w:r w:rsidRPr="004D1C25">
        <w:rPr>
          <w:lang w:val="sr-Latn-CS"/>
        </w:rPr>
        <w:t>Lista isključenih delatnosti</w:t>
      </w:r>
      <w:bookmarkEnd w:id="18"/>
    </w:p>
    <w:p w:rsidR="00F3731A" w:rsidRPr="003B3244" w:rsidRDefault="00F3731A" w:rsidP="00F3731A">
      <w:pPr>
        <w:pStyle w:val="BodyText"/>
        <w:ind w:left="720"/>
        <w:rPr>
          <w:lang w:val="sr-Latn-CS"/>
        </w:rPr>
      </w:pP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Brojne aktivnosti nisu podobne za finansiranje u okviru projekta. To uključuje kupovinu zemljišta, A kategoriju i projekte visokog rizika, kao i aktivnosti iz opše liste isključenih delatnosti SB, kako sledi:</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lastRenderedPageBreak/>
        <w:t>1.</w:t>
      </w:r>
      <w:r w:rsidRPr="002B31CC">
        <w:rPr>
          <w:rFonts w:ascii="Times New Roman" w:eastAsia="Arial" w:hAnsi="Times New Roman" w:cs="Arial"/>
          <w:lang w:val="sr-Latn-CS"/>
        </w:rPr>
        <w:tab/>
        <w:t>Trgovina divljim životinjama i proizvodima od divljih životinja zabranjena je po CITES konvenciji,</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2.</w:t>
      </w:r>
      <w:r w:rsidRPr="002B31CC">
        <w:rPr>
          <w:rFonts w:ascii="Times New Roman" w:eastAsia="Arial" w:hAnsi="Times New Roman" w:cs="Arial"/>
          <w:lang w:val="sr-Latn-CS"/>
        </w:rPr>
        <w:tab/>
        <w:t>Oslobađanje genetski promenjenih organizama u prirodno okruženje,</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3.</w:t>
      </w:r>
      <w:r w:rsidRPr="002B31CC">
        <w:rPr>
          <w:rFonts w:ascii="Times New Roman" w:eastAsia="Arial" w:hAnsi="Times New Roman" w:cs="Arial"/>
          <w:lang w:val="sr-Latn-CS"/>
        </w:rPr>
        <w:tab/>
        <w:t>Proizvodnja, distribucija i prodaja zabranjenih pesticida i herbicida,</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4.</w:t>
      </w:r>
      <w:r w:rsidRPr="002B31CC">
        <w:rPr>
          <w:rFonts w:ascii="Times New Roman" w:eastAsia="Arial" w:hAnsi="Times New Roman" w:cs="Arial"/>
          <w:lang w:val="sr-Latn-CS"/>
        </w:rPr>
        <w:tab/>
        <w:t>Hvatanje ribe mrežom u morskom okruženju,</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5.</w:t>
      </w:r>
      <w:r w:rsidRPr="002B31CC">
        <w:rPr>
          <w:rFonts w:ascii="Times New Roman" w:eastAsia="Arial" w:hAnsi="Times New Roman" w:cs="Arial"/>
          <w:lang w:val="sr-Latn-CS"/>
        </w:rPr>
        <w:tab/>
        <w:t>Proizvodnja, rukovanje i odlaganje radioaktivnih proizvoda,</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6.</w:t>
      </w:r>
      <w:r w:rsidRPr="002B31CC">
        <w:rPr>
          <w:rFonts w:ascii="Times New Roman" w:eastAsia="Arial" w:hAnsi="Times New Roman" w:cs="Arial"/>
          <w:lang w:val="sr-Latn-CS"/>
        </w:rPr>
        <w:tab/>
        <w:t>Skladištenje, tretman i odlaganje opasnog otpada,</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7.</w:t>
      </w:r>
      <w:r w:rsidRPr="002B31CC">
        <w:rPr>
          <w:rFonts w:ascii="Times New Roman" w:eastAsia="Arial" w:hAnsi="Times New Roman" w:cs="Arial"/>
          <w:lang w:val="sr-Latn-CS"/>
        </w:rPr>
        <w:tab/>
        <w:t>Proizvodnja opreme i uređaja koji sadrže CFC, halone i druge supstance regulisane prema Montrealskom protokolu,</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8.</w:t>
      </w:r>
      <w:r w:rsidRPr="002B31CC">
        <w:rPr>
          <w:rFonts w:ascii="Times New Roman" w:eastAsia="Arial" w:hAnsi="Times New Roman" w:cs="Arial"/>
          <w:lang w:val="sr-Latn-CS"/>
        </w:rPr>
        <w:tab/>
        <w:t>Proizvodnja električne opreme koja sadrži polihlorovane bifenile (PCB) veće od 0,005% po težini,</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9.</w:t>
      </w:r>
      <w:r w:rsidRPr="002B31CC">
        <w:rPr>
          <w:rFonts w:ascii="Times New Roman" w:eastAsia="Arial" w:hAnsi="Times New Roman" w:cs="Arial"/>
          <w:lang w:val="sr-Latn-CS"/>
        </w:rPr>
        <w:tab/>
        <w:t>Izrada proizvoda koji sadrže azbest,</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10.</w:t>
      </w:r>
      <w:r w:rsidRPr="002B31CC">
        <w:rPr>
          <w:rFonts w:ascii="Times New Roman" w:eastAsia="Arial" w:hAnsi="Times New Roman" w:cs="Arial"/>
          <w:lang w:val="sr-Latn-CS"/>
        </w:rPr>
        <w:tab/>
        <w:t>Nuklearni reaktori i njihovi delovi,</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11.</w:t>
      </w:r>
      <w:r w:rsidRPr="002B31CC">
        <w:rPr>
          <w:rFonts w:ascii="Times New Roman" w:eastAsia="Arial" w:hAnsi="Times New Roman" w:cs="Arial"/>
          <w:lang w:val="sr-Latn-CS"/>
        </w:rPr>
        <w:tab/>
        <w:t>Duvan, neobrađen ili obrađen,</w:t>
      </w:r>
    </w:p>
    <w:p w:rsidR="002B31CC" w:rsidRPr="002B31CC" w:rsidRDefault="002B31CC" w:rsidP="002B31CC">
      <w:pPr>
        <w:widowControl w:val="0"/>
        <w:autoSpaceDE w:val="0"/>
        <w:autoSpaceDN w:val="0"/>
        <w:spacing w:after="0" w:line="240" w:lineRule="auto"/>
        <w:ind w:left="720"/>
        <w:jc w:val="both"/>
        <w:rPr>
          <w:rFonts w:ascii="Times New Roman" w:eastAsia="Arial" w:hAnsi="Times New Roman" w:cs="Arial"/>
          <w:lang w:val="sr-Latn-CS"/>
        </w:rPr>
      </w:pPr>
      <w:r w:rsidRPr="002B31CC">
        <w:rPr>
          <w:rFonts w:ascii="Times New Roman" w:eastAsia="Arial" w:hAnsi="Times New Roman" w:cs="Arial"/>
          <w:lang w:val="sr-Latn-CS"/>
        </w:rPr>
        <w:t>12.</w:t>
      </w:r>
      <w:r w:rsidRPr="002B31CC">
        <w:rPr>
          <w:rFonts w:ascii="Times New Roman" w:eastAsia="Arial" w:hAnsi="Times New Roman" w:cs="Arial"/>
          <w:lang w:val="sr-Latn-CS"/>
        </w:rPr>
        <w:tab/>
        <w:t>Mašine za obradu duvana, i</w:t>
      </w:r>
    </w:p>
    <w:p w:rsidR="00F3731A" w:rsidRPr="003B3244" w:rsidRDefault="002B31CC" w:rsidP="002B31CC">
      <w:pPr>
        <w:pStyle w:val="BodyText"/>
        <w:ind w:left="720"/>
        <w:rPr>
          <w:lang w:val="sr-Latn-CS"/>
        </w:rPr>
      </w:pPr>
      <w:r w:rsidRPr="002B31CC">
        <w:rPr>
          <w:rFonts w:ascii="Calibri" w:eastAsia="Calibri" w:hAnsi="Calibri" w:cs="Times New Roman"/>
          <w:lang w:val="sr-Latn-CS"/>
        </w:rPr>
        <w:t>13.</w:t>
      </w:r>
      <w:r w:rsidRPr="002B31CC">
        <w:rPr>
          <w:rFonts w:ascii="Calibri" w:eastAsia="Calibri" w:hAnsi="Calibri" w:cs="Times New Roman"/>
          <w:lang w:val="sr-Latn-CS"/>
        </w:rPr>
        <w:tab/>
      </w:r>
      <w:r w:rsidRPr="002B31CC">
        <w:rPr>
          <w:lang w:val="sr-Latn-CS"/>
        </w:rPr>
        <w:t>Proizvodnja vatrenog oružja</w:t>
      </w:r>
      <w:r w:rsidR="00F3731A" w:rsidRPr="003B3244">
        <w:rPr>
          <w:lang w:val="sr-Latn-CS"/>
        </w:rPr>
        <w:t>.</w:t>
      </w:r>
    </w:p>
    <w:p w:rsidR="00F3731A" w:rsidRPr="003B3244" w:rsidRDefault="00F3731A" w:rsidP="00F3731A">
      <w:pPr>
        <w:pStyle w:val="BodyText"/>
        <w:ind w:left="720"/>
        <w:rPr>
          <w:lang w:val="sr-Latn-CS"/>
        </w:rPr>
      </w:pPr>
    </w:p>
    <w:p w:rsidR="00F3731A" w:rsidRPr="003B3244" w:rsidRDefault="00BF70D1" w:rsidP="00F3731A">
      <w:pPr>
        <w:pStyle w:val="Heading1"/>
        <w:rPr>
          <w:lang w:val="sr-Latn-CS"/>
        </w:rPr>
      </w:pPr>
      <w:bookmarkStart w:id="19" w:name="_Toc531255618"/>
      <w:r w:rsidRPr="00BF70D1">
        <w:rPr>
          <w:lang w:val="sr-Latn-CS"/>
        </w:rPr>
        <w:t>Upravljanje projektom</w:t>
      </w:r>
      <w:bookmarkEnd w:id="19"/>
      <w:r>
        <w:rPr>
          <w:lang w:val="sr-Latn-CS"/>
        </w:rPr>
        <w:t xml:space="preserve"> </w:t>
      </w:r>
    </w:p>
    <w:p w:rsidR="00450201" w:rsidRPr="00450201" w:rsidRDefault="00450201" w:rsidP="00450201">
      <w:pPr>
        <w:pStyle w:val="BodyText"/>
        <w:spacing w:before="100" w:beforeAutospacing="1" w:after="100" w:afterAutospacing="1"/>
        <w:ind w:left="289" w:right="289"/>
        <w:rPr>
          <w:rFonts w:cs="Times New Roman"/>
          <w:lang w:val="sr-Latn-CS"/>
        </w:rPr>
      </w:pPr>
      <w:r w:rsidRPr="00450201">
        <w:rPr>
          <w:rFonts w:cs="Times New Roman"/>
          <w:lang w:val="sr-Latn-CS"/>
        </w:rPr>
        <w:t xml:space="preserve">MALS će uspostaviti Jedinicu za upravljanje projektom (JUP) koja je odgovorna za celokupno sprovođenje projekta. JUP će se sastojati od tima osoblja prebačenog  iz MALS-a, kao i malog tima konsultanata koji će podržati ključne funkcije izveštavanja, poverenika i zaštite. Konkretno, dodeljeno osoblje iz ministarstva će uključiti direktora projekta, dva komponentna koordinatora (po jedan za svaku komponentu), službenika za kapacitete i učinak i službenika za praćenje i evaluaciju, dok će tim konsultanata koji se finansiraju iz projekta uključiti koordinatora projekta, specijalistu finansijskog upravljanja, specijalistu za nabavke i konsultanta za zaštitu životne sredine. Pored toga, MALS će obezbediti radni prostor, transport i pokriti logističke i administrativne troškove. </w:t>
      </w:r>
    </w:p>
    <w:p w:rsidR="00450201" w:rsidRPr="00450201" w:rsidRDefault="00450201" w:rsidP="00450201">
      <w:pPr>
        <w:pStyle w:val="BodyText"/>
        <w:spacing w:before="100" w:beforeAutospacing="1" w:after="100" w:afterAutospacing="1"/>
        <w:ind w:left="289" w:right="289"/>
        <w:rPr>
          <w:rFonts w:cs="Times New Roman"/>
          <w:lang w:val="sr-Latn-CS"/>
        </w:rPr>
      </w:pPr>
      <w:r w:rsidRPr="00450201">
        <w:rPr>
          <w:rFonts w:cs="Times New Roman"/>
          <w:lang w:val="sr-Latn-CS"/>
        </w:rPr>
        <w:t xml:space="preserve">Glavne odgovornosti JUP-a uključuju: koordinaciju projekata, nabavke, finansijsko upravljanje, zaštitne mere, komunikaciju i upravljanje znanjem, kao i praćenje i evaluaciju. Prema komponenti 1, JUP bi bio odgovoran za: (i) procenu opštinskog fiducijarnog i upravljačkog kapaciteta za sprovođenje projekata na osnovu Sistema upravljanja opštinskim učinkom, (ii) upravljanje raspodelom i troškovima projektnih sredstava, (iii) nadgledanje opštinske usklađenosti sa projektnim kriterijumima, (iv) bez primedbi na izbor potprojekata, (v) vršenje nadzora nad primenom zaštitnih mera, praćenje i izveštavanje kako bi se osiguralo da su u skladu sa zaštitnim/fiducijarnim zahtevima. Za opštine koje ispunjavaju kriterijume navedene u opisu projekta, ali pokazuju relativno mali kapacitet, JUP može izabrati da pokrene jednu ili više korektivnih mera, kao što su: (i) dodeljivanje sredstava, ali preuzimanje procesa nabavke (ii) raspoređivanje službenika za kapacitet i učinak iz MALS-a kako bi radio direktno sa službenicima koji su odgovorni za otvaranje poziva, ocenjivanje predloga i upravljanje aktivnostima nabavke i/ili (iii) zahtevaju dodatno/učešće izveštavanje od strane opštinskih službenika. Za komponentu 2, MALS će angažovati iskusni partnerski NVO za sprovođenje obuke o mekim veštinama, pisanje predloga potprojekata i obuku iz upravljanja i pružiti tehničku podršku omladinskim NVO-ovima/CBO-ovima tokom celog potprojektnog ciklusa. </w:t>
      </w:r>
    </w:p>
    <w:p w:rsidR="00F3731A" w:rsidRPr="003B3244" w:rsidRDefault="00450201" w:rsidP="00450201">
      <w:pPr>
        <w:pStyle w:val="BodyText"/>
        <w:spacing w:before="100" w:beforeAutospacing="1" w:after="100" w:afterAutospacing="1"/>
        <w:ind w:left="289" w:right="289"/>
        <w:rPr>
          <w:rFonts w:cs="Times New Roman"/>
          <w:lang w:val="sr-Latn-CS"/>
        </w:rPr>
      </w:pPr>
      <w:r w:rsidRPr="00450201">
        <w:rPr>
          <w:rFonts w:cs="Times New Roman"/>
          <w:lang w:val="sr-Latn-CS"/>
        </w:rPr>
        <w:t xml:space="preserve">MALS će blisko sarađivati sa odabranim opštinama tokom sprovođenja projekata. Za ispunjavanje uslova za učešće, opštine će uložiti sredstva za podršku projektnim aktivnostima. Posebno, odgovornosti opština će uključivati: (i) predsedavanje komisijama za dodelu grantova i učestvovanje u odabiru potprojekata, (ii) obezbeđivanje 15 procenata u odgovarajućim sredstvima za podršku inicijativama usmerenim na mlade, (iii) podržavanje zajedničkih aktivnosti zajednica, pored partnerske NVO, kako bi se projekat predstavio potencijalnim mladim korisnicima, (iii) operacije i aktivnosti održavanja koje se odnose na komunalne infrastrukture ili prostore, i (iv) tehničku podršku omladinskim grupama omogućavajući opštinskim inženjerima tehničku specifikaciju koja je potrebna za potprojekte. </w:t>
      </w:r>
    </w:p>
    <w:p w:rsidR="00F3731A" w:rsidRPr="003B3244" w:rsidRDefault="00450201" w:rsidP="00F3731A">
      <w:pPr>
        <w:pStyle w:val="Heading1"/>
        <w:rPr>
          <w:lang w:val="sr-Latn-CS"/>
        </w:rPr>
      </w:pPr>
      <w:bookmarkStart w:id="20" w:name="_Toc531255619"/>
      <w:r w:rsidRPr="00450201">
        <w:rPr>
          <w:lang w:val="sr-Latn-CS"/>
        </w:rPr>
        <w:t>Praćenje i evaluacija</w:t>
      </w:r>
      <w:bookmarkEnd w:id="20"/>
    </w:p>
    <w:p w:rsidR="0073525C" w:rsidRPr="003B3244" w:rsidRDefault="0073525C" w:rsidP="0073525C">
      <w:pPr>
        <w:pStyle w:val="BodyText"/>
        <w:rPr>
          <w:lang w:val="sr-Latn-CS"/>
        </w:rPr>
      </w:pPr>
    </w:p>
    <w:p w:rsidR="006D13DF" w:rsidRPr="006D13DF" w:rsidRDefault="006D13DF" w:rsidP="006D13DF">
      <w:pPr>
        <w:widowControl w:val="0"/>
        <w:autoSpaceDE w:val="0"/>
        <w:autoSpaceDN w:val="0"/>
        <w:spacing w:after="0" w:line="240" w:lineRule="auto"/>
        <w:ind w:left="360"/>
        <w:jc w:val="both"/>
        <w:rPr>
          <w:rFonts w:ascii="Times New Roman" w:eastAsia="Arial" w:hAnsi="Times New Roman" w:cs="Times New Roman"/>
          <w:lang w:val="sr-Latn-CS"/>
        </w:rPr>
      </w:pPr>
      <w:r w:rsidRPr="006D13DF">
        <w:rPr>
          <w:rFonts w:ascii="Times New Roman" w:eastAsia="Arial" w:hAnsi="Times New Roman" w:cs="Arial"/>
          <w:lang w:val="sr-Latn-CS"/>
        </w:rPr>
        <w:t xml:space="preserve">MALS će pratiti napredak svih inicijativa usmerenih na mlade koristeći onlajn informacioni sistem za upravljanje informacijama (MIS). Relevantne zainteresovane strane će moći da pregleđuju i popunjavaju platformu podacima popunjenim u realnom vremenu. MIS će biti koordinisan sistemom PiE-a u okviru </w:t>
      </w:r>
      <w:r w:rsidR="00340E58">
        <w:rPr>
          <w:rFonts w:ascii="Times New Roman" w:eastAsia="Arial" w:hAnsi="Times New Roman" w:cs="Arial"/>
          <w:lang w:val="sr-Latn-CS"/>
        </w:rPr>
        <w:t>PUMP</w:t>
      </w:r>
      <w:r w:rsidRPr="006D13DF">
        <w:rPr>
          <w:rFonts w:ascii="Times New Roman" w:eastAsia="Arial" w:hAnsi="Times New Roman" w:cs="Arial"/>
          <w:lang w:val="sr-Latn-CS"/>
        </w:rPr>
        <w:t>-a, uključujući usklađene pokazatelje i podatke o zajedničkim korisnicima. Po završetku aktivnosti, kao što je obuka zainteresovanih strana, Ministarstvo će pripremiti kratak izveštaj o završetku, sumirajući rezultate i naučene lekcije. Ova komponenta će takođe finansirati osnovno i istraživanje projekta koje će omogućiti procenu efekata projekta na ciljanu omladinu</w:t>
      </w:r>
      <w:r w:rsidRPr="006D13DF">
        <w:rPr>
          <w:rFonts w:ascii="Times New Roman" w:eastAsia="Arial" w:hAnsi="Times New Roman" w:cs="Times New Roman"/>
          <w:lang w:val="sr-Latn-CS"/>
        </w:rPr>
        <w:t xml:space="preserve">. </w:t>
      </w:r>
    </w:p>
    <w:p w:rsidR="00F3731A" w:rsidRPr="003B3244" w:rsidRDefault="006D13DF" w:rsidP="006D13DF">
      <w:pPr>
        <w:pStyle w:val="BodyText"/>
        <w:spacing w:before="100" w:beforeAutospacing="1" w:after="100" w:afterAutospacing="1"/>
        <w:ind w:left="289" w:right="289"/>
        <w:rPr>
          <w:rFonts w:cs="Times New Roman"/>
          <w:lang w:val="sr-Latn-CS"/>
        </w:rPr>
      </w:pPr>
      <w:r w:rsidRPr="006D13DF">
        <w:rPr>
          <w:lang w:val="sr-Latn-CS"/>
        </w:rPr>
        <w:lastRenderedPageBreak/>
        <w:t>Skupovi mera koje treba preduzeti u pogledu usklađenosti predefinisanih potprojekata sa politikama zaštite SB-</w:t>
      </w:r>
      <w:r w:rsidR="00CF37A6" w:rsidRPr="00F52652">
        <w:rPr>
          <w:lang w:val="sr-Latn-CS"/>
        </w:rPr>
        <w:t xml:space="preserve"> </w:t>
      </w:r>
      <w:r w:rsidR="00CF37A6" w:rsidRPr="00CF37A6">
        <w:rPr>
          <w:lang w:val="sr-Latn-CS"/>
        </w:rPr>
        <w:t xml:space="preserve">i nacionalnom zakonskom regulativom </w:t>
      </w:r>
      <w:r w:rsidRPr="006D13DF">
        <w:rPr>
          <w:lang w:val="sr-Latn-CS"/>
        </w:rPr>
        <w:t xml:space="preserve">biće pripremljeni kao nacrt obrasca kontrolne liste </w:t>
      </w:r>
      <w:r w:rsidR="000818B6">
        <w:rPr>
          <w:lang w:val="sr-Latn-CS"/>
        </w:rPr>
        <w:t>PUSŽS</w:t>
      </w:r>
      <w:r w:rsidRPr="006D13DF">
        <w:rPr>
          <w:lang w:val="sr-Latn-CS"/>
        </w:rPr>
        <w:t xml:space="preserve">-a, sastavni deo </w:t>
      </w:r>
      <w:r w:rsidR="000818B6">
        <w:rPr>
          <w:lang w:val="sr-Latn-CS"/>
        </w:rPr>
        <w:t>OUSŽS</w:t>
      </w:r>
      <w:r w:rsidRPr="006D13DF">
        <w:rPr>
          <w:lang w:val="sr-Latn-CS"/>
        </w:rPr>
        <w:t xml:space="preserve">-a (videti Aneks 3). Obrazac kontrolne liste </w:t>
      </w:r>
      <w:r w:rsidR="000818B6">
        <w:rPr>
          <w:lang w:val="sr-Latn-CS"/>
        </w:rPr>
        <w:t>PUSŽS</w:t>
      </w:r>
      <w:r w:rsidRPr="006D13DF">
        <w:rPr>
          <w:lang w:val="sr-Latn-CS"/>
        </w:rPr>
        <w:t>-a (koji sadrži mere ublažavanja i plan praćenja) prilagođavaće se svakom pojedinačnom potprojektu B kategorije</w:t>
      </w:r>
      <w:r w:rsidR="002179CD">
        <w:rPr>
          <w:lang w:val="sr-Latn-CS"/>
        </w:rPr>
        <w:t xml:space="preserve"> – (</w:t>
      </w:r>
      <w:r w:rsidR="002179CD" w:rsidRPr="002179CD">
        <w:rPr>
          <w:lang w:val="sr-Latn-CS"/>
        </w:rPr>
        <w:t>manje građevinske radove</w:t>
      </w:r>
      <w:r w:rsidR="002179CD">
        <w:rPr>
          <w:lang w:val="sr-Latn-CS"/>
        </w:rPr>
        <w:t>)</w:t>
      </w:r>
      <w:r w:rsidRPr="006D13DF">
        <w:rPr>
          <w:lang w:val="sr-Latn-CS"/>
        </w:rPr>
        <w:t xml:space="preserve">. Pored toga, definisaće nadležnosti i odgovornosti za izveštavanje i vremenski okvir. </w:t>
      </w:r>
      <w:r w:rsidR="000818B6">
        <w:rPr>
          <w:lang w:val="sr-Latn-CS"/>
        </w:rPr>
        <w:t>PUSŽS</w:t>
      </w:r>
      <w:r w:rsidRPr="006D13DF">
        <w:rPr>
          <w:lang w:val="sr-Latn-CS"/>
        </w:rPr>
        <w:t xml:space="preserve"> će biti sproveden za sve ostale potprojekte i aktivnosti sa potencijalnim negativnim uticajima</w:t>
      </w:r>
      <w:r w:rsidR="00F3731A" w:rsidRPr="003B3244">
        <w:rPr>
          <w:rFonts w:cs="Times New Roman"/>
          <w:lang w:val="sr-Latn-CS"/>
        </w:rPr>
        <w:t xml:space="preserve">. </w:t>
      </w:r>
    </w:p>
    <w:p w:rsidR="00F3731A" w:rsidRPr="003B3244" w:rsidRDefault="00656EC9" w:rsidP="00F3731A">
      <w:pPr>
        <w:pStyle w:val="Heading1"/>
        <w:rPr>
          <w:lang w:val="sr-Latn-CS"/>
        </w:rPr>
      </w:pPr>
      <w:bookmarkStart w:id="21" w:name="_Toc531255620"/>
      <w:r w:rsidRPr="00656EC9">
        <w:rPr>
          <w:lang w:val="sr-Latn-CS"/>
        </w:rPr>
        <w:t>Skrining životne sredine</w:t>
      </w:r>
      <w:bookmarkEnd w:id="21"/>
    </w:p>
    <w:p w:rsidR="008D70DE" w:rsidRPr="008D70DE" w:rsidRDefault="008D70DE" w:rsidP="008D70DE">
      <w:pPr>
        <w:pStyle w:val="BodyText"/>
        <w:spacing w:before="100" w:beforeAutospacing="1" w:after="100" w:afterAutospacing="1"/>
        <w:ind w:left="289" w:right="289"/>
        <w:rPr>
          <w:rFonts w:cs="Times New Roman"/>
          <w:lang w:val="sr-Latn-CS"/>
        </w:rPr>
      </w:pPr>
      <w:r w:rsidRPr="008D70DE">
        <w:rPr>
          <w:rFonts w:cs="Times New Roman"/>
          <w:lang w:val="sr-Latn-CS"/>
        </w:rPr>
        <w:t xml:space="preserve">Skrining životne sredine je prvi korak u due diligence procesu koji se odnosi na životnu sredinu, odnosno pregled primene/koncepata potprojekta. Njegova svrha je da utvrdi rizik po životnu sredinu vezan za predloženi potprojekat, odbacuje zahteve koji su neprihvatljivi zbog prirode predloženih aktivnosti i/ili lokacije, klasifikuju prihvatljive zahteve prema kategorijama životne sredine i identifikuje tip PŽS-a koji će biti potreban. Rezultati skrininga životne sredine će se odraziti u izveštaju o PŽS-u i izveštaju o skriningu životne sredine. </w:t>
      </w:r>
    </w:p>
    <w:p w:rsidR="00F3731A" w:rsidRPr="003B3244" w:rsidRDefault="008D70DE" w:rsidP="008D70DE">
      <w:pPr>
        <w:pStyle w:val="BodyText"/>
        <w:spacing w:before="100" w:beforeAutospacing="1" w:after="100" w:afterAutospacing="1"/>
        <w:ind w:left="289" w:right="289"/>
        <w:rPr>
          <w:rFonts w:cs="Times New Roman"/>
          <w:lang w:val="sr-Latn-CS"/>
        </w:rPr>
      </w:pPr>
      <w:r w:rsidRPr="008D70DE">
        <w:rPr>
          <w:rFonts w:cs="Times New Roman"/>
          <w:lang w:val="sr-Latn-CS"/>
        </w:rPr>
        <w:t>U procesu skrininga, u zavisnosti od vrste, lokacije, osetljivosti i veličine projekta i prirode i veličine njegovih potencijalnih uticaja na životnu sredinu, potprojekat će se svrstati u jednu od četiri kategorije</w:t>
      </w:r>
      <w:r w:rsidR="00F3731A" w:rsidRPr="003B3244">
        <w:rPr>
          <w:rFonts w:cs="Times New Roman"/>
          <w:lang w:val="sr-Latn-CS"/>
        </w:rPr>
        <w:t>:</w:t>
      </w:r>
    </w:p>
    <w:p w:rsidR="00F3731A" w:rsidRPr="003B3244" w:rsidRDefault="008D70DE" w:rsidP="00F3731A">
      <w:pPr>
        <w:pStyle w:val="Heading2"/>
        <w:rPr>
          <w:lang w:val="sr-Latn-CS"/>
        </w:rPr>
      </w:pPr>
      <w:bookmarkStart w:id="22" w:name="_Toc531255621"/>
      <w:r w:rsidRPr="008D70DE">
        <w:rPr>
          <w:lang w:val="sr-Latn-CS"/>
        </w:rPr>
        <w:t>Kategorija A</w:t>
      </w:r>
      <w:bookmarkEnd w:id="22"/>
      <w:r w:rsidR="00F3731A" w:rsidRPr="003B3244">
        <w:rPr>
          <w:lang w:val="sr-Latn-CS"/>
        </w:rPr>
        <w:t> </w:t>
      </w:r>
    </w:p>
    <w:p w:rsidR="00A35B2B" w:rsidRPr="00A35B2B" w:rsidRDefault="00A35B2B" w:rsidP="00A35B2B">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A35B2B">
        <w:rPr>
          <w:rFonts w:ascii="Times New Roman" w:eastAsia="Arial" w:hAnsi="Times New Roman" w:cs="Times New Roman"/>
          <w:lang w:val="sr-Latn-CS"/>
        </w:rPr>
        <w:t>Aktivnosti kategorije A neće se finansirati kroz programe sufinansiranja.</w:t>
      </w:r>
    </w:p>
    <w:p w:rsidR="00A35B2B" w:rsidRPr="00A35B2B" w:rsidRDefault="00A35B2B" w:rsidP="00A35B2B">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A35B2B">
        <w:rPr>
          <w:rFonts w:ascii="Times New Roman" w:eastAsia="Arial" w:hAnsi="Times New Roman" w:cs="Times New Roman"/>
          <w:lang w:val="sr-Latn-CS"/>
        </w:rPr>
        <w:t>Predloženi potprojekat je klasifikovan u ovu kategoriju, ako postoji verovatnoća da ima veoma značajne, raznovrsne i / ili dugoročne štetne uticaje na ljudsko zdravlje i prirodno okruženje čiju je veličinu teško odrediti u identifikacionoj fazi potprojekta. Ovi uticaji mogu imati uticaj na područje šire od lokacija potprojekta. Mere za ublažavanje takvih ekoloških rizika mogu biti složene i skupe.</w:t>
      </w:r>
    </w:p>
    <w:p w:rsidR="00A35B2B" w:rsidRPr="00A35B2B" w:rsidRDefault="00A35B2B" w:rsidP="00A35B2B">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A35B2B">
        <w:rPr>
          <w:rFonts w:ascii="Times New Roman" w:eastAsia="Arial" w:hAnsi="Times New Roman" w:cs="Times New Roman"/>
          <w:lang w:val="sr-Latn-CS"/>
        </w:rPr>
        <w:t>Prema tome, procena uticaja na životnu sredinu (</w:t>
      </w:r>
      <w:r w:rsidR="00340E58">
        <w:rPr>
          <w:rFonts w:ascii="Times New Roman" w:eastAsia="Arial" w:hAnsi="Times New Roman" w:cs="Times New Roman"/>
          <w:lang w:val="sr-Latn-CS"/>
        </w:rPr>
        <w:t>PUS</w:t>
      </w:r>
      <w:r w:rsidRPr="00A35B2B">
        <w:rPr>
          <w:rFonts w:ascii="Times New Roman" w:eastAsia="Arial" w:hAnsi="Times New Roman" w:cs="Times New Roman"/>
          <w:lang w:val="sr-Latn-CS"/>
        </w:rPr>
        <w:t xml:space="preserve">) je neophodna za identifikaciju i procenu budućih uticaja na životnu sredinu povezanih sa predloženim projektom, identifikovanje potencijalnih mogućnosti poboljšanja životne sredine i preporučivanjem bilo kakvih mera potrebnih za sprečavanje, smanjenje i ublažavanje negativnih uticaja. </w:t>
      </w:r>
    </w:p>
    <w:p w:rsidR="00A35B2B" w:rsidRPr="00A35B2B" w:rsidRDefault="00A35B2B" w:rsidP="00A35B2B">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A35B2B">
        <w:rPr>
          <w:rFonts w:ascii="Times New Roman" w:eastAsia="Arial" w:hAnsi="Times New Roman" w:cs="Times New Roman"/>
          <w:lang w:val="sr-Latn-CS"/>
        </w:rPr>
        <w:t>Sudužnik je odgovoran za pripremu izveštaja, obično o PUŽs-u. Sudužnik bi paralelno obezbedio tehničko-ekonomsku studiju izvodljivosti potprojekta. Troškovi mera ublažavanja bi bili uključeni u PUŽS i uključeni u studiju izvodljivosti.</w:t>
      </w:r>
    </w:p>
    <w:p w:rsidR="00F3731A" w:rsidRPr="003B3244" w:rsidRDefault="00A35B2B" w:rsidP="00A35B2B">
      <w:pPr>
        <w:pStyle w:val="BodyText"/>
        <w:spacing w:before="100" w:beforeAutospacing="1" w:after="100" w:afterAutospacing="1"/>
        <w:ind w:left="289" w:right="289"/>
        <w:rPr>
          <w:rFonts w:cs="Times New Roman"/>
          <w:lang w:val="sr-Latn-CS"/>
        </w:rPr>
      </w:pPr>
      <w:r w:rsidRPr="00A35B2B">
        <w:rPr>
          <w:rFonts w:cs="Times New Roman"/>
          <w:lang w:val="sr-Latn-CS"/>
        </w:rPr>
        <w:t>Za projekte iz kategorije A studija uticaja na životnu sredinu je propisana zakonom Republike Kosovo, posebno Zakonom o proceni uticaja na životnu sredinu (br. 03/L-214). Navedeni pravni akt identifikuje projekte za koje je, prema kosovskim propisima, PUŽS obavezan, kao i opcioni (zahtev nadležnog organa). Projekat ne podržava aktivnosti utvrđene u Aneksu I i Aneksu II (opciono) Zakona o proceni uticaja na životnu sredinu</w:t>
      </w:r>
      <w:r w:rsidRPr="00A35B2B">
        <w:rPr>
          <w:rFonts w:ascii="Calibri" w:eastAsia="Calibri" w:hAnsi="Calibri" w:cs="Times New Roman"/>
          <w:vertAlign w:val="superscript"/>
          <w:lang w:val="sr-Latn-CS"/>
        </w:rPr>
        <w:footnoteReference w:id="22"/>
      </w:r>
      <w:r w:rsidR="00F3731A" w:rsidRPr="003B3244">
        <w:rPr>
          <w:rFonts w:cs="Times New Roman"/>
          <w:lang w:val="sr-Latn-CS"/>
        </w:rPr>
        <w:t>.</w:t>
      </w:r>
    </w:p>
    <w:p w:rsidR="00F3731A" w:rsidRPr="003B3244" w:rsidRDefault="0012262F" w:rsidP="00F3731A">
      <w:pPr>
        <w:pStyle w:val="Heading2"/>
        <w:rPr>
          <w:lang w:val="sr-Latn-CS"/>
        </w:rPr>
      </w:pPr>
      <w:bookmarkStart w:id="23" w:name="_Toc531255622"/>
      <w:r w:rsidRPr="0012262F">
        <w:rPr>
          <w:lang w:val="sr-Latn-CS"/>
        </w:rPr>
        <w:t>Kategorija B</w:t>
      </w:r>
      <w:bookmarkEnd w:id="23"/>
    </w:p>
    <w:p w:rsidR="00F3731A" w:rsidRPr="003B3244" w:rsidRDefault="00213F4D" w:rsidP="00F3731A">
      <w:pPr>
        <w:pStyle w:val="BodyText"/>
        <w:spacing w:before="100" w:beforeAutospacing="1" w:after="100" w:afterAutospacing="1"/>
        <w:ind w:left="289" w:right="289"/>
        <w:rPr>
          <w:rFonts w:cs="Times New Roman"/>
          <w:lang w:val="sr-Latn-CS"/>
        </w:rPr>
      </w:pPr>
      <w:r w:rsidRPr="00213F4D">
        <w:rPr>
          <w:rFonts w:cs="Times New Roman"/>
          <w:lang w:val="sr-Latn-CS"/>
        </w:rPr>
        <w:t>Predloženi projekat je klasifikovan kao kategorija B, s obzirom na to da ako ima potencijalni štetan ekološki uticaj na stanovništvo ili područja koja su važna za životnu sredinu, oni su manje negativni od onih iz projekata kategorije A. Ovi uticaji su specifični za lokaciju; malo njih je neponištivo; i u većini slučajeva mere ublažavanja se mogu projektovati lakše nego za projekte kategorije A. Obim PUŽS-a za projekat kategorije B može se razlikovati od potprojekta do potprojekta kao što je PUŽS kategorije A, on ispituje potencijalne negativne i pozitivne uticaje na životnu sredinu projekta i sadrži preporuke svih  mera potrebnih za sprečavanje, smanjenje, ublažavanje ili kompenzaciju negativnih uticaja i poboljšanje ekološkog učinka</w:t>
      </w:r>
      <w:r w:rsidR="00F3731A" w:rsidRPr="003B3244">
        <w:rPr>
          <w:rFonts w:cs="Times New Roman"/>
          <w:lang w:val="sr-Latn-CS"/>
        </w:rPr>
        <w:t>.  </w:t>
      </w:r>
    </w:p>
    <w:p w:rsidR="00F3731A" w:rsidRPr="003B3244" w:rsidRDefault="000A5EBA" w:rsidP="00F3731A">
      <w:pPr>
        <w:pStyle w:val="Heading2"/>
        <w:rPr>
          <w:lang w:val="sr-Latn-CS"/>
        </w:rPr>
      </w:pPr>
      <w:bookmarkStart w:id="24" w:name="_Toc531255623"/>
      <w:r w:rsidRPr="000A5EBA">
        <w:rPr>
          <w:lang w:val="sr-Latn-CS"/>
        </w:rPr>
        <w:t>Kategorija B+</w:t>
      </w:r>
      <w:bookmarkEnd w:id="24"/>
    </w:p>
    <w:p w:rsidR="00F3731A" w:rsidRPr="003B3244" w:rsidRDefault="0025449D" w:rsidP="00F3731A">
      <w:pPr>
        <w:pStyle w:val="BodyText"/>
        <w:spacing w:before="100" w:beforeAutospacing="1" w:after="100" w:afterAutospacing="1"/>
        <w:ind w:left="289" w:right="289"/>
        <w:rPr>
          <w:rFonts w:cs="Times New Roman"/>
          <w:lang w:val="sr-Latn-CS"/>
        </w:rPr>
      </w:pPr>
      <w:r w:rsidRPr="0025449D">
        <w:rPr>
          <w:rFonts w:ascii="Calibri" w:eastAsia="Calibri" w:hAnsi="Calibri" w:cs="Times New Roman"/>
          <w:lang w:val="sr-Latn-CS"/>
        </w:rPr>
        <w:t xml:space="preserve">Za projekte kategorije B+, dužnik je odgovoran za pripremu potpunog PUŽS-a (u zavisnosti od mišljenja Ministarstva za životnu sredinu i prostorno planiranje ili gradske uprave ili prethodnog-PUŽS-a (jednostavniji </w:t>
      </w:r>
      <w:r w:rsidRPr="0025449D">
        <w:rPr>
          <w:rFonts w:ascii="Calibri" w:eastAsia="Calibri" w:hAnsi="Calibri" w:cs="Times New Roman"/>
          <w:lang w:val="sr-Latn-CS"/>
        </w:rPr>
        <w:lastRenderedPageBreak/>
        <w:t xml:space="preserve">oblik PUŽS-a) koji uključuje, po potrebi, elemente drugih instrumenata koji mogu jednostavno zahtevati preciziranje jasno definisanih mera za ublažavanje i usvajanje prihvaćenih operativnih postupaka. Sudužnik bi paralelno obezbedio tehničko-ekonomsku studiju izvodljivosti potprojekta. Troškovi mera ublažavanja bi bili uključeni u PUŽS ili </w:t>
      </w:r>
      <w:r w:rsidR="000818B6">
        <w:rPr>
          <w:rFonts w:ascii="Calibri" w:eastAsia="Calibri" w:hAnsi="Calibri" w:cs="Times New Roman"/>
          <w:lang w:val="sr-Latn-CS"/>
        </w:rPr>
        <w:t>PUSŽS</w:t>
      </w:r>
      <w:r w:rsidRPr="0025449D">
        <w:rPr>
          <w:rFonts w:ascii="Calibri" w:eastAsia="Calibri" w:hAnsi="Calibri" w:cs="Times New Roman"/>
          <w:lang w:val="sr-Latn-CS"/>
        </w:rPr>
        <w:t xml:space="preserve"> i u studiju izvodljivosti</w:t>
      </w:r>
      <w:r w:rsidR="00F3731A" w:rsidRPr="003B3244">
        <w:rPr>
          <w:rFonts w:cs="Times New Roman"/>
          <w:lang w:val="sr-Latn-CS"/>
        </w:rPr>
        <w:t>.</w:t>
      </w:r>
    </w:p>
    <w:p w:rsidR="00F3731A" w:rsidRPr="003B3244" w:rsidRDefault="0025449D" w:rsidP="00F3731A">
      <w:pPr>
        <w:pStyle w:val="Heading2"/>
        <w:rPr>
          <w:lang w:val="sr-Latn-CS"/>
        </w:rPr>
      </w:pPr>
      <w:bookmarkStart w:id="25" w:name="_Toc531255624"/>
      <w:r w:rsidRPr="0025449D">
        <w:rPr>
          <w:lang w:val="sr-Latn-CS"/>
        </w:rPr>
        <w:t>Kategorija B-</w:t>
      </w:r>
      <w:bookmarkEnd w:id="25"/>
      <w:r>
        <w:rPr>
          <w:lang w:val="sr-Latn-CS"/>
        </w:rPr>
        <w:t xml:space="preserve"> </w:t>
      </w:r>
    </w:p>
    <w:p w:rsidR="0083389E" w:rsidRPr="0083389E" w:rsidRDefault="0083389E" w:rsidP="0083389E">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83389E">
        <w:rPr>
          <w:rFonts w:ascii="Times New Roman" w:eastAsia="Arial" w:hAnsi="Times New Roman" w:cs="Times New Roman"/>
          <w:lang w:val="sr-Latn-CS"/>
        </w:rPr>
        <w:t xml:space="preserve">Projekti kategorije B- u okviru PŽS-a zahtevaju procenu eventualnih budućih uticaja na životnu sredinu vezano za predloženi projekat, identifikaciju potencijalnih mogućnosti poboljšanja životne sredine i preporuku svih mera potrebnih za sprečavanje, smanjenje i ublažavanje negativnih uticaja. Obim i format PŽS-a će se razlikovati u zavisnosti od projekta, ali će obično biti uži od opsega PUŽS-a, obično u obliku </w:t>
      </w:r>
      <w:r w:rsidR="000818B6">
        <w:rPr>
          <w:rFonts w:ascii="Times New Roman" w:eastAsia="Arial" w:hAnsi="Times New Roman" w:cs="Times New Roman"/>
          <w:lang w:val="sr-Latn-CS"/>
        </w:rPr>
        <w:t>PUSŽS</w:t>
      </w:r>
      <w:r w:rsidRPr="0083389E">
        <w:rPr>
          <w:rFonts w:ascii="Times New Roman" w:eastAsia="Arial" w:hAnsi="Times New Roman" w:cs="Times New Roman"/>
          <w:lang w:val="sr-Latn-CS"/>
        </w:rPr>
        <w:t xml:space="preserve">-a (pun </w:t>
      </w:r>
      <w:r w:rsidR="000818B6">
        <w:rPr>
          <w:rFonts w:ascii="Times New Roman" w:eastAsia="Arial" w:hAnsi="Times New Roman" w:cs="Times New Roman"/>
          <w:lang w:val="sr-Latn-CS"/>
        </w:rPr>
        <w:t>PUSŽS</w:t>
      </w:r>
      <w:r w:rsidRPr="0083389E">
        <w:rPr>
          <w:rFonts w:ascii="Times New Roman" w:eastAsia="Arial" w:hAnsi="Times New Roman" w:cs="Times New Roman"/>
          <w:lang w:val="sr-Latn-CS"/>
        </w:rPr>
        <w:t xml:space="preserve"> ili kontrolna lista </w:t>
      </w:r>
      <w:r w:rsidR="000818B6">
        <w:rPr>
          <w:rFonts w:ascii="Times New Roman" w:eastAsia="Arial" w:hAnsi="Times New Roman" w:cs="Times New Roman"/>
          <w:lang w:val="sr-Latn-CS"/>
        </w:rPr>
        <w:t>PUSŽS</w:t>
      </w:r>
      <w:r w:rsidRPr="0083389E">
        <w:rPr>
          <w:rFonts w:ascii="Times New Roman" w:eastAsia="Arial" w:hAnsi="Times New Roman" w:cs="Times New Roman"/>
          <w:lang w:val="sr-Latn-CS"/>
        </w:rPr>
        <w:t xml:space="preserve">-a). </w:t>
      </w:r>
    </w:p>
    <w:p w:rsidR="0083389E" w:rsidRPr="0083389E" w:rsidRDefault="0083389E" w:rsidP="0083389E">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83389E">
        <w:rPr>
          <w:rFonts w:ascii="Times New Roman" w:eastAsia="Arial" w:hAnsi="Times New Roman" w:cs="Times New Roman"/>
          <w:lang w:val="sr-Latn-CS"/>
        </w:rPr>
        <w:t xml:space="preserve">Obim </w:t>
      </w:r>
      <w:r w:rsidR="000818B6">
        <w:rPr>
          <w:rFonts w:ascii="Times New Roman" w:eastAsia="Arial" w:hAnsi="Times New Roman" w:cs="Times New Roman"/>
          <w:lang w:val="sr-Latn-CS"/>
        </w:rPr>
        <w:t>PUSŽS</w:t>
      </w:r>
      <w:r w:rsidRPr="0083389E">
        <w:rPr>
          <w:rFonts w:ascii="Times New Roman" w:eastAsia="Arial" w:hAnsi="Times New Roman" w:cs="Times New Roman"/>
          <w:lang w:val="sr-Latn-CS"/>
        </w:rPr>
        <w:t xml:space="preserve">-a je definisan u Aneksu 4. Za projekte koji uključuju jednostavne nadogradnje, rekonstrukciju ili adaptaciju zgrada biće korišćena kontrolna lista </w:t>
      </w:r>
      <w:r w:rsidR="000818B6">
        <w:rPr>
          <w:rFonts w:ascii="Times New Roman" w:eastAsia="Arial" w:hAnsi="Times New Roman" w:cs="Times New Roman"/>
          <w:lang w:val="sr-Latn-CS"/>
        </w:rPr>
        <w:t>PUSŽS</w:t>
      </w:r>
      <w:r w:rsidRPr="0083389E">
        <w:rPr>
          <w:rFonts w:ascii="Times New Roman" w:eastAsia="Arial" w:hAnsi="Times New Roman" w:cs="Times New Roman"/>
          <w:lang w:val="sr-Latn-CS"/>
        </w:rPr>
        <w:t xml:space="preserve">-a (videti Aneks 3). </w:t>
      </w:r>
    </w:p>
    <w:p w:rsidR="0083389E" w:rsidRPr="0083389E" w:rsidRDefault="0083389E" w:rsidP="0083389E">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83389E">
        <w:rPr>
          <w:rFonts w:ascii="Times New Roman" w:eastAsia="Arial" w:hAnsi="Times New Roman" w:cs="Times New Roman"/>
          <w:lang w:val="sr-Latn-CS"/>
        </w:rPr>
        <w:t xml:space="preserve">Kategorija B- uključuje potprojekte koji takođe: (a) uključuju kredite za obrtni kapital koji obuhvataju kupovinu i/ili upotrebu opasnih materija (npr. pesticide) ili (b) kredite za poboljšanje procesa koji uključuju nabavku opreme/mašina koji predstavlja značajan potencijal za zdravstveni ili bezbednosni rizik. </w:t>
      </w:r>
    </w:p>
    <w:p w:rsidR="00F3731A" w:rsidRPr="003B3244" w:rsidRDefault="0083389E" w:rsidP="0083389E">
      <w:pPr>
        <w:pStyle w:val="BodyText"/>
        <w:spacing w:before="100" w:beforeAutospacing="1" w:after="100" w:afterAutospacing="1"/>
        <w:ind w:left="289" w:right="289"/>
        <w:rPr>
          <w:rFonts w:cs="Times New Roman"/>
          <w:lang w:val="sr-Latn-CS"/>
        </w:rPr>
      </w:pPr>
      <w:r w:rsidRPr="0083389E">
        <w:rPr>
          <w:rFonts w:cs="Times New Roman"/>
          <w:lang w:val="sr-Latn-CS"/>
        </w:rPr>
        <w:t>Predloženi projekat je klasifikovan kao kategorija B- ako njegovi budući uticaji na životnu sredinu budu manje negativni od onih iz projekata kategorije A i B+ uzimajući u obzir njihovu prirodu, veličinu i lokaciju, kao i karakteristike potencijalnih uticaja na životnu sredinu</w:t>
      </w:r>
      <w:r w:rsidR="00F3731A" w:rsidRPr="003B3244">
        <w:rPr>
          <w:rFonts w:cs="Times New Roman"/>
          <w:lang w:val="sr-Latn-CS"/>
        </w:rPr>
        <w:t xml:space="preserve">. </w:t>
      </w:r>
    </w:p>
    <w:p w:rsidR="00F3731A" w:rsidRPr="003B3244" w:rsidRDefault="0083389E" w:rsidP="00F3731A">
      <w:pPr>
        <w:pStyle w:val="Heading2"/>
        <w:rPr>
          <w:lang w:val="sr-Latn-CS"/>
        </w:rPr>
      </w:pPr>
      <w:bookmarkStart w:id="26" w:name="_Toc531255625"/>
      <w:r w:rsidRPr="0083389E">
        <w:rPr>
          <w:lang w:val="sr-Latn-CS"/>
        </w:rPr>
        <w:t>Kategorija C</w:t>
      </w:r>
      <w:bookmarkEnd w:id="26"/>
    </w:p>
    <w:p w:rsidR="00F3731A" w:rsidRPr="003B3244" w:rsidRDefault="0083389E" w:rsidP="00F3731A">
      <w:pPr>
        <w:pStyle w:val="BodyText"/>
        <w:spacing w:before="100" w:beforeAutospacing="1" w:after="100" w:afterAutospacing="1"/>
        <w:ind w:left="289" w:right="289"/>
        <w:rPr>
          <w:rFonts w:cs="Times New Roman"/>
          <w:lang w:val="sr-Latn-CS"/>
        </w:rPr>
      </w:pPr>
      <w:r w:rsidRPr="0083389E">
        <w:rPr>
          <w:rFonts w:cs="Times New Roman"/>
          <w:lang w:val="sr-Latn-CS"/>
        </w:rPr>
        <w:t>Predloženi projekat je klasifikovan kao kategorija C ako postoji velika verovatnoća da ima minimalne ili nikakve štetne uticaje na životnu sredinu i zbog toga ne zahteva ni PUŽS niti analizu životne sredine. Osim procene, za projekat kategorije C nisu potrebne dalje mere PŽS-a</w:t>
      </w:r>
      <w:r w:rsidR="00F3731A" w:rsidRPr="003B3244">
        <w:rPr>
          <w:rFonts w:cs="Times New Roman"/>
          <w:lang w:val="sr-Latn-CS"/>
        </w:rPr>
        <w:t>.</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6435"/>
      </w:tblGrid>
      <w:tr w:rsidR="00A966AA" w:rsidRPr="00627140" w:rsidTr="003B3244">
        <w:trPr>
          <w:trHeight w:val="764"/>
          <w:jc w:val="center"/>
        </w:trPr>
        <w:tc>
          <w:tcPr>
            <w:tcW w:w="2115" w:type="dxa"/>
          </w:tcPr>
          <w:p w:rsidR="00A966AA" w:rsidRDefault="00A966AA" w:rsidP="00EF0E9D">
            <w:pPr>
              <w:jc w:val="center"/>
              <w:rPr>
                <w:rFonts w:ascii="Times New Roman" w:hAnsi="Times New Roman" w:cs="Times New Roman"/>
                <w:b/>
                <w:lang w:val="sr-Latn-CS"/>
              </w:rPr>
            </w:pPr>
          </w:p>
          <w:p w:rsidR="00A966AA" w:rsidRDefault="00A966AA" w:rsidP="00EF0E9D">
            <w:pPr>
              <w:jc w:val="center"/>
              <w:rPr>
                <w:rFonts w:ascii="Times New Roman" w:hAnsi="Times New Roman" w:cs="Times New Roman"/>
                <w:b/>
                <w:lang w:val="sr-Latn-CS"/>
              </w:rPr>
            </w:pPr>
            <w:r>
              <w:rPr>
                <w:rFonts w:ascii="Times New Roman" w:hAnsi="Times New Roman" w:cs="Times New Roman"/>
                <w:b/>
                <w:lang w:val="sr-Latn-CS"/>
              </w:rPr>
              <w:t>Kategorija životne sredine</w:t>
            </w:r>
          </w:p>
          <w:p w:rsidR="00A966AA" w:rsidRDefault="00A966AA" w:rsidP="00EF0E9D">
            <w:pPr>
              <w:jc w:val="center"/>
              <w:rPr>
                <w:rFonts w:ascii="Times New Roman" w:hAnsi="Times New Roman" w:cs="Times New Roman"/>
                <w:b/>
                <w:lang w:val="sr-Latn-CS"/>
              </w:rPr>
            </w:pPr>
          </w:p>
        </w:tc>
        <w:tc>
          <w:tcPr>
            <w:tcW w:w="6435" w:type="dxa"/>
          </w:tcPr>
          <w:p w:rsidR="00A966AA" w:rsidRDefault="00A966AA" w:rsidP="00EF0E9D">
            <w:pPr>
              <w:ind w:left="720"/>
              <w:jc w:val="center"/>
              <w:rPr>
                <w:rFonts w:ascii="Times New Roman" w:hAnsi="Times New Roman" w:cs="Times New Roman"/>
                <w:b/>
                <w:lang w:val="sr-Latn-CS"/>
              </w:rPr>
            </w:pPr>
          </w:p>
          <w:p w:rsidR="00A966AA" w:rsidRDefault="00A966AA" w:rsidP="00EF0E9D">
            <w:pPr>
              <w:ind w:left="720"/>
              <w:jc w:val="center"/>
              <w:rPr>
                <w:rFonts w:ascii="Times New Roman" w:hAnsi="Times New Roman" w:cs="Times New Roman"/>
                <w:b/>
                <w:lang w:val="sr-Latn-CS"/>
              </w:rPr>
            </w:pPr>
            <w:r>
              <w:rPr>
                <w:rFonts w:ascii="Times New Roman" w:hAnsi="Times New Roman" w:cs="Times New Roman"/>
                <w:b/>
                <w:lang w:val="sr-Latn-CS"/>
              </w:rPr>
              <w:t>Dokumentacija o zaštiti životne sredine koja će se uključiti u paket zahteva za sufinansiranje</w:t>
            </w:r>
          </w:p>
        </w:tc>
      </w:tr>
      <w:tr w:rsidR="00A966AA" w:rsidRPr="00627140" w:rsidTr="003B3244">
        <w:trPr>
          <w:jc w:val="center"/>
        </w:trPr>
        <w:tc>
          <w:tcPr>
            <w:tcW w:w="2115" w:type="dxa"/>
            <w:vAlign w:val="center"/>
          </w:tcPr>
          <w:p w:rsidR="00A966AA" w:rsidRDefault="00A966AA" w:rsidP="00EF0E9D">
            <w:pPr>
              <w:jc w:val="center"/>
              <w:rPr>
                <w:rFonts w:ascii="Times New Roman" w:hAnsi="Times New Roman" w:cs="Times New Roman"/>
                <w:lang w:val="sr-Latn-CS"/>
              </w:rPr>
            </w:pPr>
            <w:r>
              <w:rPr>
                <w:rFonts w:ascii="Times New Roman" w:hAnsi="Times New Roman" w:cs="Times New Roman"/>
                <w:lang w:val="sr-Latn-CS"/>
              </w:rPr>
              <w:t>Kategorija C</w:t>
            </w:r>
          </w:p>
        </w:tc>
        <w:tc>
          <w:tcPr>
            <w:tcW w:w="6435" w:type="dxa"/>
          </w:tcPr>
          <w:p w:rsidR="00A966AA" w:rsidRDefault="00A966AA" w:rsidP="00EF0E9D">
            <w:pPr>
              <w:ind w:left="720"/>
              <w:rPr>
                <w:rFonts w:ascii="Times New Roman" w:hAnsi="Times New Roman" w:cs="Times New Roman"/>
                <w:lang w:val="sr-Latn-CS"/>
              </w:rPr>
            </w:pPr>
          </w:p>
          <w:p w:rsidR="00A966AA" w:rsidRDefault="00A966AA" w:rsidP="00EF0E9D">
            <w:pPr>
              <w:ind w:left="720"/>
              <w:rPr>
                <w:rFonts w:ascii="Times New Roman" w:hAnsi="Times New Roman" w:cs="Times New Roman"/>
                <w:lang w:val="sr-Latn-CS"/>
              </w:rPr>
            </w:pPr>
            <w:r>
              <w:rPr>
                <w:rFonts w:ascii="Times New Roman" w:hAnsi="Times New Roman" w:cs="Times New Roman"/>
                <w:lang w:val="sr-Latn-CS"/>
              </w:rPr>
              <w:t>Obrazloženje za kategoriju</w:t>
            </w:r>
          </w:p>
          <w:p w:rsidR="00A966AA" w:rsidRDefault="00A966AA" w:rsidP="00EF0E9D">
            <w:pPr>
              <w:ind w:left="720"/>
              <w:rPr>
                <w:rFonts w:ascii="Times New Roman" w:hAnsi="Times New Roman" w:cs="Times New Roman"/>
                <w:lang w:val="sr-Latn-CS"/>
              </w:rPr>
            </w:pPr>
            <w:r>
              <w:rPr>
                <w:rFonts w:ascii="Times New Roman" w:hAnsi="Times New Roman" w:cs="Times New Roman"/>
                <w:lang w:val="sr-Latn-CS"/>
              </w:rPr>
              <w:t>(Bilo koje zvanično odobrenje / dozvola ako je primenjivo)</w:t>
            </w:r>
          </w:p>
          <w:p w:rsidR="00A966AA" w:rsidRDefault="00A966AA" w:rsidP="00EF0E9D">
            <w:pPr>
              <w:ind w:left="720"/>
              <w:rPr>
                <w:rFonts w:ascii="Times New Roman" w:hAnsi="Times New Roman" w:cs="Times New Roman"/>
                <w:lang w:val="sr-Latn-CS"/>
              </w:rPr>
            </w:pPr>
          </w:p>
        </w:tc>
      </w:tr>
      <w:tr w:rsidR="00A966AA" w:rsidRPr="00627140" w:rsidTr="003B3244">
        <w:trPr>
          <w:jc w:val="center"/>
        </w:trPr>
        <w:tc>
          <w:tcPr>
            <w:tcW w:w="2115" w:type="dxa"/>
            <w:vAlign w:val="center"/>
          </w:tcPr>
          <w:p w:rsidR="00A966AA" w:rsidRDefault="00A966AA" w:rsidP="00EF0E9D">
            <w:pPr>
              <w:jc w:val="center"/>
              <w:rPr>
                <w:rFonts w:ascii="Times New Roman" w:hAnsi="Times New Roman" w:cs="Times New Roman"/>
                <w:lang w:val="sr-Latn-CS"/>
              </w:rPr>
            </w:pPr>
            <w:r>
              <w:rPr>
                <w:rFonts w:ascii="Times New Roman" w:hAnsi="Times New Roman" w:cs="Times New Roman"/>
                <w:lang w:val="sr-Latn-CS"/>
              </w:rPr>
              <w:t>Kategorija B-</w:t>
            </w:r>
          </w:p>
          <w:p w:rsidR="00A966AA" w:rsidRDefault="00A966AA" w:rsidP="00EF0E9D">
            <w:pPr>
              <w:jc w:val="center"/>
              <w:rPr>
                <w:rFonts w:ascii="Times New Roman" w:hAnsi="Times New Roman" w:cs="Times New Roman"/>
                <w:lang w:val="sr-Latn-CS"/>
              </w:rPr>
            </w:pPr>
          </w:p>
        </w:tc>
        <w:tc>
          <w:tcPr>
            <w:tcW w:w="6435" w:type="dxa"/>
          </w:tcPr>
          <w:p w:rsidR="00A966AA" w:rsidRDefault="00A966AA" w:rsidP="00EF0E9D">
            <w:pPr>
              <w:ind w:left="720"/>
              <w:jc w:val="both"/>
              <w:rPr>
                <w:rFonts w:ascii="Times New Roman" w:hAnsi="Times New Roman" w:cs="Times New Roman"/>
                <w:lang w:val="sr-Latn-CS"/>
              </w:rPr>
            </w:pPr>
          </w:p>
          <w:p w:rsidR="00A966AA" w:rsidRDefault="00A966AA" w:rsidP="00EF0E9D">
            <w:pPr>
              <w:ind w:left="720"/>
              <w:jc w:val="both"/>
              <w:rPr>
                <w:rFonts w:ascii="Times New Roman" w:hAnsi="Times New Roman" w:cs="Times New Roman"/>
                <w:lang w:val="sr-Latn-CS"/>
              </w:rPr>
            </w:pPr>
            <w:r>
              <w:rPr>
                <w:rFonts w:ascii="Times New Roman" w:hAnsi="Times New Roman" w:cs="Times New Roman"/>
                <w:lang w:val="sr-Latn-CS"/>
              </w:rPr>
              <w:t>Bilo koje zvanično odobrenje/dozvola (ako je primenjivo)</w:t>
            </w:r>
          </w:p>
          <w:p w:rsidR="00A966AA" w:rsidRDefault="000818B6" w:rsidP="00EF0E9D">
            <w:pPr>
              <w:pStyle w:val="ListParagraph"/>
              <w:widowControl/>
              <w:numPr>
                <w:ilvl w:val="0"/>
                <w:numId w:val="13"/>
              </w:numPr>
              <w:autoSpaceDE/>
              <w:autoSpaceDN/>
              <w:spacing w:before="0"/>
              <w:contextualSpacing/>
              <w:rPr>
                <w:lang w:val="sr-Latn-CS"/>
              </w:rPr>
            </w:pPr>
            <w:r>
              <w:rPr>
                <w:lang w:val="sr-Latn-CS"/>
              </w:rPr>
              <w:t>PUSŽS</w:t>
            </w:r>
            <w:r w:rsidR="00A966AA">
              <w:rPr>
                <w:lang w:val="sr-Latn-CS"/>
              </w:rPr>
              <w:t xml:space="preserve"> (Aneks 4); ili</w:t>
            </w:r>
          </w:p>
          <w:p w:rsidR="00A966AA" w:rsidRDefault="00A966AA" w:rsidP="00EF0E9D">
            <w:pPr>
              <w:pStyle w:val="ListParagraph"/>
              <w:widowControl/>
              <w:numPr>
                <w:ilvl w:val="0"/>
                <w:numId w:val="13"/>
              </w:numPr>
              <w:autoSpaceDE/>
              <w:autoSpaceDN/>
              <w:spacing w:before="0"/>
              <w:contextualSpacing/>
              <w:rPr>
                <w:lang w:val="sr-Latn-CS"/>
              </w:rPr>
            </w:pPr>
            <w:r>
              <w:rPr>
                <w:lang w:val="sr-Latn-CS"/>
              </w:rPr>
              <w:t xml:space="preserve">Kontrolna lista </w:t>
            </w:r>
            <w:r w:rsidR="000818B6">
              <w:rPr>
                <w:lang w:val="sr-Latn-CS"/>
              </w:rPr>
              <w:t>PUSŽS</w:t>
            </w:r>
            <w:r>
              <w:rPr>
                <w:lang w:val="sr-Latn-CS"/>
              </w:rPr>
              <w:t>-a (Aneks 3)</w:t>
            </w:r>
          </w:p>
          <w:p w:rsidR="00A966AA" w:rsidRDefault="00A966AA" w:rsidP="00EF0E9D">
            <w:pPr>
              <w:ind w:left="720"/>
              <w:jc w:val="both"/>
              <w:rPr>
                <w:rFonts w:ascii="Times New Roman" w:hAnsi="Times New Roman" w:cs="Times New Roman"/>
                <w:b/>
                <w:bCs/>
                <w:lang w:val="sr-Latn-CS"/>
              </w:rPr>
            </w:pPr>
          </w:p>
        </w:tc>
      </w:tr>
      <w:tr w:rsidR="00A966AA" w:rsidRPr="003B3244" w:rsidTr="003B3244">
        <w:trPr>
          <w:jc w:val="center"/>
        </w:trPr>
        <w:tc>
          <w:tcPr>
            <w:tcW w:w="2115" w:type="dxa"/>
            <w:vAlign w:val="center"/>
          </w:tcPr>
          <w:p w:rsidR="00A966AA" w:rsidRDefault="00A966AA" w:rsidP="00EF0E9D">
            <w:pPr>
              <w:jc w:val="center"/>
              <w:rPr>
                <w:rFonts w:ascii="Times New Roman" w:hAnsi="Times New Roman" w:cs="Times New Roman"/>
                <w:lang w:val="sr-Latn-CS"/>
              </w:rPr>
            </w:pPr>
            <w:r>
              <w:rPr>
                <w:rFonts w:ascii="Times New Roman" w:hAnsi="Times New Roman" w:cs="Times New Roman"/>
                <w:lang w:val="sr-Latn-CS"/>
              </w:rPr>
              <w:t>Kategorija B+</w:t>
            </w:r>
          </w:p>
        </w:tc>
        <w:tc>
          <w:tcPr>
            <w:tcW w:w="6435" w:type="dxa"/>
          </w:tcPr>
          <w:p w:rsidR="00A966AA" w:rsidRDefault="00A966AA" w:rsidP="00EF0E9D">
            <w:pPr>
              <w:ind w:left="720"/>
              <w:jc w:val="both"/>
              <w:rPr>
                <w:rFonts w:ascii="Times New Roman" w:hAnsi="Times New Roman" w:cs="Times New Roman"/>
                <w:lang w:val="sr-Latn-CS"/>
              </w:rPr>
            </w:pPr>
          </w:p>
          <w:p w:rsidR="00A966AA" w:rsidRDefault="00A966AA" w:rsidP="00EF0E9D">
            <w:pPr>
              <w:ind w:left="720"/>
              <w:jc w:val="both"/>
              <w:rPr>
                <w:rFonts w:ascii="Times New Roman" w:hAnsi="Times New Roman" w:cs="Times New Roman"/>
                <w:lang w:val="sr-Latn-CS"/>
              </w:rPr>
            </w:pPr>
            <w:r>
              <w:rPr>
                <w:rFonts w:ascii="Times New Roman" w:hAnsi="Times New Roman" w:cs="Times New Roman"/>
                <w:lang w:val="sr-Latn-CS"/>
              </w:rPr>
              <w:t xml:space="preserve">Opcija 1) </w:t>
            </w:r>
          </w:p>
          <w:p w:rsidR="00A966AA" w:rsidRDefault="00A966AA" w:rsidP="00EF0E9D">
            <w:pPr>
              <w:ind w:left="720"/>
              <w:jc w:val="both"/>
              <w:rPr>
                <w:rFonts w:ascii="Times New Roman" w:hAnsi="Times New Roman" w:cs="Times New Roman"/>
                <w:lang w:val="sr-Latn-CS"/>
              </w:rPr>
            </w:pPr>
            <w:r>
              <w:rPr>
                <w:rFonts w:ascii="Times New Roman" w:hAnsi="Times New Roman" w:cs="Times New Roman"/>
                <w:lang w:val="sr-Latn-CS"/>
              </w:rPr>
              <w:t xml:space="preserve">Bilo koje zvanično odobrenje/dozvola </w:t>
            </w:r>
          </w:p>
          <w:p w:rsidR="00A966AA" w:rsidRDefault="00A966AA" w:rsidP="00EF0E9D">
            <w:pPr>
              <w:ind w:left="720"/>
              <w:jc w:val="both"/>
              <w:rPr>
                <w:rFonts w:ascii="Times New Roman" w:hAnsi="Times New Roman" w:cs="Times New Roman"/>
                <w:lang w:val="sr-Latn-CS"/>
              </w:rPr>
            </w:pPr>
            <w:r>
              <w:rPr>
                <w:rFonts w:ascii="Times New Roman" w:hAnsi="Times New Roman" w:cs="Times New Roman"/>
                <w:lang w:val="sr-Latn-CS"/>
              </w:rPr>
              <w:t xml:space="preserve">Izjava „PUŽS nije </w:t>
            </w:r>
            <w:r w:rsidR="006C775B">
              <w:rPr>
                <w:rFonts w:ascii="Times New Roman" w:hAnsi="Times New Roman" w:cs="Times New Roman"/>
                <w:lang w:val="sr-Latn-CS"/>
              </w:rPr>
              <w:t>potreban</w:t>
            </w:r>
            <w:r>
              <w:rPr>
                <w:rFonts w:ascii="Times New Roman" w:hAnsi="Times New Roman" w:cs="Times New Roman"/>
                <w:lang w:val="sr-Latn-CS"/>
              </w:rPr>
              <w:t>“ (ako je primenjivo)</w:t>
            </w:r>
          </w:p>
          <w:p w:rsidR="00A966AA" w:rsidRDefault="00A966AA" w:rsidP="00EF0E9D">
            <w:pPr>
              <w:ind w:left="720"/>
              <w:jc w:val="both"/>
              <w:rPr>
                <w:rFonts w:ascii="Times New Roman" w:hAnsi="Times New Roman" w:cs="Times New Roman"/>
                <w:lang w:val="sr-Latn-CS"/>
              </w:rPr>
            </w:pPr>
            <w:r>
              <w:rPr>
                <w:rFonts w:ascii="Times New Roman" w:hAnsi="Times New Roman" w:cs="Times New Roman"/>
                <w:lang w:val="sr-Latn-CS"/>
              </w:rPr>
              <w:lastRenderedPageBreak/>
              <w:t>Izveštaj o prethodnom PUŽS-u (ako je primenjivo)</w:t>
            </w:r>
          </w:p>
          <w:p w:rsidR="00A966AA" w:rsidRDefault="000818B6" w:rsidP="00EF0E9D">
            <w:pPr>
              <w:ind w:left="720"/>
              <w:jc w:val="both"/>
              <w:rPr>
                <w:rFonts w:ascii="Times New Roman" w:hAnsi="Times New Roman" w:cs="Times New Roman"/>
                <w:lang w:val="sr-Latn-CS"/>
              </w:rPr>
            </w:pPr>
            <w:r>
              <w:rPr>
                <w:rFonts w:ascii="Times New Roman" w:hAnsi="Times New Roman" w:cs="Times New Roman"/>
                <w:lang w:val="sr-Latn-CS"/>
              </w:rPr>
              <w:t>PUSŽS</w:t>
            </w:r>
            <w:r w:rsidR="00A966AA">
              <w:rPr>
                <w:rFonts w:ascii="Times New Roman" w:hAnsi="Times New Roman" w:cs="Times New Roman"/>
                <w:lang w:val="sr-Latn-CS"/>
              </w:rPr>
              <w:t xml:space="preserve"> (Aneks 4)</w:t>
            </w:r>
          </w:p>
          <w:p w:rsidR="00A966AA" w:rsidRDefault="00A966AA" w:rsidP="00EF0E9D">
            <w:pPr>
              <w:ind w:left="720"/>
              <w:jc w:val="both"/>
              <w:rPr>
                <w:rFonts w:ascii="Times New Roman" w:hAnsi="Times New Roman" w:cs="Times New Roman"/>
                <w:lang w:val="sr-Latn-CS"/>
              </w:rPr>
            </w:pPr>
          </w:p>
          <w:p w:rsidR="00A966AA" w:rsidRDefault="00A966AA" w:rsidP="00EF0E9D">
            <w:pPr>
              <w:ind w:left="720"/>
              <w:jc w:val="both"/>
              <w:rPr>
                <w:rFonts w:ascii="Times New Roman" w:hAnsi="Times New Roman" w:cs="Times New Roman"/>
                <w:lang w:val="sr-Latn-CS"/>
              </w:rPr>
            </w:pPr>
            <w:r>
              <w:rPr>
                <w:rFonts w:ascii="Times New Roman" w:hAnsi="Times New Roman" w:cs="Times New Roman"/>
                <w:lang w:val="sr-Latn-CS"/>
              </w:rPr>
              <w:t>Opcija 2)</w:t>
            </w:r>
          </w:p>
          <w:p w:rsidR="00A966AA" w:rsidRDefault="00A966AA" w:rsidP="002179CD">
            <w:pPr>
              <w:ind w:left="720"/>
              <w:jc w:val="both"/>
              <w:rPr>
                <w:rFonts w:ascii="Times New Roman" w:hAnsi="Times New Roman" w:cs="Times New Roman"/>
                <w:lang w:val="sr-Latn-CS"/>
              </w:rPr>
            </w:pPr>
          </w:p>
        </w:tc>
      </w:tr>
    </w:tbl>
    <w:p w:rsidR="00F3731A" w:rsidRDefault="00F3731A" w:rsidP="00F3731A">
      <w:pPr>
        <w:keepNext/>
        <w:rPr>
          <w:rFonts w:ascii="Times New Roman" w:hAnsi="Times New Roman" w:cs="Times New Roman"/>
          <w:b/>
          <w:bCs/>
          <w:color w:val="172D5F"/>
          <w:lang w:val="sr-Latn-CS"/>
        </w:rPr>
      </w:pPr>
    </w:p>
    <w:p w:rsidR="00175B16" w:rsidRPr="003B3244" w:rsidRDefault="00175B16" w:rsidP="00F3731A">
      <w:pPr>
        <w:keepNext/>
        <w:rPr>
          <w:rFonts w:ascii="Times New Roman" w:hAnsi="Times New Roman" w:cs="Times New Roman"/>
          <w:b/>
          <w:bCs/>
          <w:color w:val="172D5F"/>
          <w:lang w:val="sr-Latn-CS"/>
        </w:rPr>
      </w:pPr>
    </w:p>
    <w:p w:rsidR="00F3731A" w:rsidRPr="003B3244" w:rsidRDefault="00A966AA" w:rsidP="00F3731A">
      <w:pPr>
        <w:pStyle w:val="Heading2"/>
        <w:rPr>
          <w:lang w:val="sr-Latn-CS"/>
        </w:rPr>
      </w:pPr>
      <w:bookmarkStart w:id="27" w:name="_Toc531255626"/>
      <w:r w:rsidRPr="00A966AA">
        <w:rPr>
          <w:lang w:val="sr-Latn-CS"/>
        </w:rPr>
        <w:t>Institucionalni i aranžmani sprovođenja</w:t>
      </w:r>
      <w:bookmarkEnd w:id="27"/>
    </w:p>
    <w:p w:rsidR="00F3731A" w:rsidRPr="003B3244" w:rsidRDefault="00F3731A" w:rsidP="00F3731A">
      <w:pPr>
        <w:keepNext/>
        <w:spacing w:line="20" w:lineRule="exact"/>
        <w:rPr>
          <w:rFonts w:ascii="Times New Roman" w:hAnsi="Times New Roman" w:cs="Times New Roman"/>
          <w:lang w:val="sr-Latn-CS"/>
        </w:rPr>
      </w:pPr>
    </w:p>
    <w:p w:rsidR="00F3731A" w:rsidRPr="003B3244" w:rsidRDefault="00967B8D" w:rsidP="00F3731A">
      <w:pPr>
        <w:pStyle w:val="BodyText"/>
        <w:spacing w:before="100" w:beforeAutospacing="1" w:after="100" w:afterAutospacing="1"/>
        <w:ind w:left="289" w:right="289"/>
        <w:rPr>
          <w:rFonts w:cs="Times New Roman"/>
          <w:lang w:val="sr-Latn-CS"/>
        </w:rPr>
      </w:pPr>
      <w:bookmarkStart w:id="28" w:name="_Toc256000034"/>
      <w:bookmarkStart w:id="29" w:name="_Toc256000013"/>
      <w:bookmarkStart w:id="30" w:name="_Toc433982421"/>
      <w:bookmarkStart w:id="31" w:name="_Toc475464550"/>
      <w:bookmarkStart w:id="32" w:name="_Toc512420037"/>
      <w:bookmarkStart w:id="33" w:name="_Toc525758188"/>
      <w:bookmarkStart w:id="34" w:name="_Toc525936111"/>
      <w:r w:rsidRPr="00967B8D">
        <w:rPr>
          <w:rFonts w:cs="Times New Roman"/>
          <w:lang w:val="sr-Latn-CS"/>
        </w:rPr>
        <w:t>Kosovsko Ministarstvo administracije lokalne samouprave (MALS) biće odgovorna agencija za sprovođenje projekta. Mandat MALS-a je da podrži lokalnu samoupravu i ojača kapacitete opština za pružanje ekonomičnih usluga svojim građanima. MALS nije ranije sprovodio projekte finansirane od strane Svetske banke; poseduje tehničku ekspertizu, sisteme i iskustvo u upravljanju projektima kako bi efikasno sproveo predloženi projekat, međutim, nema iskustva u zaštitnim merama. U cilju daljeg jačanja kapaciteta, MALS će podržati i tim stručnjaka, uključujući koordinatora projekta, stručnjaka za finansijsko upravljanje, stručnjaka za nabavke i konsultanta za zaštitne mere (ZM) životne sredine</w:t>
      </w:r>
      <w:r w:rsidR="00F3731A" w:rsidRPr="003B3244">
        <w:rPr>
          <w:rFonts w:cs="Times New Roman"/>
          <w:lang w:val="sr-Latn-CS"/>
        </w:rPr>
        <w:t>.</w:t>
      </w:r>
    </w:p>
    <w:p w:rsidR="00F3731A" w:rsidRPr="003B3244" w:rsidRDefault="00967B8D" w:rsidP="00F3731A">
      <w:pPr>
        <w:pStyle w:val="BodyText"/>
        <w:spacing w:before="100" w:beforeAutospacing="1" w:after="100" w:afterAutospacing="1"/>
        <w:ind w:left="289" w:right="289"/>
        <w:rPr>
          <w:rFonts w:cs="Times New Roman"/>
          <w:lang w:val="sr-Latn-CS"/>
        </w:rPr>
      </w:pPr>
      <w:r w:rsidRPr="00967B8D">
        <w:rPr>
          <w:rFonts w:cs="Times New Roman"/>
          <w:lang w:val="sr-Latn-CS"/>
        </w:rPr>
        <w:t>Konsultant za ZM životne sredine će imati iskustva u upravljanju životnom sredinom u infrastrukturnim</w:t>
      </w:r>
      <w:r>
        <w:rPr>
          <w:rFonts w:cs="Times New Roman"/>
          <w:lang w:val="sr-Latn-CS"/>
        </w:rPr>
        <w:t xml:space="preserve"> projektima i poželjno u zaštit</w:t>
      </w:r>
      <w:r w:rsidRPr="00967B8D">
        <w:rPr>
          <w:rFonts w:cs="Times New Roman"/>
          <w:lang w:val="sr-Latn-CS"/>
        </w:rPr>
        <w:t xml:space="preserve">nim merama SB-a ili drugim međunarodnim FI projektima. Konsultant će pohađati poludnevnu obuku o </w:t>
      </w:r>
      <w:r w:rsidR="000818B6">
        <w:rPr>
          <w:rFonts w:cs="Times New Roman"/>
          <w:lang w:val="sr-Latn-CS"/>
        </w:rPr>
        <w:t>OUSŽS</w:t>
      </w:r>
      <w:r w:rsidRPr="00967B8D">
        <w:rPr>
          <w:rFonts w:cs="Times New Roman"/>
          <w:lang w:val="sr-Latn-CS"/>
        </w:rPr>
        <w:t>-u i  pravilima i procedurama zaštitnih mera SB-a od strane stručnjaka za životnu sredinu SB-a</w:t>
      </w:r>
      <w:r w:rsidR="00F3731A" w:rsidRPr="003B3244">
        <w:rPr>
          <w:rFonts w:cs="Times New Roman"/>
          <w:lang w:val="sr-Latn-CS"/>
        </w:rPr>
        <w:t>.</w:t>
      </w:r>
    </w:p>
    <w:p w:rsidR="00F3731A" w:rsidRPr="003B3244" w:rsidRDefault="00B811C0" w:rsidP="00F3731A">
      <w:pPr>
        <w:pStyle w:val="BodyText"/>
        <w:spacing w:before="100" w:beforeAutospacing="1" w:after="100" w:afterAutospacing="1"/>
        <w:ind w:left="289" w:right="289"/>
        <w:rPr>
          <w:rFonts w:cs="Times New Roman"/>
          <w:lang w:val="sr-Latn-CS"/>
        </w:rPr>
      </w:pPr>
      <w:r w:rsidRPr="00B811C0">
        <w:rPr>
          <w:rFonts w:cs="Times New Roman"/>
          <w:lang w:val="sr-Latn-CS"/>
        </w:rPr>
        <w:t>Ključne funkcije MALS-a uključuju: (i) dodeljivanje podsticajnih grantova  opštinama namenjenih inicijativama usmerenim na mlade, (ii) ugovaranje partnerskih NVO-ova za vršenje fasilitacije, (iii) obezbeđivanje uklanjanja primedbi potprojekta  kako bi se osigurala usklađenost sa projektom, poverenicima i smernicama u pogledu zaštitnih mera, kao i ukupnu odgovornost za usklađenost projekta sa ZM politika SB-a i (iv)  PiE i širenje znanja. MALS će blisko sarađivati sa opštinama i omogućiti partnerskim NVO-ovima koji vrše fasilitaciju da  osiguraju efikasno sprovođenje projektnih aktivnosti. MALS će usmeravati odabrane opštine u upravljanju i pripremi poziva za podnošenje predloga projekata. Opštine će podržati napore MALS-a tako što će izdvojiti 15 procenata svojih podsticajnih grantova za inicijative mladih. Pored toga, opštine će biti odgovorne za (i) predsedavanje sastancima odbora za dodelu grantova radi procene i odabira inicijativa usmerenih na mlade, (ii) integrisanje akcionih planova za mlade u opštinske razvojne planove u cilju održivog programiranja za mlade, (iii) podršku tehničkim specifikacijama za potprojekte kada je to potrebno preko opštinskih inženjera, i (iv) potpunu podršku u sprovođenju potprojekta na opštinskom nivou. Od opština će se tražiti da obezbede fizički prostor za konsultacije i sastanke mladih aktera</w:t>
      </w:r>
      <w:r w:rsidR="00F3731A" w:rsidRPr="003B3244">
        <w:rPr>
          <w:rFonts w:cs="Times New Roman"/>
          <w:lang w:val="sr-Latn-CS"/>
        </w:rPr>
        <w:t xml:space="preserve">. </w:t>
      </w:r>
    </w:p>
    <w:p w:rsidR="00F3731A" w:rsidRPr="003B3244" w:rsidRDefault="00B811C0" w:rsidP="00F3731A">
      <w:pPr>
        <w:pStyle w:val="BodyText"/>
        <w:spacing w:before="100" w:beforeAutospacing="1" w:after="100" w:afterAutospacing="1"/>
        <w:ind w:left="289" w:right="289"/>
        <w:rPr>
          <w:rFonts w:cs="Times New Roman"/>
          <w:lang w:val="sr-Latn-CS"/>
        </w:rPr>
      </w:pPr>
      <w:r w:rsidRPr="00B811C0">
        <w:rPr>
          <w:rFonts w:cs="Times New Roman"/>
          <w:lang w:val="sr-Latn-CS"/>
        </w:rPr>
        <w:t>Postoji nekoliko NVO-ova, kako lokalnih, tako i međunarodnih, sa dugogodišnjim iskustvom u sprovođenju projekata finansiranih od strane vlade ili donatora koji podržavaju aktivnosti mladih na Kosovu, uključujući i sever Kosova sa većinskim srpskim stanovništvom. Stoga je realno da projekat može nabaviti usluge iskusnih NVO-ova kako bi se obezbedila izgradnja kapaciteta predviđenih</w:t>
      </w:r>
      <w:r w:rsidR="00B8231E">
        <w:rPr>
          <w:rFonts w:cs="Times New Roman"/>
          <w:lang w:val="sr-Latn-CS"/>
        </w:rPr>
        <w:t xml:space="preserve"> u okviru komponente 2 projekta</w:t>
      </w:r>
      <w:r w:rsidR="00F3731A" w:rsidRPr="003B3244">
        <w:rPr>
          <w:rFonts w:cs="Times New Roman"/>
          <w:lang w:val="sr-Latn-CS"/>
        </w:rPr>
        <w:t>.</w:t>
      </w:r>
    </w:p>
    <w:p w:rsidR="00F3731A" w:rsidRPr="003B3244" w:rsidRDefault="00B8231E" w:rsidP="00F3731A">
      <w:pPr>
        <w:pStyle w:val="Heading1"/>
        <w:rPr>
          <w:lang w:val="sr-Latn-CS"/>
        </w:rPr>
      </w:pPr>
      <w:bookmarkStart w:id="35" w:name="_Toc525936112"/>
      <w:bookmarkStart w:id="36" w:name="_TOC_250024"/>
      <w:bookmarkStart w:id="37" w:name="_TOC_250021"/>
      <w:bookmarkStart w:id="38" w:name="_TOC_250020"/>
      <w:bookmarkStart w:id="39" w:name="_Toc531255627"/>
      <w:bookmarkEnd w:id="28"/>
      <w:bookmarkEnd w:id="29"/>
      <w:bookmarkEnd w:id="30"/>
      <w:bookmarkEnd w:id="31"/>
      <w:bookmarkEnd w:id="32"/>
      <w:bookmarkEnd w:id="33"/>
      <w:bookmarkEnd w:id="34"/>
      <w:bookmarkEnd w:id="35"/>
      <w:bookmarkEnd w:id="36"/>
      <w:bookmarkEnd w:id="37"/>
      <w:bookmarkEnd w:id="38"/>
      <w:r w:rsidRPr="00B8231E">
        <w:rPr>
          <w:lang w:val="sr-Latn-CS"/>
        </w:rPr>
        <w:t>Politike SB-a koje se primenjuju na projekat</w:t>
      </w:r>
      <w:bookmarkEnd w:id="39"/>
    </w:p>
    <w:p w:rsidR="00F3731A" w:rsidRPr="003B3244" w:rsidRDefault="00B8231E" w:rsidP="00F3731A">
      <w:pPr>
        <w:pStyle w:val="BodyText"/>
        <w:spacing w:before="100" w:beforeAutospacing="1" w:after="100" w:afterAutospacing="1"/>
        <w:ind w:left="289" w:right="289"/>
        <w:rPr>
          <w:rFonts w:cs="Times New Roman"/>
          <w:lang w:val="sr-Latn-CS"/>
        </w:rPr>
      </w:pPr>
      <w:r w:rsidRPr="00B8231E">
        <w:rPr>
          <w:rFonts w:cs="Times New Roman"/>
          <w:lang w:val="sr-Latn-CS"/>
        </w:rPr>
        <w:t>Politike životne sredine i društvene zaštitne mere SB-a neophodne su zarad dvostrukih ciljeva SB-a u borbi protiv ekstremnog siromaštva i podsticanja zajedničkog prosperiteta. Cilj ovih politika je sprečavanje i ublažavanje nepotrebne štete nanete populacijama, njihovom životu i staništu tokom procesa razvoja. Ove politike obezbeđuju zašt</w:t>
      </w:r>
      <w:r>
        <w:rPr>
          <w:rFonts w:cs="Times New Roman"/>
          <w:lang w:val="sr-Latn-CS"/>
        </w:rPr>
        <w:t>itu životne sredine i smernice u</w:t>
      </w:r>
      <w:r w:rsidRPr="00B8231E">
        <w:rPr>
          <w:rFonts w:cs="Times New Roman"/>
          <w:lang w:val="sr-Latn-CS"/>
        </w:rPr>
        <w:t>sklađenosti za SB i zajmodavce/klijente u identifikovanju, pripremi i sprovođenju programa i projekata</w:t>
      </w:r>
      <w:r w:rsidR="00F3731A" w:rsidRPr="003B3244">
        <w:rPr>
          <w:rFonts w:cs="Times New Roman"/>
          <w:lang w:val="sr-Latn-CS"/>
        </w:rPr>
        <w:t>.</w:t>
      </w:r>
    </w:p>
    <w:p w:rsidR="00F3731A" w:rsidRPr="003B3244" w:rsidRDefault="00A228B2" w:rsidP="00F3731A">
      <w:pPr>
        <w:pStyle w:val="BodyText"/>
        <w:spacing w:before="100" w:beforeAutospacing="1" w:after="100" w:afterAutospacing="1"/>
        <w:ind w:left="289" w:right="289"/>
        <w:rPr>
          <w:rFonts w:cs="Times New Roman"/>
          <w:lang w:val="sr-Latn-CS"/>
        </w:rPr>
      </w:pPr>
      <w:r w:rsidRPr="00A228B2">
        <w:rPr>
          <w:rFonts w:cs="Times New Roman"/>
          <w:lang w:val="sr-Latn-CS"/>
        </w:rPr>
        <w:t xml:space="preserve">Prema politikama Svetske banke, projekat kome je dodeljena kategorija životne sredine B podrazumeva da se realizacijom projektnih aktivnosti ne predviđa značajan uticaj na životnu sredinu. Potprojekti koji se finansiraju u okviru projekta mogu uključivati: malu </w:t>
      </w:r>
      <w:r w:rsidR="00D0540A">
        <w:rPr>
          <w:rFonts w:cs="Times New Roman"/>
          <w:lang w:val="sr-Latn-CS"/>
        </w:rPr>
        <w:t xml:space="preserve">rehabilitaciju/prilagođavanje </w:t>
      </w:r>
      <w:r w:rsidRPr="00A228B2">
        <w:rPr>
          <w:rFonts w:cs="Times New Roman"/>
          <w:lang w:val="sr-Latn-CS"/>
        </w:rPr>
        <w:t xml:space="preserve">sportskih objekata, projektovanje zelenila i parkova, zamenu opreme (vrata, prozori, krovovi), opremu za zabavu na otvorenom, ideje koje generišu prihode za male start-up-ove, programe obuke koji generišu prihode za mlade koji nisu uključeni (krojački zanat, jezici, </w:t>
      </w:r>
      <w:r w:rsidRPr="00A228B2">
        <w:rPr>
          <w:rFonts w:cs="Times New Roman"/>
          <w:lang w:val="sr-Latn-CS"/>
        </w:rPr>
        <w:lastRenderedPageBreak/>
        <w:t>pisanje CV-a, online radne mreže za mlade itd.). Kao rezultat toga, mogući su laki građevinski radovi i potencijalne druge aktivnosti kojima je politika SB OP/BP 4.01 procena životne sredine pokrenuta</w:t>
      </w:r>
      <w:r w:rsidR="00F3731A" w:rsidRPr="003B3244">
        <w:rPr>
          <w:rFonts w:cs="Times New Roman"/>
          <w:lang w:val="sr-Latn-CS"/>
        </w:rPr>
        <w:t xml:space="preserve">. </w:t>
      </w:r>
    </w:p>
    <w:p w:rsidR="00F3731A" w:rsidRPr="003B3244" w:rsidRDefault="00A228B2" w:rsidP="00F3731A">
      <w:pPr>
        <w:pStyle w:val="BodyText"/>
        <w:spacing w:line="254" w:lineRule="auto"/>
        <w:ind w:left="840" w:right="861"/>
        <w:rPr>
          <w:rFonts w:eastAsia="Calibri" w:cs="Times New Roman"/>
          <w:i/>
          <w:color w:val="000000"/>
          <w:u w:val="single"/>
          <w:lang w:val="sr-Latn-CS"/>
        </w:rPr>
      </w:pPr>
      <w:r w:rsidRPr="00A228B2">
        <w:rPr>
          <w:rFonts w:eastAsia="Calibri" w:cs="Times New Roman"/>
          <w:i/>
          <w:color w:val="000000"/>
          <w:u w:val="single"/>
          <w:lang w:val="sr-Latn-CS"/>
        </w:rPr>
        <w:t>Deset politika i postupaka životne sredine i društvene zaštitne mere Svetske banke uspostavljaju zahteve koje će projekat ispuniti tokom životnog ciklusa, kako sledi</w:t>
      </w:r>
      <w:r w:rsidR="00F3731A" w:rsidRPr="003B3244">
        <w:rPr>
          <w:rFonts w:eastAsia="Calibri" w:cs="Times New Roman"/>
          <w:i/>
          <w:color w:val="000000"/>
          <w:u w:val="single"/>
          <w:lang w:val="sr-Latn-CS"/>
        </w:rPr>
        <w:t xml:space="preserve">: </w:t>
      </w:r>
    </w:p>
    <w:p w:rsidR="00F3731A" w:rsidRPr="003B3244" w:rsidRDefault="00F3731A" w:rsidP="00F3731A">
      <w:pPr>
        <w:pStyle w:val="BodyText"/>
        <w:spacing w:before="5"/>
        <w:rPr>
          <w:rFonts w:eastAsia="Calibri" w:cs="Times New Roman"/>
          <w:color w:val="000000"/>
          <w:lang w:val="sr-Latn-CS"/>
        </w:rPr>
      </w:pPr>
    </w:p>
    <w:p w:rsidR="00F3731A" w:rsidRPr="003B3244" w:rsidRDefault="006C73F8" w:rsidP="00F3731A">
      <w:pPr>
        <w:pStyle w:val="Heading2"/>
        <w:rPr>
          <w:rFonts w:eastAsia="Calibri"/>
          <w:lang w:val="sr-Latn-CS"/>
        </w:rPr>
      </w:pPr>
      <w:bookmarkStart w:id="40" w:name="_Toc531255628"/>
      <w:r w:rsidRPr="006C73F8">
        <w:rPr>
          <w:rFonts w:eastAsia="Calibri"/>
          <w:lang w:val="sr-Latn-CS"/>
        </w:rPr>
        <w:t>OP/BP 4.01 (Procena životne sredine</w:t>
      </w:r>
      <w:r w:rsidR="00F3731A" w:rsidRPr="003B3244">
        <w:rPr>
          <w:rFonts w:eastAsia="Calibri"/>
          <w:lang w:val="sr-Latn-CS"/>
        </w:rPr>
        <w:t>)</w:t>
      </w:r>
      <w:bookmarkEnd w:id="40"/>
    </w:p>
    <w:p w:rsidR="00F3731A" w:rsidRPr="003B3244" w:rsidRDefault="00EA7588" w:rsidP="00F3731A">
      <w:pPr>
        <w:pStyle w:val="BodyText"/>
        <w:spacing w:before="100" w:beforeAutospacing="1" w:after="100" w:afterAutospacing="1"/>
        <w:ind w:left="289" w:right="289"/>
        <w:rPr>
          <w:rFonts w:cs="Times New Roman"/>
          <w:lang w:val="sr-Latn-CS"/>
        </w:rPr>
      </w:pPr>
      <w:r w:rsidRPr="00EA7588">
        <w:rPr>
          <w:rFonts w:cs="Times New Roman"/>
          <w:lang w:val="sr-Latn-CS"/>
        </w:rPr>
        <w:t>Predloženi projekat je klasifikovan kao kategorija B i pokreće politiku zahvaljujući šemi  grantova koja će podržati lakše građevinske radove u infrastrukturi zajednice koja se odnosi na omladinu (npr. rehabilitacija i popravak omladinskih centara, parkova, učionica, omladinskih prostora u javnim zgradama). Ovi građevinski radovi mogu uzrokovati privremene i tipične uticaje na životnu sredinu na lokalnom nivou kao što su prašina i emisija buke, stvaranje otpada, rizika u vezi sa saobraćajem, rizika za zdravlje i sigurnost na radu (ZSR) i drugo. Da bi se efikasno upravljalo izazovima u oblasti životne sredine prilikom sprovođenja, MALS je izradio Okvir upravljanja životnom sredinom i procene uticaja na društvo (</w:t>
      </w:r>
      <w:r w:rsidR="000818B6">
        <w:rPr>
          <w:rFonts w:cs="Times New Roman"/>
          <w:lang w:val="sr-Latn-CS"/>
        </w:rPr>
        <w:t>PUSŽS</w:t>
      </w:r>
      <w:r w:rsidRPr="00EA7588">
        <w:rPr>
          <w:rFonts w:cs="Times New Roman"/>
          <w:lang w:val="sr-Latn-CS"/>
        </w:rPr>
        <w:t xml:space="preserve">), o kojem će biti održane javne konsultacije i koji će biti završen pre procene. Opšti </w:t>
      </w:r>
      <w:r w:rsidR="000818B6">
        <w:rPr>
          <w:rFonts w:cs="Times New Roman"/>
          <w:lang w:val="sr-Latn-CS"/>
        </w:rPr>
        <w:t>OUSŽS</w:t>
      </w:r>
      <w:r w:rsidRPr="00EA7588">
        <w:rPr>
          <w:rFonts w:cs="Times New Roman"/>
          <w:lang w:val="sr-Latn-CS"/>
        </w:rPr>
        <w:t xml:space="preserve"> je pripremljen za projekat, u skladu sa politikama SB-a i postupcima konsultacije i objavljivanja, pre procene. </w:t>
      </w:r>
      <w:r w:rsidR="000818B6">
        <w:rPr>
          <w:rFonts w:cs="Times New Roman"/>
          <w:lang w:val="sr-Latn-CS"/>
        </w:rPr>
        <w:t>OUSŽS</w:t>
      </w:r>
      <w:r w:rsidRPr="00EA7588">
        <w:rPr>
          <w:rFonts w:cs="Times New Roman"/>
          <w:lang w:val="sr-Latn-CS"/>
        </w:rPr>
        <w:t xml:space="preserve"> utvrđuje postupke i smernice za skrining i procenu potprojekta, uključujući pripremu planova upravljanja životnom sredinom i procene uticaja na društvo (</w:t>
      </w:r>
      <w:r w:rsidR="000818B6">
        <w:rPr>
          <w:rFonts w:cs="Times New Roman"/>
          <w:lang w:val="sr-Latn-CS"/>
        </w:rPr>
        <w:t>PUSŽS</w:t>
      </w:r>
      <w:r w:rsidRPr="00EA7588">
        <w:rPr>
          <w:rFonts w:cs="Times New Roman"/>
          <w:lang w:val="sr-Latn-CS"/>
        </w:rPr>
        <w:t xml:space="preserve">-ovi) i/ili kontrolnu listu </w:t>
      </w:r>
      <w:r w:rsidR="000818B6">
        <w:rPr>
          <w:rFonts w:cs="Times New Roman"/>
          <w:lang w:val="sr-Latn-CS"/>
        </w:rPr>
        <w:t>PUSŽS</w:t>
      </w:r>
      <w:r w:rsidRPr="00EA7588">
        <w:rPr>
          <w:rFonts w:cs="Times New Roman"/>
          <w:lang w:val="sr-Latn-CS"/>
        </w:rPr>
        <w:t>-a. tokom trajanja projekta o kojima će takođe biti održane javne konsultacije pre ugovaranja radova. U cilju osiguranja da su kapaciteti i resursi obezbeđeni za njihovo sprovođenje, PŽS-ovi (</w:t>
      </w:r>
      <w:r w:rsidR="000818B6">
        <w:rPr>
          <w:rFonts w:cs="Times New Roman"/>
          <w:lang w:val="sr-Latn-CS"/>
        </w:rPr>
        <w:t>PUSŽS</w:t>
      </w:r>
      <w:r w:rsidRPr="00EA7588">
        <w:rPr>
          <w:rFonts w:cs="Times New Roman"/>
          <w:lang w:val="sr-Latn-CS"/>
        </w:rPr>
        <w:t xml:space="preserve"> i kontrolna lista </w:t>
      </w:r>
      <w:r w:rsidR="000818B6">
        <w:rPr>
          <w:rFonts w:cs="Times New Roman"/>
          <w:lang w:val="sr-Latn-CS"/>
        </w:rPr>
        <w:t>PUSŽS</w:t>
      </w:r>
      <w:r w:rsidRPr="00EA7588">
        <w:rPr>
          <w:rFonts w:cs="Times New Roman"/>
          <w:lang w:val="sr-Latn-CS"/>
        </w:rPr>
        <w:t xml:space="preserve">-a) će biti sastavni deo tenderske i ugovorne dokumentacije. </w:t>
      </w:r>
      <w:r w:rsidR="000818B6">
        <w:rPr>
          <w:rFonts w:cs="Times New Roman"/>
          <w:lang w:val="sr-Latn-CS"/>
        </w:rPr>
        <w:t>OUSŽS</w:t>
      </w:r>
      <w:r w:rsidRPr="00EA7588">
        <w:rPr>
          <w:rFonts w:cs="Times New Roman"/>
          <w:lang w:val="sr-Latn-CS"/>
        </w:rPr>
        <w:t xml:space="preserve"> eliminiše kategoriju A, nepodobne i visokorizične projekte, kao i radove u zaštićenom području i radove koji proizvode uticaj na kulturno nasleđe</w:t>
      </w:r>
      <w:r w:rsidR="00F3731A" w:rsidRPr="003B3244">
        <w:rPr>
          <w:rFonts w:cs="Times New Roman"/>
          <w:lang w:val="sr-Latn-CS"/>
        </w:rPr>
        <w:t>.</w:t>
      </w:r>
    </w:p>
    <w:p w:rsidR="00F3731A" w:rsidRPr="003B3244" w:rsidRDefault="00EA7588" w:rsidP="00F3731A">
      <w:pPr>
        <w:pStyle w:val="BodyText"/>
        <w:spacing w:line="254" w:lineRule="auto"/>
        <w:ind w:left="840" w:right="856"/>
        <w:rPr>
          <w:lang w:val="sr-Latn-CS"/>
        </w:rPr>
      </w:pPr>
      <w:r w:rsidRPr="00EA7588">
        <w:rPr>
          <w:rFonts w:eastAsia="Calibri" w:cs="Times New Roman"/>
          <w:b/>
          <w:bCs/>
          <w:sz w:val="26"/>
          <w:szCs w:val="24"/>
          <w:lang w:val="sr-Cyrl-CS"/>
        </w:rPr>
        <w:t>OP/BP 4.04 (</w:t>
      </w:r>
      <w:r w:rsidRPr="00F52652">
        <w:rPr>
          <w:rFonts w:eastAsia="Calibri" w:cs="Times New Roman"/>
          <w:b/>
          <w:bCs/>
          <w:sz w:val="26"/>
          <w:szCs w:val="24"/>
          <w:lang w:val="it-IT"/>
        </w:rPr>
        <w:t>Prirodna staništa</w:t>
      </w:r>
      <w:r w:rsidRPr="00EA7588">
        <w:rPr>
          <w:rFonts w:eastAsia="Calibri" w:cs="Times New Roman"/>
          <w:b/>
          <w:bCs/>
          <w:sz w:val="26"/>
          <w:szCs w:val="24"/>
          <w:lang w:val="sr-Cyrl-CS"/>
        </w:rPr>
        <w:t>)</w:t>
      </w:r>
      <w:r w:rsidRPr="00EA7588">
        <w:rPr>
          <w:rFonts w:ascii="Calibri" w:eastAsia="Calibri" w:hAnsi="Calibri" w:cs="Times New Roman"/>
          <w:color w:val="000000"/>
          <w:lang w:val="sr-Cyrl-CS"/>
        </w:rPr>
        <w:t xml:space="preserve">- </w:t>
      </w:r>
      <w:r w:rsidRPr="00A228B2">
        <w:rPr>
          <w:rFonts w:cs="Times New Roman"/>
          <w:lang w:val="sr-Latn-CS"/>
        </w:rPr>
        <w:t>nije pokrenut</w:t>
      </w:r>
      <w:r w:rsidR="000F4C33" w:rsidRPr="00A228B2">
        <w:rPr>
          <w:rFonts w:cs="Times New Roman"/>
          <w:lang w:val="sr-Latn-CS"/>
        </w:rPr>
        <w:t>a</w:t>
      </w:r>
      <w:r w:rsidR="00F3731A" w:rsidRPr="003B3244">
        <w:rPr>
          <w:rFonts w:eastAsia="Calibri" w:cs="Times New Roman"/>
          <w:color w:val="000000"/>
          <w:lang w:val="sr-Latn-CS"/>
        </w:rPr>
        <w:t xml:space="preserve">. </w:t>
      </w:r>
    </w:p>
    <w:p w:rsidR="0013476A" w:rsidRPr="0013476A" w:rsidRDefault="0013476A" w:rsidP="0013476A">
      <w:pPr>
        <w:pStyle w:val="BodyText"/>
        <w:spacing w:before="100" w:beforeAutospacing="1" w:after="100" w:afterAutospacing="1"/>
        <w:ind w:left="289" w:right="289"/>
        <w:rPr>
          <w:rFonts w:cs="Times New Roman"/>
          <w:lang w:val="sr-Latn-CS"/>
        </w:rPr>
      </w:pPr>
      <w:r w:rsidRPr="0013476A">
        <w:rPr>
          <w:rFonts w:cs="Times New Roman"/>
          <w:lang w:val="sr-Latn-CS"/>
        </w:rPr>
        <w:t xml:space="preserve">Ova politika striktno ograničava okolnosti pod kojima svaki projekat koji podržava Banka može uticati na ili promeniti prirodna staništa (područja na kopnu i vodama gde je i dalje prisutna većina autohtonih biljnih i životinjskih vrsta), kao i parkove, prirodne prostore ili ostala područja proglašena zaštićenim područjima. Projekti moraju izbeći, minimizirati, obnavljati ili nadoknaditi sve aktivnosti koje uzrokuju degradaciju prirodnog staništa. Projekti koji bi izazvali značajnu konverziju ili degradaciju kritičnog prirodnog staništa (zakonski zaštićena područja, ili ona sa visokom vrednošću zaštite) nisu prihvatljivi za finansiranje. </w:t>
      </w:r>
    </w:p>
    <w:p w:rsidR="0013476A" w:rsidRPr="0013476A" w:rsidRDefault="0013476A" w:rsidP="0013476A">
      <w:pPr>
        <w:pStyle w:val="BodyText"/>
        <w:spacing w:before="100" w:beforeAutospacing="1" w:after="100" w:afterAutospacing="1"/>
        <w:ind w:left="289" w:right="289"/>
        <w:rPr>
          <w:rFonts w:cs="Times New Roman"/>
          <w:lang w:val="sr-Latn-CS"/>
        </w:rPr>
      </w:pPr>
      <w:r w:rsidRPr="0013476A">
        <w:rPr>
          <w:rFonts w:cs="Times New Roman"/>
          <w:lang w:val="sr-Latn-CS"/>
        </w:rPr>
        <w:t xml:space="preserve">Budući da politika nije pokrenuta, aktivnosti koje se odvijaju u zaštićenim i osetljivim područjima neće se finansirati. </w:t>
      </w:r>
    </w:p>
    <w:p w:rsidR="00F3731A" w:rsidRPr="003B3244" w:rsidRDefault="0013476A" w:rsidP="0013476A">
      <w:pPr>
        <w:pStyle w:val="BodyText"/>
        <w:spacing w:before="100" w:beforeAutospacing="1" w:after="100" w:afterAutospacing="1"/>
        <w:ind w:left="289" w:right="289"/>
        <w:rPr>
          <w:rFonts w:cs="Times New Roman"/>
          <w:lang w:val="sr-Latn-CS"/>
        </w:rPr>
      </w:pPr>
      <w:r w:rsidRPr="0013476A">
        <w:rPr>
          <w:rFonts w:cs="Times New Roman"/>
          <w:lang w:val="sr-Latn-CS"/>
        </w:rPr>
        <w:t>Intervencije malih razmera će se odvijati usled potprojektnih akti</w:t>
      </w:r>
      <w:r w:rsidR="006C775B">
        <w:rPr>
          <w:rFonts w:cs="Times New Roman"/>
          <w:lang w:val="sr-Latn-CS"/>
        </w:rPr>
        <w:t xml:space="preserve">vnosti, intervencije u sportskim dvoranama </w:t>
      </w:r>
      <w:r w:rsidRPr="0013476A">
        <w:rPr>
          <w:rFonts w:cs="Times New Roman"/>
          <w:lang w:val="sr-Latn-CS"/>
        </w:rPr>
        <w:t xml:space="preserve">ili mesta za omladinske aktivnosti mogu se odvijati u postojećim javnim zgradama ili </w:t>
      </w:r>
      <w:r w:rsidR="00726220">
        <w:rPr>
          <w:rFonts w:cs="Times New Roman"/>
          <w:lang w:val="sr-Latn-CS"/>
        </w:rPr>
        <w:t xml:space="preserve">urbanim </w:t>
      </w:r>
      <w:r w:rsidRPr="0013476A">
        <w:rPr>
          <w:rFonts w:cs="Times New Roman"/>
          <w:lang w:val="sr-Latn-CS"/>
        </w:rPr>
        <w:t xml:space="preserve">zelenim površinama </w:t>
      </w:r>
      <w:r w:rsidR="00726220">
        <w:rPr>
          <w:rFonts w:cs="Times New Roman"/>
          <w:lang w:val="sr-Latn-CS"/>
        </w:rPr>
        <w:t xml:space="preserve">(npr. </w:t>
      </w:r>
      <w:r w:rsidR="00726220" w:rsidRPr="00726220">
        <w:rPr>
          <w:rFonts w:cs="Times New Roman"/>
          <w:lang w:val="sr-Latn-CS"/>
        </w:rPr>
        <w:t>gradski parkovi</w:t>
      </w:r>
      <w:r w:rsidR="00726220">
        <w:rPr>
          <w:rFonts w:cs="Times New Roman"/>
          <w:lang w:val="sr-Latn-CS"/>
        </w:rPr>
        <w:t xml:space="preserve">)   </w:t>
      </w:r>
      <w:r w:rsidRPr="0013476A">
        <w:rPr>
          <w:rFonts w:cs="Times New Roman"/>
          <w:lang w:val="sr-Latn-CS"/>
        </w:rPr>
        <w:t xml:space="preserve">i neće uključivati zaštićena područja. Planirani radovi će biti malog obima i koristiće samo </w:t>
      </w:r>
      <w:r w:rsidR="00726220" w:rsidRPr="00726220">
        <w:rPr>
          <w:rFonts w:cs="Times New Roman"/>
          <w:lang w:val="sr-Latn-CS"/>
        </w:rPr>
        <w:t>postojeći objekti</w:t>
      </w:r>
      <w:r w:rsidR="00726220">
        <w:rPr>
          <w:rFonts w:cs="Times New Roman"/>
          <w:lang w:val="sr-Latn-CS"/>
        </w:rPr>
        <w:t xml:space="preserve"> </w:t>
      </w:r>
      <w:r w:rsidRPr="0013476A">
        <w:rPr>
          <w:rFonts w:cs="Times New Roman"/>
          <w:lang w:val="sr-Latn-CS"/>
        </w:rPr>
        <w:t>bez štetnih aktivnosti</w:t>
      </w:r>
      <w:r w:rsidR="00F3731A" w:rsidRPr="003B3244">
        <w:rPr>
          <w:rFonts w:cs="Times New Roman"/>
          <w:lang w:val="sr-Latn-CS"/>
        </w:rPr>
        <w:t xml:space="preserve">. </w:t>
      </w:r>
    </w:p>
    <w:p w:rsidR="00F3731A" w:rsidRPr="003B3244" w:rsidRDefault="0013476A" w:rsidP="00F3731A">
      <w:pPr>
        <w:pStyle w:val="BodyText"/>
        <w:spacing w:line="254" w:lineRule="auto"/>
        <w:ind w:left="840" w:right="856"/>
        <w:rPr>
          <w:rFonts w:eastAsia="Calibri" w:cs="Times New Roman"/>
          <w:color w:val="000000"/>
          <w:lang w:val="sr-Latn-CS"/>
        </w:rPr>
      </w:pPr>
      <w:r w:rsidRPr="0013476A">
        <w:rPr>
          <w:rFonts w:eastAsia="Calibri" w:cs="Times New Roman"/>
          <w:b/>
          <w:bCs/>
          <w:sz w:val="26"/>
          <w:szCs w:val="24"/>
          <w:lang w:val="sr-Cyrl-CS"/>
        </w:rPr>
        <w:t>OP/BP 4.36 (</w:t>
      </w:r>
      <w:r w:rsidRPr="00F52652">
        <w:rPr>
          <w:rFonts w:eastAsia="Calibri" w:cs="Times New Roman"/>
          <w:b/>
          <w:bCs/>
          <w:sz w:val="26"/>
          <w:szCs w:val="24"/>
          <w:lang w:val="it-IT"/>
        </w:rPr>
        <w:t>Šume</w:t>
      </w:r>
      <w:r w:rsidRPr="0013476A">
        <w:rPr>
          <w:rFonts w:eastAsia="Calibri" w:cs="Times New Roman"/>
          <w:b/>
          <w:bCs/>
          <w:sz w:val="26"/>
          <w:szCs w:val="24"/>
          <w:lang w:val="sr-Cyrl-CS"/>
        </w:rPr>
        <w:t>)</w:t>
      </w:r>
      <w:r w:rsidRPr="0013476A">
        <w:rPr>
          <w:rFonts w:ascii="Calibri" w:eastAsia="Calibri" w:hAnsi="Calibri" w:cs="Times New Roman"/>
          <w:color w:val="000000"/>
          <w:lang w:val="sr-Cyrl-CS"/>
        </w:rPr>
        <w:t xml:space="preserve"> </w:t>
      </w:r>
      <w:r w:rsidRPr="00A228B2">
        <w:rPr>
          <w:rFonts w:cs="Times New Roman"/>
          <w:lang w:val="sr-Latn-CS"/>
        </w:rPr>
        <w:t>nije pokrenut</w:t>
      </w:r>
      <w:r w:rsidR="000F4C33" w:rsidRPr="00A228B2">
        <w:rPr>
          <w:rFonts w:cs="Times New Roman"/>
          <w:lang w:val="sr-Latn-CS"/>
        </w:rPr>
        <w:t>a</w:t>
      </w:r>
      <w:r w:rsidR="00F3731A" w:rsidRPr="003B3244">
        <w:rPr>
          <w:rFonts w:eastAsia="Calibri" w:cs="Times New Roman"/>
          <w:color w:val="000000"/>
          <w:lang w:val="sr-Latn-CS"/>
        </w:rPr>
        <w:t>.</w:t>
      </w:r>
      <w:r>
        <w:rPr>
          <w:rFonts w:eastAsia="Calibri" w:cs="Times New Roman"/>
          <w:color w:val="000000"/>
          <w:lang w:val="sr-Latn-CS"/>
        </w:rPr>
        <w:t xml:space="preserve"> </w:t>
      </w:r>
      <w:r w:rsidR="00F3731A" w:rsidRPr="003B3244">
        <w:rPr>
          <w:rFonts w:eastAsia="Calibri" w:cs="Times New Roman"/>
          <w:color w:val="000000"/>
          <w:lang w:val="sr-Latn-CS"/>
        </w:rPr>
        <w:t xml:space="preserve"> </w:t>
      </w:r>
    </w:p>
    <w:p w:rsidR="00F3731A" w:rsidRPr="003B3244" w:rsidRDefault="000F4C33" w:rsidP="00F3731A">
      <w:pPr>
        <w:pStyle w:val="BodyText"/>
        <w:spacing w:before="100" w:beforeAutospacing="1" w:after="100" w:afterAutospacing="1"/>
        <w:ind w:left="289" w:right="289"/>
        <w:rPr>
          <w:rFonts w:cs="Times New Roman"/>
          <w:lang w:val="sr-Latn-CS"/>
        </w:rPr>
      </w:pPr>
      <w:r w:rsidRPr="000F4C33">
        <w:rPr>
          <w:rFonts w:cs="Times New Roman"/>
          <w:lang w:val="sr-Latn-CS"/>
        </w:rPr>
        <w:t>Ova politika fasilituje projekte koji uključuju upravljanje šumama, uključujući seče, sadnju, pošumljavanje i slično. Aktivnosti u okviru ovog projekta se ne odnose na projekte koji bi mogli uticati na šume. Po pravilu, scenario koji bi mogao da utiče na šume nije dozvoljen, međutim, ako je uklanjanje pojedinačnih stabala neizbežno, traži se dozvola nadležnog organa (Kosovska agencija za šume</w:t>
      </w:r>
      <w:r w:rsidR="00F3731A" w:rsidRPr="003B3244">
        <w:rPr>
          <w:rFonts w:cs="Times New Roman"/>
          <w:lang w:val="sr-Latn-CS"/>
        </w:rPr>
        <w:t>.</w:t>
      </w:r>
    </w:p>
    <w:p w:rsidR="00F3731A" w:rsidRPr="003B3244" w:rsidRDefault="000F4C33" w:rsidP="00F3731A">
      <w:pPr>
        <w:pStyle w:val="Heading2"/>
        <w:ind w:left="840"/>
        <w:rPr>
          <w:rFonts w:eastAsia="Calibri"/>
          <w:lang w:val="sr-Latn-CS"/>
        </w:rPr>
      </w:pPr>
      <w:bookmarkStart w:id="41" w:name="_Toc531255629"/>
      <w:r w:rsidRPr="000F4C33">
        <w:rPr>
          <w:rFonts w:eastAsia="Calibri"/>
          <w:lang w:val="sr-Latn-CS"/>
        </w:rPr>
        <w:t>OP/ BP 4.09 (Upravljanje štetočinama) – nije pokrenuta</w:t>
      </w:r>
      <w:bookmarkEnd w:id="41"/>
    </w:p>
    <w:p w:rsidR="00F3731A" w:rsidRPr="003B3244" w:rsidRDefault="000F4C33" w:rsidP="00F3731A">
      <w:pPr>
        <w:pStyle w:val="BodyText"/>
        <w:spacing w:before="100" w:beforeAutospacing="1" w:after="100" w:afterAutospacing="1"/>
        <w:ind w:left="289" w:right="289"/>
        <w:rPr>
          <w:rFonts w:cs="Times New Roman"/>
          <w:lang w:val="sr-Latn-CS"/>
        </w:rPr>
      </w:pPr>
      <w:r w:rsidRPr="000F4C33">
        <w:rPr>
          <w:rFonts w:cs="Times New Roman"/>
          <w:lang w:val="sr-Latn-CS"/>
        </w:rPr>
        <w:t>Politika upravljanja štetočinama nije pokrenuta. Ne postoje planirane aktivnosti koje uključuju ili zahtevaju kontrolu štetočina ili promene u kontroli štetočina, niti bi iste bile podržane</w:t>
      </w:r>
      <w:r w:rsidR="00F3731A" w:rsidRPr="003B3244">
        <w:rPr>
          <w:rFonts w:cs="Times New Roman"/>
          <w:lang w:val="sr-Latn-CS"/>
        </w:rPr>
        <w:t>.</w:t>
      </w:r>
    </w:p>
    <w:p w:rsidR="00F3731A" w:rsidRPr="003B3244" w:rsidRDefault="00593338" w:rsidP="00F3731A">
      <w:pPr>
        <w:pStyle w:val="Heading2"/>
        <w:ind w:left="840"/>
        <w:rPr>
          <w:rFonts w:eastAsia="Calibri"/>
          <w:lang w:val="sr-Latn-CS"/>
        </w:rPr>
      </w:pPr>
      <w:bookmarkStart w:id="42" w:name="_Toc531255630"/>
      <w:r w:rsidRPr="00593338">
        <w:rPr>
          <w:rFonts w:eastAsia="Calibri"/>
          <w:lang w:val="sr-Latn-CS"/>
        </w:rPr>
        <w:t>OP/BP 4.11 (Kulturno nasleđe) – nije pokrenuta</w:t>
      </w:r>
      <w:bookmarkEnd w:id="42"/>
    </w:p>
    <w:p w:rsidR="00464A32" w:rsidRPr="00464A32" w:rsidRDefault="00615EF0" w:rsidP="00464A32">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Cyrl-CS"/>
        </w:rPr>
      </w:pPr>
      <w:r w:rsidRPr="00615EF0">
        <w:rPr>
          <w:rFonts w:ascii="Times New Roman" w:eastAsia="Arial" w:hAnsi="Times New Roman" w:cs="Times New Roman"/>
          <w:lang w:val="sr-Cyrl-CS"/>
        </w:rPr>
        <w:t>Ne postoji aktivnost ove prirode koja se odvija pod</w:t>
      </w:r>
      <w:r w:rsidRPr="00F52652">
        <w:rPr>
          <w:rFonts w:ascii="Times New Roman" w:eastAsia="Arial" w:hAnsi="Times New Roman" w:cs="Times New Roman"/>
          <w:lang w:val="sr-Latn-CS"/>
        </w:rPr>
        <w:t xml:space="preserve"> </w:t>
      </w:r>
      <w:r>
        <w:rPr>
          <w:rFonts w:ascii="Times New Roman" w:eastAsia="Arial" w:hAnsi="Times New Roman" w:cs="Times New Roman"/>
          <w:lang w:val="sr-Cyrl-CS"/>
        </w:rPr>
        <w:t>projekata</w:t>
      </w:r>
      <w:r w:rsidR="00464A32" w:rsidRPr="00464A32">
        <w:rPr>
          <w:rFonts w:ascii="Times New Roman" w:eastAsia="Arial" w:hAnsi="Times New Roman" w:cs="Times New Roman"/>
          <w:lang w:val="sr-Cyrl-CS"/>
        </w:rPr>
        <w:t xml:space="preserve">. Pošto politika nije pokrenuta, </w:t>
      </w:r>
      <w:r w:rsidR="000818B6">
        <w:rPr>
          <w:rFonts w:ascii="Times New Roman" w:eastAsia="Arial" w:hAnsi="Times New Roman" w:cs="Times New Roman"/>
          <w:lang w:val="sr-Cyrl-CS"/>
        </w:rPr>
        <w:t>OUSŽS</w:t>
      </w:r>
      <w:r w:rsidR="00464A32" w:rsidRPr="00464A32">
        <w:rPr>
          <w:rFonts w:ascii="Times New Roman" w:eastAsia="Arial" w:hAnsi="Times New Roman" w:cs="Times New Roman"/>
          <w:lang w:val="sr-Cyrl-CS"/>
        </w:rPr>
        <w:t xml:space="preserve"> ne dozvoljava aktivnosti koje mogu uticati na zaštićene objekte, arheološka nalazišta, verske objekte i </w:t>
      </w:r>
      <w:r w:rsidR="00781EB3">
        <w:rPr>
          <w:rFonts w:ascii="Times New Roman" w:eastAsia="Arial" w:hAnsi="Times New Roman" w:cs="Times New Roman"/>
          <w:lang w:val="en-US"/>
        </w:rPr>
        <w:t>drugih</w:t>
      </w:r>
      <w:r w:rsidR="00781EB3">
        <w:rPr>
          <w:rFonts w:ascii="Times New Roman" w:eastAsia="Arial" w:hAnsi="Times New Roman" w:cs="Times New Roman"/>
          <w:lang w:val="sr-Cyrl-CS"/>
        </w:rPr>
        <w:t xml:space="preserve"> kulturnih resursa</w:t>
      </w:r>
      <w:r w:rsidR="00464A32" w:rsidRPr="00464A32">
        <w:rPr>
          <w:rFonts w:ascii="Times New Roman" w:eastAsia="Arial" w:hAnsi="Times New Roman" w:cs="Times New Roman"/>
          <w:lang w:val="sr-Cyrl-CS"/>
        </w:rPr>
        <w:t>.</w:t>
      </w:r>
    </w:p>
    <w:p w:rsidR="00F3731A" w:rsidRPr="003B3244" w:rsidRDefault="00464A32" w:rsidP="00464A32">
      <w:pPr>
        <w:pStyle w:val="BodyText"/>
        <w:spacing w:before="100" w:beforeAutospacing="1" w:after="100" w:afterAutospacing="1"/>
        <w:ind w:left="289" w:right="289"/>
        <w:rPr>
          <w:rFonts w:cs="Times New Roman"/>
          <w:lang w:val="sr-Latn-CS"/>
        </w:rPr>
      </w:pPr>
      <w:r w:rsidRPr="00D73821">
        <w:rPr>
          <w:rFonts w:cs="Times New Roman"/>
          <w:lang w:val="sr-Latn-CS"/>
        </w:rPr>
        <w:lastRenderedPageBreak/>
        <w:t>S obzirom da postoji mala verovatnoća da se tak</w:t>
      </w:r>
      <w:r w:rsidR="00615EF0">
        <w:rPr>
          <w:rFonts w:cs="Times New Roman"/>
          <w:lang w:val="sr-Latn-CS"/>
        </w:rPr>
        <w:t xml:space="preserve"> </w:t>
      </w:r>
      <w:r w:rsidRPr="00D73821">
        <w:rPr>
          <w:rFonts w:cs="Times New Roman"/>
          <w:lang w:val="sr-Latn-CS"/>
        </w:rPr>
        <w:t xml:space="preserve">vi nalazi otkriju, adekvatna klauzula će biti uključena u dokumentaciju o proceni uticaja na životnu sredinu koja će sadržavati procedure upravljanja (kontrolna lista </w:t>
      </w:r>
      <w:r w:rsidR="000818B6">
        <w:rPr>
          <w:rFonts w:cs="Times New Roman"/>
          <w:lang w:val="sr-Latn-CS"/>
        </w:rPr>
        <w:t>PUSŽS</w:t>
      </w:r>
      <w:r w:rsidRPr="00D73821">
        <w:rPr>
          <w:rFonts w:cs="Times New Roman"/>
          <w:lang w:val="sr-Latn-CS"/>
        </w:rPr>
        <w:t xml:space="preserve">-a i specifični </w:t>
      </w:r>
      <w:r w:rsidR="000818B6">
        <w:rPr>
          <w:rFonts w:cs="Times New Roman"/>
          <w:lang w:val="sr-Latn-CS"/>
        </w:rPr>
        <w:t>PUSŽS</w:t>
      </w:r>
      <w:r w:rsidRPr="00D73821">
        <w:rPr>
          <w:rFonts w:cs="Times New Roman"/>
          <w:lang w:val="sr-Latn-CS"/>
        </w:rPr>
        <w:t>-ovi na lokaciji). Postupci u slučajevima slučajnih otkrića uticaja poštovaće nacionalne procedure i odluke/mišljenja nadležnog nacionalnog organa (Ministarstvo kulture, omladine i sporta</w:t>
      </w:r>
      <w:r w:rsidR="00F3731A" w:rsidRPr="003B3244">
        <w:rPr>
          <w:rFonts w:cs="Times New Roman"/>
          <w:lang w:val="sr-Latn-CS"/>
        </w:rPr>
        <w:t>).</w:t>
      </w:r>
    </w:p>
    <w:p w:rsidR="00F3731A" w:rsidRPr="003B3244" w:rsidRDefault="00464A32" w:rsidP="00F3731A">
      <w:pPr>
        <w:pStyle w:val="Heading2"/>
        <w:rPr>
          <w:rFonts w:eastAsia="Calibri"/>
          <w:lang w:val="sr-Latn-CS"/>
        </w:rPr>
      </w:pPr>
      <w:bookmarkStart w:id="43" w:name="_Toc531255631"/>
      <w:r w:rsidRPr="00464A32">
        <w:rPr>
          <w:rFonts w:eastAsia="Calibri"/>
          <w:lang w:val="sr-Latn-CS"/>
        </w:rPr>
        <w:t>OP/BP 4.10 (Autohtoni narodi</w:t>
      </w:r>
      <w:r w:rsidR="00F3731A" w:rsidRPr="003B3244">
        <w:rPr>
          <w:rFonts w:eastAsia="Calibri"/>
          <w:lang w:val="sr-Latn-CS"/>
        </w:rPr>
        <w:t>)</w:t>
      </w:r>
      <w:bookmarkEnd w:id="43"/>
    </w:p>
    <w:p w:rsidR="00F3731A" w:rsidRPr="003B3244" w:rsidRDefault="00464A32" w:rsidP="00F3731A">
      <w:pPr>
        <w:pStyle w:val="BodyText"/>
        <w:spacing w:before="100" w:beforeAutospacing="1" w:after="100" w:afterAutospacing="1"/>
        <w:ind w:left="289" w:right="289"/>
        <w:rPr>
          <w:rFonts w:cs="Times New Roman"/>
          <w:lang w:val="sr-Latn-CS"/>
        </w:rPr>
      </w:pPr>
      <w:r w:rsidRPr="00464A32">
        <w:rPr>
          <w:rFonts w:cs="Times New Roman"/>
          <w:lang w:val="sr-Latn-CS"/>
        </w:rPr>
        <w:t xml:space="preserve">N/P, u projektnom </w:t>
      </w:r>
      <w:r w:rsidR="006C775B" w:rsidRPr="00464A32">
        <w:rPr>
          <w:rFonts w:cs="Times New Roman"/>
          <w:lang w:val="sr-Latn-CS"/>
        </w:rPr>
        <w:t>području</w:t>
      </w:r>
      <w:r w:rsidRPr="00464A32">
        <w:rPr>
          <w:rFonts w:cs="Times New Roman"/>
          <w:lang w:val="sr-Latn-CS"/>
        </w:rPr>
        <w:t xml:space="preserve"> ne postoje autohtoni narodi</w:t>
      </w:r>
      <w:r w:rsidR="00F3731A" w:rsidRPr="003B3244">
        <w:rPr>
          <w:rFonts w:cs="Times New Roman"/>
          <w:lang w:val="sr-Latn-CS"/>
        </w:rPr>
        <w:t>.</w:t>
      </w:r>
    </w:p>
    <w:p w:rsidR="00F3731A" w:rsidRPr="003B3244" w:rsidRDefault="00464A32" w:rsidP="00F3731A">
      <w:pPr>
        <w:pStyle w:val="BodyText"/>
        <w:spacing w:line="254" w:lineRule="auto"/>
        <w:ind w:left="840" w:right="856"/>
        <w:rPr>
          <w:rFonts w:eastAsia="Calibri" w:cs="Times New Roman"/>
          <w:color w:val="000000"/>
          <w:lang w:val="sr-Latn-CS"/>
        </w:rPr>
      </w:pPr>
      <w:bookmarkStart w:id="44" w:name="_Toc531255632"/>
      <w:r w:rsidRPr="00464A32">
        <w:rPr>
          <w:rStyle w:val="Heading2Char"/>
          <w:rFonts w:eastAsia="Calibri"/>
          <w:lang w:val="sr-Latn-CS"/>
        </w:rPr>
        <w:t>OP/BP 4.12 (Prinudno raseljavanje</w:t>
      </w:r>
      <w:r w:rsidR="00F3731A" w:rsidRPr="003B3244">
        <w:rPr>
          <w:rStyle w:val="Heading2Char"/>
          <w:rFonts w:eastAsia="Calibri"/>
          <w:lang w:val="sr-Latn-CS"/>
        </w:rPr>
        <w:t>)</w:t>
      </w:r>
      <w:bookmarkEnd w:id="44"/>
    </w:p>
    <w:p w:rsidR="00F3731A" w:rsidRPr="003B3244" w:rsidRDefault="00720143" w:rsidP="00F3731A">
      <w:pPr>
        <w:pStyle w:val="BodyText"/>
        <w:spacing w:before="100" w:beforeAutospacing="1" w:after="100" w:afterAutospacing="1"/>
        <w:ind w:left="289" w:right="289"/>
        <w:rPr>
          <w:rFonts w:cs="Times New Roman"/>
          <w:lang w:val="sr-Latn-CS"/>
        </w:rPr>
      </w:pPr>
      <w:r w:rsidRPr="00720143">
        <w:rPr>
          <w:rFonts w:cs="Times New Roman"/>
          <w:lang w:val="sr-Latn-CS"/>
        </w:rPr>
        <w:t xml:space="preserve">S obzirom na to da su predviđene projektne/potprojektne aktivnosti druge prirode ne mogu uticati na prinudno raseljavanje. Projekat neće finansirati nikakvu novu gradnju, već bi mogao finansirati rehabilitaciju javnih ustanova kako bi se iste učinile boljim za mlade ili opremanje za omladinske aktivnosti. Sve aktivnosti rehabilitacije se sprovode na javnom zemljištu. S obzirom na javnu prirodu infrastrukture/objekata za mlade, projekat ne predviđa dobrovoljne prenose zemljišta. Potprojekti koji mogu pokrenuti OP 4.12 Svetske banke biće isključeni pomoću procesa provere definisanog u </w:t>
      </w:r>
      <w:r w:rsidR="000818B6">
        <w:rPr>
          <w:rFonts w:cs="Times New Roman"/>
          <w:lang w:val="sr-Latn-CS"/>
        </w:rPr>
        <w:t>OUSŽS</w:t>
      </w:r>
      <w:r w:rsidRPr="00720143">
        <w:rPr>
          <w:rFonts w:cs="Times New Roman"/>
          <w:lang w:val="sr-Latn-CS"/>
        </w:rPr>
        <w:t>-u. Jedini identifikovani društveni rizik odnosi se na ciljanje i dosezanje, tj. rizik da projekat ne uključuje segment najugroženiji mladi u odabranim opštinama. Zbog toga, projekat predviđa da se kao podrška JUP-u i odabranim opštinama angažuje specijalizovana NVO/ konsultantska služba kako bi pomogla u ciljanju, dosezanju i mobilizaciji najugroženijih mladih</w:t>
      </w:r>
      <w:r w:rsidR="00F3731A" w:rsidRPr="003B3244">
        <w:rPr>
          <w:rFonts w:cs="Times New Roman"/>
          <w:lang w:val="sr-Latn-CS"/>
        </w:rPr>
        <w:t>.</w:t>
      </w:r>
    </w:p>
    <w:p w:rsidR="00F3731A" w:rsidRPr="003B3244" w:rsidRDefault="00720143" w:rsidP="00F3731A">
      <w:pPr>
        <w:pStyle w:val="BodyText"/>
        <w:spacing w:line="254" w:lineRule="auto"/>
        <w:ind w:left="840" w:right="856"/>
        <w:rPr>
          <w:rFonts w:eastAsia="Calibri" w:cs="Times New Roman"/>
          <w:color w:val="000000"/>
          <w:lang w:val="sr-Latn-CS"/>
        </w:rPr>
      </w:pPr>
      <w:r w:rsidRPr="00720143">
        <w:rPr>
          <w:rFonts w:eastAsia="Calibri" w:cs="Times New Roman"/>
          <w:b/>
          <w:bCs/>
          <w:sz w:val="26"/>
          <w:szCs w:val="24"/>
          <w:lang w:val="sr-Cyrl-CS"/>
        </w:rPr>
        <w:t>OP/BP 4.37 (Bezbednost brana)</w:t>
      </w:r>
      <w:r w:rsidRPr="00720143">
        <w:rPr>
          <w:rFonts w:ascii="Calibri" w:eastAsia="Calibri" w:hAnsi="Calibri" w:cs="Times New Roman"/>
          <w:color w:val="000000"/>
          <w:lang w:val="sr-Cyrl-CS"/>
        </w:rPr>
        <w:t xml:space="preserve">- </w:t>
      </w:r>
      <w:r w:rsidRPr="00D73821">
        <w:rPr>
          <w:rFonts w:cs="Times New Roman"/>
          <w:lang w:val="sr-Latn-CS"/>
        </w:rPr>
        <w:t>nije pokrenuta</w:t>
      </w:r>
      <w:r w:rsidR="00F3731A" w:rsidRPr="003B3244">
        <w:rPr>
          <w:rFonts w:eastAsia="Calibri" w:cs="Times New Roman"/>
          <w:color w:val="000000"/>
          <w:lang w:val="sr-Latn-CS"/>
        </w:rPr>
        <w:t xml:space="preserve">. </w:t>
      </w:r>
    </w:p>
    <w:p w:rsidR="00F3731A" w:rsidRPr="003B3244" w:rsidRDefault="00720143" w:rsidP="00F3731A">
      <w:pPr>
        <w:pStyle w:val="BodyText"/>
        <w:spacing w:before="100" w:beforeAutospacing="1" w:after="100" w:afterAutospacing="1"/>
        <w:ind w:left="289" w:right="289"/>
        <w:rPr>
          <w:rFonts w:cs="Times New Roman"/>
          <w:lang w:val="sr-Latn-CS"/>
        </w:rPr>
      </w:pPr>
      <w:r w:rsidRPr="00720143">
        <w:rPr>
          <w:rFonts w:cs="Times New Roman"/>
          <w:lang w:val="sr-Latn-CS"/>
        </w:rPr>
        <w:t>Projekat/potprojekat ne uključuje aktivnosti koje se odnose na brane</w:t>
      </w:r>
      <w:r w:rsidR="00F3731A" w:rsidRPr="003B3244">
        <w:rPr>
          <w:rFonts w:cs="Times New Roman"/>
          <w:lang w:val="sr-Latn-CS"/>
        </w:rPr>
        <w:t>.</w:t>
      </w:r>
    </w:p>
    <w:p w:rsidR="00F3731A" w:rsidRPr="003B3244" w:rsidRDefault="00720143" w:rsidP="00F3731A">
      <w:pPr>
        <w:pStyle w:val="BodyText"/>
        <w:spacing w:line="254" w:lineRule="auto"/>
        <w:ind w:left="840" w:right="856"/>
        <w:rPr>
          <w:rFonts w:eastAsia="Calibri" w:cs="Times New Roman"/>
          <w:color w:val="000000"/>
          <w:lang w:val="sr-Latn-CS"/>
        </w:rPr>
      </w:pPr>
      <w:r w:rsidRPr="00720143">
        <w:rPr>
          <w:rFonts w:eastAsia="Calibri" w:cs="Times New Roman"/>
          <w:b/>
          <w:bCs/>
          <w:sz w:val="26"/>
          <w:szCs w:val="24"/>
          <w:lang w:val="sr-Cyrl-CS"/>
        </w:rPr>
        <w:t>OP/BP 7.50 (Projekti na međunarodnim vodnim putevima)</w:t>
      </w:r>
      <w:r w:rsidRPr="00720143">
        <w:rPr>
          <w:rFonts w:ascii="Calibri" w:eastAsia="Calibri" w:hAnsi="Calibri" w:cs="Times New Roman"/>
          <w:color w:val="000000"/>
          <w:lang w:val="sr-Cyrl-CS"/>
        </w:rPr>
        <w:t xml:space="preserve">- </w:t>
      </w:r>
      <w:r w:rsidRPr="00D73821">
        <w:rPr>
          <w:rFonts w:cs="Times New Roman"/>
          <w:lang w:val="sr-Latn-CS"/>
        </w:rPr>
        <w:t>nije pokrenuta</w:t>
      </w:r>
      <w:r w:rsidR="00F3731A" w:rsidRPr="003B3244">
        <w:rPr>
          <w:rFonts w:eastAsia="Calibri" w:cs="Times New Roman"/>
          <w:color w:val="000000"/>
          <w:lang w:val="sr-Latn-CS"/>
        </w:rPr>
        <w:t>.</w:t>
      </w:r>
    </w:p>
    <w:p w:rsidR="00F3731A" w:rsidRPr="003B3244" w:rsidRDefault="00720143" w:rsidP="00F3731A">
      <w:pPr>
        <w:pStyle w:val="BodyText"/>
        <w:spacing w:before="100" w:beforeAutospacing="1" w:after="100" w:afterAutospacing="1"/>
        <w:ind w:left="289" w:right="289"/>
        <w:rPr>
          <w:rFonts w:cs="Times New Roman"/>
          <w:lang w:val="sr-Latn-CS"/>
        </w:rPr>
      </w:pPr>
      <w:r w:rsidRPr="00720143">
        <w:rPr>
          <w:rFonts w:cs="Times New Roman"/>
          <w:lang w:val="sr-Latn-CS"/>
        </w:rPr>
        <w:t>Projekat ne podržava aktivnosti koje mogu uticati na vodna tela</w:t>
      </w:r>
      <w:r w:rsidR="00F3731A" w:rsidRPr="003B3244">
        <w:rPr>
          <w:rFonts w:cs="Times New Roman"/>
          <w:lang w:val="sr-Latn-CS"/>
        </w:rPr>
        <w:t>.</w:t>
      </w:r>
    </w:p>
    <w:p w:rsidR="00F3731A" w:rsidRPr="003B3244" w:rsidRDefault="00720143" w:rsidP="00F3731A">
      <w:pPr>
        <w:pStyle w:val="BodyText"/>
        <w:spacing w:line="254" w:lineRule="auto"/>
        <w:ind w:left="840" w:right="856"/>
        <w:rPr>
          <w:rFonts w:eastAsia="Calibri" w:cs="Times New Roman"/>
          <w:color w:val="000000"/>
          <w:lang w:val="sr-Latn-CS"/>
        </w:rPr>
      </w:pPr>
      <w:r w:rsidRPr="00720143">
        <w:rPr>
          <w:rFonts w:eastAsia="Calibri" w:cs="Times New Roman"/>
          <w:b/>
          <w:bCs/>
          <w:sz w:val="26"/>
          <w:szCs w:val="24"/>
          <w:lang w:val="sr-Cyrl-CS"/>
        </w:rPr>
        <w:t>OP/BP 7.60 (</w:t>
      </w:r>
      <w:r w:rsidRPr="00720143">
        <w:rPr>
          <w:rFonts w:eastAsia="Calibri" w:cs="Times New Roman"/>
          <w:b/>
          <w:bCs/>
          <w:sz w:val="26"/>
          <w:szCs w:val="24"/>
          <w:lang w:val="sr-Latn-CS"/>
        </w:rPr>
        <w:t>Projekti u spornim područjima</w:t>
      </w:r>
      <w:r w:rsidRPr="00720143">
        <w:rPr>
          <w:rFonts w:eastAsia="Calibri" w:cs="Times New Roman"/>
          <w:b/>
          <w:bCs/>
          <w:sz w:val="26"/>
          <w:szCs w:val="24"/>
          <w:lang w:val="sr-Cyrl-CS"/>
        </w:rPr>
        <w:t>)</w:t>
      </w:r>
      <w:r w:rsidRPr="00720143">
        <w:rPr>
          <w:rFonts w:ascii="Calibri" w:eastAsia="Calibri" w:hAnsi="Calibri" w:cs="Times New Roman"/>
          <w:color w:val="000000"/>
          <w:lang w:val="sr-Cyrl-CS"/>
        </w:rPr>
        <w:t xml:space="preserve">- </w:t>
      </w:r>
      <w:r w:rsidRPr="00D73821">
        <w:rPr>
          <w:rFonts w:cs="Times New Roman"/>
          <w:lang w:val="sr-Latn-CS"/>
        </w:rPr>
        <w:t>nije pokrenuta</w:t>
      </w:r>
      <w:r w:rsidR="00F3731A" w:rsidRPr="003B3244">
        <w:rPr>
          <w:rFonts w:eastAsia="Calibri" w:cs="Times New Roman"/>
          <w:color w:val="000000"/>
          <w:lang w:val="sr-Latn-CS"/>
        </w:rPr>
        <w:t xml:space="preserve">. </w:t>
      </w:r>
    </w:p>
    <w:p w:rsidR="00F3731A" w:rsidRDefault="00515762" w:rsidP="00F3731A">
      <w:pPr>
        <w:pStyle w:val="BodyText"/>
        <w:spacing w:before="100" w:beforeAutospacing="1" w:after="100" w:afterAutospacing="1"/>
        <w:ind w:left="289" w:right="289"/>
        <w:rPr>
          <w:rFonts w:cs="Times New Roman"/>
          <w:lang w:val="sr-Latn-CS"/>
        </w:rPr>
      </w:pPr>
      <w:bookmarkStart w:id="45" w:name="_TOC_250019"/>
      <w:r w:rsidRPr="00515762">
        <w:rPr>
          <w:rFonts w:cs="Times New Roman"/>
          <w:lang w:val="sr-Latn-CS"/>
        </w:rPr>
        <w:t>Lokacija projektnih/potprojektnih aktivnosti uključe Severno Kosovo, koje ne priznaje Nacionalnu vladu Kosova i gde je možda ograničen pristup JUP-u, MALS-u, kao i timu SB-a. Međutim, na osnovu nekoliko sporazuma i akata potpisanih  2012. i 2013. godine, ova politika ne važi. Ipak, rizik povezan sa problemom ograničenog pristupa Severu Kosova mora biti priznat</w:t>
      </w:r>
      <w:r w:rsidR="00F3731A" w:rsidRPr="003B3244">
        <w:rPr>
          <w:rFonts w:cs="Times New Roman"/>
          <w:lang w:val="sr-Latn-CS"/>
        </w:rPr>
        <w:t>.</w:t>
      </w:r>
    </w:p>
    <w:p w:rsidR="00175B16" w:rsidRPr="003B3244" w:rsidRDefault="00175B16" w:rsidP="00F3731A">
      <w:pPr>
        <w:pStyle w:val="BodyText"/>
        <w:spacing w:before="100" w:beforeAutospacing="1" w:after="100" w:afterAutospacing="1"/>
        <w:ind w:left="289" w:right="289"/>
        <w:rPr>
          <w:rFonts w:cs="Times New Roman"/>
          <w:lang w:val="sr-Latn-CS"/>
        </w:rPr>
      </w:pPr>
    </w:p>
    <w:p w:rsidR="00F3731A" w:rsidRPr="003B3244" w:rsidRDefault="00515762" w:rsidP="00F3731A">
      <w:pPr>
        <w:pStyle w:val="Heading1"/>
        <w:jc w:val="center"/>
        <w:rPr>
          <w:lang w:val="sr-Latn-CS"/>
        </w:rPr>
      </w:pPr>
      <w:bookmarkStart w:id="46" w:name="_TOC_250018"/>
      <w:bookmarkStart w:id="47" w:name="_Toc531255633"/>
      <w:bookmarkEnd w:id="45"/>
      <w:bookmarkEnd w:id="46"/>
      <w:r w:rsidRPr="00515762">
        <w:rPr>
          <w:lang w:val="sr-Latn-CS"/>
        </w:rPr>
        <w:t>Pregled nacionalnog zakonodavstva i  okvir upravljanja životnom sredinom i procena uticaja na društvo</w:t>
      </w:r>
      <w:bookmarkEnd w:id="47"/>
    </w:p>
    <w:p w:rsidR="00515762" w:rsidRPr="00515762" w:rsidRDefault="00515762" w:rsidP="00515762">
      <w:pPr>
        <w:pStyle w:val="BodyText"/>
        <w:spacing w:before="100" w:beforeAutospacing="1" w:after="100" w:afterAutospacing="1"/>
        <w:ind w:left="289" w:right="289"/>
        <w:rPr>
          <w:rFonts w:cs="Times New Roman"/>
          <w:lang w:val="sr-Latn-CS"/>
        </w:rPr>
      </w:pPr>
      <w:r w:rsidRPr="00515762">
        <w:rPr>
          <w:rFonts w:cs="Times New Roman"/>
          <w:lang w:val="sr-Latn-CS"/>
        </w:rPr>
        <w:t xml:space="preserve">Ovaj dokument služi kao okvir aktivnosti upravljanja životnom sredinom i procenom uticaja na društvo u okviru projekta „Podrška lokalnom razvoju na Kosovu uz inkluziju mladih“ finansiranog od strane </w:t>
      </w:r>
      <w:r w:rsidR="00373965">
        <w:rPr>
          <w:rFonts w:cs="Times New Roman"/>
          <w:lang w:val="sr-Latn-CS"/>
        </w:rPr>
        <w:t>JSRF</w:t>
      </w:r>
      <w:r w:rsidRPr="00515762">
        <w:rPr>
          <w:rFonts w:cs="Times New Roman"/>
          <w:lang w:val="sr-Latn-CS"/>
        </w:rPr>
        <w:t xml:space="preserve">-a. U isto vreme, nacionalno i lokalno zakonodavstvo se moraju u potpunosti poštovati. Ako se politika SB-a i kosovski nacionalni i lokalni propisi razlikuju, po pravilu preovlađuju strožiji. </w:t>
      </w:r>
    </w:p>
    <w:p w:rsidR="00515762" w:rsidRPr="00515762" w:rsidRDefault="00515762" w:rsidP="00515762">
      <w:pPr>
        <w:pStyle w:val="BodyText"/>
        <w:spacing w:before="100" w:beforeAutospacing="1" w:after="100" w:afterAutospacing="1"/>
        <w:ind w:left="289" w:right="289"/>
        <w:rPr>
          <w:rFonts w:cs="Times New Roman"/>
          <w:lang w:val="sr-Latn-CS"/>
        </w:rPr>
      </w:pPr>
      <w:r w:rsidRPr="00515762">
        <w:rPr>
          <w:rFonts w:cs="Times New Roman"/>
          <w:lang w:val="sr-Latn-CS"/>
        </w:rPr>
        <w:t xml:space="preserve">Na osnovu kosovskog zakonodavstva, dve glavne institucije izrađuju, sprovode i nadgledaju sprovođenje zakonodavstva i propisa za zaštitu životne sredine na Kosovu: Ministarstvo životne sredine i prostornog planiranja (MŽSPP) i Agencija za zaštitu životne sredine (AZŽS). </w:t>
      </w:r>
    </w:p>
    <w:p w:rsidR="00F3731A" w:rsidRPr="003B3244" w:rsidRDefault="00515762" w:rsidP="00515762">
      <w:pPr>
        <w:pStyle w:val="BodyText"/>
        <w:spacing w:before="100" w:beforeAutospacing="1" w:after="100" w:afterAutospacing="1"/>
        <w:ind w:left="289" w:right="289"/>
        <w:rPr>
          <w:rFonts w:cs="Times New Roman"/>
          <w:lang w:val="sr-Latn-CS"/>
        </w:rPr>
      </w:pPr>
      <w:r w:rsidRPr="00515762">
        <w:rPr>
          <w:rFonts w:cs="Times New Roman"/>
          <w:lang w:val="sr-Latn-CS"/>
        </w:rPr>
        <w:t>Zbog građevinskih radova planiranih u okviru komponente 1, ovaj projekat može biti predmet sledećih kosovskih zakona i propisa</w:t>
      </w:r>
      <w:r w:rsidR="00F3731A" w:rsidRPr="003B3244">
        <w:rPr>
          <w:rFonts w:cs="Times New Roman"/>
          <w:lang w:val="sr-Latn-CS"/>
        </w:rPr>
        <w:t>:</w:t>
      </w:r>
    </w:p>
    <w:p w:rsidR="00515762" w:rsidRPr="00515762" w:rsidRDefault="00F3731A" w:rsidP="00515762">
      <w:pPr>
        <w:pStyle w:val="ListParagraph"/>
        <w:rPr>
          <w:rFonts w:eastAsia="Calibri"/>
          <w:i/>
          <w:lang w:val="sr-Latn-CS"/>
        </w:rPr>
      </w:pPr>
      <w:r w:rsidRPr="003B3244">
        <w:rPr>
          <w:rFonts w:eastAsia="Calibri"/>
          <w:lang w:val="sr-Latn-CS"/>
        </w:rPr>
        <w:t>•</w:t>
      </w:r>
      <w:r w:rsidRPr="003B3244">
        <w:rPr>
          <w:rFonts w:eastAsia="Calibri"/>
          <w:lang w:val="sr-Latn-CS"/>
        </w:rPr>
        <w:tab/>
      </w:r>
      <w:r w:rsidR="00515762" w:rsidRPr="00515762">
        <w:rPr>
          <w:rFonts w:eastAsia="Calibri"/>
          <w:i/>
          <w:lang w:val="sr-Latn-CS"/>
        </w:rPr>
        <w:t>Zakon br. 03/L-025 o zaštiti životne sredine;</w:t>
      </w:r>
    </w:p>
    <w:p w:rsidR="00515762" w:rsidRPr="00515762" w:rsidRDefault="00515762" w:rsidP="00515762">
      <w:pPr>
        <w:widowControl w:val="0"/>
        <w:numPr>
          <w:ilvl w:val="0"/>
          <w:numId w:val="17"/>
        </w:numPr>
        <w:autoSpaceDE w:val="0"/>
        <w:autoSpaceDN w:val="0"/>
        <w:spacing w:before="120" w:after="0" w:line="240" w:lineRule="auto"/>
        <w:rPr>
          <w:rFonts w:ascii="Times New Roman" w:eastAsia="Calibri" w:hAnsi="Times New Roman" w:cs="Times New Roman"/>
          <w:lang w:val="sr-Latn-CS"/>
        </w:rPr>
      </w:pPr>
      <w:r w:rsidRPr="00515762">
        <w:rPr>
          <w:rFonts w:ascii="Times New Roman" w:eastAsia="Times New Roman" w:hAnsi="Times New Roman" w:cs="Times New Roman"/>
          <w:i/>
          <w:color w:val="000000"/>
          <w:u w:val="single"/>
          <w:lang w:val="sr-Latn-CS"/>
        </w:rPr>
        <w:t>Zakon BR. 03/L-214 o proceni uticaja na životnu sredinu</w:t>
      </w:r>
    </w:p>
    <w:p w:rsidR="00515762" w:rsidRPr="00515762" w:rsidRDefault="007247E1" w:rsidP="00515762">
      <w:pPr>
        <w:widowControl w:val="0"/>
        <w:numPr>
          <w:ilvl w:val="0"/>
          <w:numId w:val="17"/>
        </w:numPr>
        <w:autoSpaceDE w:val="0"/>
        <w:autoSpaceDN w:val="0"/>
        <w:spacing w:before="120" w:after="0" w:line="240" w:lineRule="auto"/>
        <w:rPr>
          <w:rFonts w:ascii="Times New Roman" w:eastAsia="Calibri" w:hAnsi="Times New Roman" w:cs="Times New Roman"/>
          <w:lang w:val="sr-Latn-CS"/>
        </w:rPr>
      </w:pPr>
      <w:hyperlink r:id="rId9" w:history="1">
        <w:r w:rsidR="00515762" w:rsidRPr="00515762">
          <w:rPr>
            <w:rFonts w:ascii="Times New Roman" w:eastAsia="Times New Roman" w:hAnsi="Times New Roman" w:cs="Times New Roman"/>
            <w:i/>
            <w:u w:val="single"/>
            <w:lang w:val="sr-Latn-CS"/>
          </w:rPr>
          <w:t>Zakon o inspektoratu životne sredine, voda, prirode, prostornog planiranja i izgradnje (04/L-175)</w:t>
        </w:r>
      </w:hyperlink>
      <w:r w:rsidR="00515762" w:rsidRPr="00515762">
        <w:rPr>
          <w:rFonts w:ascii="Times New Roman" w:eastAsia="Times New Roman" w:hAnsi="Times New Roman" w:cs="Times New Roman"/>
          <w:i/>
          <w:u w:val="single"/>
          <w:lang w:val="sr-Latn-CS"/>
        </w:rPr>
        <w:t>;</w:t>
      </w:r>
    </w:p>
    <w:p w:rsidR="00515762" w:rsidRPr="00515762" w:rsidRDefault="00515762" w:rsidP="00515762">
      <w:pPr>
        <w:widowControl w:val="0"/>
        <w:numPr>
          <w:ilvl w:val="0"/>
          <w:numId w:val="17"/>
        </w:numPr>
        <w:autoSpaceDE w:val="0"/>
        <w:autoSpaceDN w:val="0"/>
        <w:spacing w:before="120" w:after="0" w:line="240" w:lineRule="auto"/>
        <w:rPr>
          <w:rFonts w:ascii="Times New Roman" w:eastAsia="Calibri" w:hAnsi="Times New Roman" w:cs="Times New Roman"/>
          <w:lang w:val="sr-Latn-CS"/>
        </w:rPr>
      </w:pPr>
      <w:r w:rsidRPr="00515762">
        <w:rPr>
          <w:rFonts w:ascii="Times New Roman" w:eastAsia="Times New Roman" w:hAnsi="Times New Roman" w:cs="Times New Roman"/>
          <w:i/>
          <w:u w:val="single"/>
          <w:lang w:val="sr-Latn-CS"/>
        </w:rPr>
        <w:t xml:space="preserve">Zakon o zaštiti prirode </w:t>
      </w:r>
      <w:hyperlink r:id="rId10" w:history="1">
        <w:r w:rsidRPr="00515762">
          <w:rPr>
            <w:rFonts w:ascii="Times New Roman" w:eastAsia="Times New Roman" w:hAnsi="Times New Roman" w:cs="Times New Roman"/>
            <w:i/>
            <w:u w:val="single"/>
            <w:lang w:val="sr-Latn-CS"/>
          </w:rPr>
          <w:t xml:space="preserve"> (2010/03-L-233)</w:t>
        </w:r>
      </w:hyperlink>
      <w:r w:rsidRPr="00515762">
        <w:rPr>
          <w:rFonts w:ascii="Times New Roman" w:eastAsia="Times New Roman" w:hAnsi="Times New Roman" w:cs="Times New Roman"/>
          <w:i/>
          <w:u w:val="single"/>
          <w:lang w:val="sr-Latn-CS"/>
        </w:rPr>
        <w:t>;</w:t>
      </w:r>
    </w:p>
    <w:p w:rsidR="00515762" w:rsidRPr="00515762" w:rsidRDefault="00515762" w:rsidP="00515762">
      <w:pPr>
        <w:widowControl w:val="0"/>
        <w:numPr>
          <w:ilvl w:val="0"/>
          <w:numId w:val="17"/>
        </w:numPr>
        <w:autoSpaceDE w:val="0"/>
        <w:autoSpaceDN w:val="0"/>
        <w:spacing w:before="120" w:after="0" w:line="240" w:lineRule="auto"/>
        <w:rPr>
          <w:rFonts w:ascii="Times New Roman" w:eastAsia="Calibri" w:hAnsi="Times New Roman" w:cs="Times New Roman"/>
          <w:lang w:val="sr-Latn-CS"/>
        </w:rPr>
      </w:pPr>
      <w:r w:rsidRPr="00515762">
        <w:rPr>
          <w:rFonts w:ascii="Times New Roman" w:eastAsia="Times New Roman" w:hAnsi="Times New Roman" w:cs="Times New Roman"/>
          <w:i/>
          <w:color w:val="000000"/>
          <w:u w:val="single"/>
          <w:lang w:val="sr-Latn-CS"/>
        </w:rPr>
        <w:t>Zakon o izgradnji br. 2004/2015;</w:t>
      </w:r>
    </w:p>
    <w:p w:rsidR="00515762" w:rsidRPr="00515762" w:rsidRDefault="00515762" w:rsidP="00515762">
      <w:pPr>
        <w:widowControl w:val="0"/>
        <w:numPr>
          <w:ilvl w:val="0"/>
          <w:numId w:val="17"/>
        </w:numPr>
        <w:autoSpaceDE w:val="0"/>
        <w:autoSpaceDN w:val="0"/>
        <w:spacing w:before="120" w:after="0" w:line="240" w:lineRule="auto"/>
        <w:rPr>
          <w:rFonts w:ascii="Times New Roman" w:eastAsia="Calibri" w:hAnsi="Times New Roman" w:cs="Times New Roman"/>
          <w:lang w:val="sr-Latn-CS"/>
        </w:rPr>
      </w:pPr>
      <w:r w:rsidRPr="00515762">
        <w:rPr>
          <w:rFonts w:ascii="Times New Roman" w:eastAsia="Times New Roman" w:hAnsi="Times New Roman" w:cs="Times New Roman"/>
          <w:i/>
          <w:color w:val="000000"/>
          <w:u w:val="single"/>
          <w:lang w:val="sr-Latn-CS"/>
        </w:rPr>
        <w:t>Zakon o otpadu (2012);</w:t>
      </w:r>
    </w:p>
    <w:p w:rsidR="00515762" w:rsidRPr="00515762" w:rsidRDefault="00515762" w:rsidP="00515762">
      <w:pPr>
        <w:widowControl w:val="0"/>
        <w:numPr>
          <w:ilvl w:val="0"/>
          <w:numId w:val="17"/>
        </w:numPr>
        <w:autoSpaceDE w:val="0"/>
        <w:autoSpaceDN w:val="0"/>
        <w:spacing w:before="120" w:after="0" w:line="240" w:lineRule="auto"/>
        <w:rPr>
          <w:rFonts w:ascii="Times New Roman" w:eastAsia="Calibri" w:hAnsi="Times New Roman" w:cs="Times New Roman"/>
          <w:lang w:val="sr-Latn-CS"/>
        </w:rPr>
      </w:pPr>
      <w:r w:rsidRPr="00515762">
        <w:rPr>
          <w:rFonts w:ascii="Times New Roman" w:eastAsia="Times New Roman" w:hAnsi="Times New Roman" w:cs="Times New Roman"/>
          <w:i/>
          <w:color w:val="000000"/>
          <w:u w:val="single"/>
          <w:lang w:val="sr-Latn-CS"/>
        </w:rPr>
        <w:t>Zakon o zaštiti od buke br. 02/L-102;</w:t>
      </w:r>
    </w:p>
    <w:p w:rsidR="00515762" w:rsidRPr="00515762" w:rsidRDefault="00515762" w:rsidP="00515762">
      <w:pPr>
        <w:widowControl w:val="0"/>
        <w:numPr>
          <w:ilvl w:val="0"/>
          <w:numId w:val="17"/>
        </w:numPr>
        <w:autoSpaceDE w:val="0"/>
        <w:autoSpaceDN w:val="0"/>
        <w:spacing w:before="120" w:after="0" w:line="240" w:lineRule="auto"/>
        <w:rPr>
          <w:rFonts w:ascii="Times New Roman" w:eastAsia="Calibri" w:hAnsi="Times New Roman" w:cs="Times New Roman"/>
          <w:lang w:val="sr-Latn-CS"/>
        </w:rPr>
      </w:pPr>
      <w:r w:rsidRPr="00515762">
        <w:rPr>
          <w:rFonts w:ascii="Times New Roman" w:eastAsia="Times New Roman" w:hAnsi="Times New Roman" w:cs="Times New Roman"/>
          <w:lang w:val="sr-Latn-CS"/>
        </w:rPr>
        <w:t xml:space="preserve">Administrativno uputstvo MŽSPP/01/2017 o izdavanju opštinske dozvole za životnu sredinu. </w:t>
      </w:r>
    </w:p>
    <w:p w:rsidR="00F3731A" w:rsidRPr="003B3244" w:rsidRDefault="00515762" w:rsidP="00515762">
      <w:pPr>
        <w:pStyle w:val="ListParagraph"/>
        <w:rPr>
          <w:rFonts w:eastAsia="Calibri"/>
          <w:lang w:val="sr-Latn-CS"/>
        </w:rPr>
      </w:pPr>
      <w:r w:rsidRPr="00515762">
        <w:rPr>
          <w:rFonts w:ascii="Calibri" w:eastAsia="Calibri" w:hAnsi="Calibri"/>
          <w:lang w:val="sr-Latn-CS"/>
        </w:rPr>
        <w:t>•</w:t>
      </w:r>
      <w:r w:rsidRPr="00515762">
        <w:rPr>
          <w:rFonts w:ascii="Calibri" w:eastAsia="Calibri" w:hAnsi="Calibri"/>
          <w:lang w:val="sr-Latn-CS"/>
        </w:rPr>
        <w:tab/>
        <w:t>Administrativno uputstvo MŽSPP 01/2017 o izdavanju opštinske dozvole za životnu sredinu</w:t>
      </w:r>
      <w:r w:rsidR="00F3731A" w:rsidRPr="003B3244">
        <w:rPr>
          <w:rFonts w:eastAsia="Calibri"/>
          <w:lang w:val="sr-Latn-CS"/>
        </w:rPr>
        <w:t>;</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Zakon o zaštiti životne sredine 2002/8 je krovni akt kosovskog zakonskog i regulatornog okvira. Osnovna svrha ovog zakona je uspostavljanje osnovnog pravnog okvira koji će promovisati zdravije okruženje za ljude na Kosovu kroz postepeno uvođenje standarda o životnoj sredini Evropske unije</w:t>
      </w:r>
      <w:r w:rsidRPr="00EA52A6">
        <w:rPr>
          <w:rFonts w:ascii="Times New Roman" w:eastAsia="Arial" w:hAnsi="Times New Roman" w:cs="Times New Roman"/>
          <w:vertAlign w:val="superscript"/>
          <w:lang w:val="sr-Latn-CS"/>
        </w:rPr>
        <w:footnoteReference w:id="23"/>
      </w:r>
      <w:r w:rsidRPr="00EA52A6">
        <w:rPr>
          <w:rFonts w:ascii="Times New Roman" w:eastAsia="Arial" w:hAnsi="Times New Roman" w:cs="Times New Roman"/>
          <w:lang w:val="sr-Latn-CS"/>
        </w:rPr>
        <w:t xml:space="preserve">. Zakon se bavi sprečavanjem i smanjenjem zagađenja, praćenjem životne sredine i naglašava, između ostalog, načela racionalnog korišćenja prirodnih resursa. Zaštita životne sredine podleže kažnjavanju ovim zakonom. </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 xml:space="preserve">Ovaj zakon reguliše, između ostalog, uslove i procedure za procenu uticaja na životnu sredinu (PUŽS). </w:t>
      </w:r>
      <w:r w:rsidRPr="00EA52A6">
        <w:rPr>
          <w:rFonts w:ascii="Times New Roman" w:eastAsia="Arial" w:hAnsi="Times New Roman" w:cs="Times New Roman"/>
          <w:b/>
          <w:lang w:val="sr-Latn-CS"/>
        </w:rPr>
        <w:t>Nijedna predviđena aktivnost projekta ne predstavlja takav potencijal za štetne uticaje na životnu sredinu, niti su iste navedene u Aneksima I i II Zakona za koje bi PUŽS bio obavezan ili izvršen po izboru</w:t>
      </w:r>
      <w:r w:rsidRPr="00EA52A6">
        <w:rPr>
          <w:rFonts w:ascii="Times New Roman" w:eastAsia="Arial" w:hAnsi="Times New Roman" w:cs="Times New Roman"/>
          <w:b/>
          <w:color w:val="000000"/>
          <w:lang w:val="sr-Latn-CS"/>
        </w:rPr>
        <w:t xml:space="preserve">.  </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 xml:space="preserve">Zakon br. 03/L-214 o proceni uticaja na životnu sredinu reguliše procedure za identifikaciju, procenu, izveštavanje i upravljanje uticajem na životnu sredinu predloženog projekta, kako bi tokom procesa donošenja odluka od strane MŽSPP-a  za izdavanje ekološke dozvole, bile obezbeđene sve relevantne informacije u vezi sa životnom sredinom. </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b/>
          <w:color w:val="000000"/>
          <w:lang w:val="sr-Latn-CS"/>
        </w:rPr>
        <w:t xml:space="preserve">Svi ostali radovi rehabilitacije, rekonstrukcije i mala gradilišta ne zahtevaju procenu uticaja na životnu sredinu prema nacionalnom zakonodavstvu. Prema tome, za vrstu aktivnosti planiranu u okviru ovog projekta nije potreban PUŽS ili druga vrste studije o životnoj sredini </w:t>
      </w:r>
      <w:r w:rsidR="00CB016C">
        <w:rPr>
          <w:rFonts w:ascii="Times New Roman" w:eastAsia="Arial" w:hAnsi="Times New Roman" w:cs="Times New Roman"/>
          <w:b/>
          <w:color w:val="000000"/>
          <w:lang w:val="sr-Latn-CS"/>
        </w:rPr>
        <w:t xml:space="preserve"> </w:t>
      </w:r>
      <w:r w:rsidR="00CB016C" w:rsidRPr="00CB016C">
        <w:rPr>
          <w:rFonts w:ascii="Times New Roman" w:eastAsia="Arial" w:hAnsi="Times New Roman" w:cs="Times New Roman"/>
          <w:b/>
          <w:color w:val="000000"/>
          <w:lang w:val="sr-Latn-CS"/>
        </w:rPr>
        <w:t xml:space="preserve">prema nacionalnom zakonodavstvu </w:t>
      </w:r>
      <w:r w:rsidRPr="00EA52A6">
        <w:rPr>
          <w:rFonts w:ascii="Times New Roman" w:eastAsia="Arial" w:hAnsi="Times New Roman" w:cs="Times New Roman"/>
          <w:b/>
          <w:color w:val="000000"/>
          <w:lang w:val="sr-Latn-CS"/>
        </w:rPr>
        <w:t>(</w:t>
      </w:r>
      <w:r w:rsidRPr="00EA52A6">
        <w:rPr>
          <w:rFonts w:ascii="Times New Roman" w:eastAsia="Arial" w:hAnsi="Times New Roman" w:cs="Times New Roman"/>
          <w:color w:val="000000"/>
          <w:lang w:val="sr-Latn-CS"/>
        </w:rPr>
        <w:t xml:space="preserve">Lista projekata za koje je potreban PUŽS dostupna je na sledećem linku: </w:t>
      </w:r>
      <w:hyperlink r:id="rId11" w:history="1">
        <w:r w:rsidRPr="00EA52A6">
          <w:rPr>
            <w:rFonts w:ascii="Times New Roman" w:eastAsia="Arial" w:hAnsi="Times New Roman" w:cs="Times New Roman"/>
            <w:color w:val="0563C1"/>
            <w:u w:val="single"/>
            <w:lang w:val="sr-Latn-CS"/>
          </w:rPr>
          <w:t>https://gzk.rks-gov.net/ActDetail.aspx?ActID=2708</w:t>
        </w:r>
      </w:hyperlink>
      <w:r w:rsidRPr="00EA52A6">
        <w:rPr>
          <w:rFonts w:ascii="Times New Roman" w:eastAsia="Arial" w:hAnsi="Times New Roman" w:cs="Times New Roman"/>
          <w:color w:val="000000"/>
          <w:lang w:val="sr-Latn-CS"/>
        </w:rPr>
        <w:t xml:space="preserve"> ). </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 xml:space="preserve">Na osnovu pravnog okvira koji se odnosi na administrativno uputstvo MŽSPP/ 01/2017 o izdavanju opštinske ekološke dozvole, Aneks/Lista aktivnosti koje podležu izdavanju opštinske ekološke dozvole, aktivnosti u okviru projekta „Podrška lokalnom razvoju na Kosovu uz inkluziju mladih“ ne spada u okvir navedenog  AU/MŽSPP/01/2017. </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Zakon o zaštiti prirode (2010/03-L-233) uređuje uspostavljanje i upravljanje zaštićenim područjima. Direkcije za upravljanje nacionalnim parkovima, prirodnim parkovima i prirodnim spomenicima od posebnog značaja uspostavljene su od strane MŽSPP-a, dok druge kategorije zaštićenih područja vode nadležne opštine.</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b/>
          <w:lang w:val="sr-Latn-CS"/>
        </w:rPr>
        <w:t>Nijedna aktivnost finansirana ovim projektom ne može biti sprovedena u zaštićenim područjima koja su navedena na sledećoj veb stranici: http://www.kuvendikosoves.org/common/docs/ligjet/2010-233-eng.pdf</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Zakon o inspektoratu životne sredine, voda, prirode, prostornog planiranja i izgradnje (04/L-175) reguliše načela, organizaciju i nadzorne inspekcije, koordinaciju nadzornih inspekcija, prava, dužnosti, ovlašćenja inspektora, obaveze i nadležne subjekte, postupke vršenja inspekcija i ostala značajna pitanja koja se odnose na nadzorne inspekcije. Obim primene ovog zakona se odnosi na dužnosti i ovlašćenja inspektora u skladu sa nadzorom oblasti životne sredine, vode, priroda, urbanog planiranja i izgradnje u okviru tela na lokalnom i centralnom nivou Opštinskog inspektorata za izgradnju i Opštinskog inspektorata za zaštitu životne sredine. U skladu sa ovim Zakonom, državni inspektorat za zaštitu prirode sprovodi nadzorne inspekcije i kontrolu kroz inspekcije u prirodi sprovođenjem zakonskih i podzakonskih akata koji se odnose na zaštitu životne sredine. Inspektorat za zaštitu prirode  takođe sprovodi svoje dužnosti i odgovornosti u zaštiti prirode usklađivanjem svojih aktivnosti sa zahtevima Evropske Unije za mrežu „NATURE – 2000“.</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 xml:space="preserve">Zakon o izgradnji br. 2004/2015 određuje glavne uslove za projektovanje, izgradnju i upotrebu građevinskog materijala, stručni nadzor, kao i postupke za građevinske dozvole, dozvole za korišćenje i građevinske inspekcije. </w:t>
      </w:r>
      <w:r w:rsidRPr="00EA52A6">
        <w:rPr>
          <w:rFonts w:ascii="Times New Roman" w:eastAsia="Arial" w:hAnsi="Times New Roman" w:cs="Times New Roman"/>
          <w:lang w:val="sr-Latn-CS"/>
        </w:rPr>
        <w:lastRenderedPageBreak/>
        <w:t>Odredbe ovog zakona uređuju uslove projektovanja i izgradnje u vezi sa javnom bezbednošću i zaštitom životne sredine na Kosovu, a primenjuju se i na druge građevinske objekte, osim ako ovim zakonom ili administrativnim uputstvom nije drugačije određeno</w:t>
      </w:r>
      <w:r w:rsidRPr="00EA52A6">
        <w:rPr>
          <w:rFonts w:ascii="Times New Roman" w:eastAsia="Arial" w:hAnsi="Times New Roman" w:cs="Arial"/>
          <w:vertAlign w:val="superscript"/>
          <w:lang w:val="sr-Latn-CS"/>
        </w:rPr>
        <w:footnoteReference w:id="24"/>
      </w:r>
      <w:r w:rsidRPr="00EA52A6">
        <w:rPr>
          <w:rFonts w:ascii="Times New Roman" w:eastAsia="Arial" w:hAnsi="Times New Roman" w:cs="Times New Roman"/>
          <w:lang w:val="sr-Latn-CS"/>
        </w:rPr>
        <w:t xml:space="preserve">. </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b/>
          <w:color w:val="000000"/>
          <w:lang w:val="sr-Latn-CS"/>
        </w:rPr>
      </w:pPr>
      <w:r w:rsidRPr="00EA52A6">
        <w:rPr>
          <w:rFonts w:ascii="Times New Roman" w:eastAsia="Arial" w:hAnsi="Times New Roman" w:cs="Times New Roman"/>
          <w:lang w:val="sr-Latn-CS"/>
        </w:rPr>
        <w:t>Glavni cilj zakona o zaštiti na radu, zaštiti zdravlja zaposlenih i radnoj sredini (2003) je i dalje sprečavanje povreda na radu i bolesti na radnom mestu i zaštita radne sredine</w:t>
      </w:r>
      <w:r w:rsidRPr="00EA52A6">
        <w:rPr>
          <w:rFonts w:ascii="Times New Roman" w:eastAsia="Arial" w:hAnsi="Times New Roman" w:cs="Times New Roman"/>
          <w:vertAlign w:val="superscript"/>
          <w:lang w:val="sr-Latn-CS"/>
        </w:rPr>
        <w:footnoteReference w:id="25"/>
      </w:r>
      <w:r w:rsidRPr="00EA52A6">
        <w:rPr>
          <w:rFonts w:ascii="Times New Roman" w:eastAsia="Arial" w:hAnsi="Times New Roman" w:cs="Times New Roman"/>
          <w:lang w:val="sr-Latn-CS"/>
        </w:rPr>
        <w:t xml:space="preserve">. Uslove rada na radnom mestu, prava zaposlenih i obaveze poslodavaca uređuje samo uopšteno. Međutim, ne navodi konkretno određena pitanja, osim u opštim vanrednim situacijama poput požara na radnom mestu, električnih opasnosti i tako dalje. Ne pokriva nikakva specifična pitanja u vezi sa raspoređivanjem infrastrukture. </w:t>
      </w:r>
      <w:r w:rsidRPr="00EA52A6">
        <w:rPr>
          <w:rFonts w:ascii="Times New Roman" w:eastAsia="Arial" w:hAnsi="Times New Roman" w:cs="Times New Roman"/>
          <w:b/>
          <w:lang w:val="sr-Latn-CS"/>
        </w:rPr>
        <w:t>Ovaj zakon će se u potpunosti primeniti u sprovođenju potprojekata</w:t>
      </w:r>
      <w:r w:rsidRPr="00EA52A6">
        <w:rPr>
          <w:rFonts w:ascii="Times New Roman" w:eastAsia="Arial" w:hAnsi="Times New Roman" w:cs="Times New Roman"/>
          <w:b/>
          <w:color w:val="000000"/>
          <w:lang w:val="sr-Latn-CS"/>
        </w:rPr>
        <w:t>.</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Zakon o otpadu (2012), Nacionalna strategija upravljanja otpadom i petogodišnji plan upravljanja otpadom (2013-2017) sa merama zasnovanim na Strategiji čine jezgro upravljanja čvrstim otpadom. Prema  ovom zakonodavstvu, Kosovo je uspostavilo regionalni sistem za sakupljanje i odlaganje otpada. Nedavno su pokrenute promene u sistemu fakturisanja i naplate, koje su namenjene poboljšanju finansijskog učinka sektora</w:t>
      </w:r>
      <w:r w:rsidRPr="00EA52A6">
        <w:rPr>
          <w:rFonts w:ascii="Times New Roman" w:eastAsia="Arial" w:hAnsi="Times New Roman" w:cs="Arial"/>
          <w:vertAlign w:val="superscript"/>
          <w:lang w:val="sr-Latn-CS"/>
        </w:rPr>
        <w:footnoteReference w:id="26"/>
      </w:r>
      <w:r w:rsidRPr="00EA52A6">
        <w:rPr>
          <w:rFonts w:ascii="Times New Roman" w:eastAsia="Arial" w:hAnsi="Times New Roman" w:cs="Times New Roman"/>
          <w:lang w:val="sr-Latn-CS"/>
        </w:rPr>
        <w:t xml:space="preserve">. </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 xml:space="preserve">MŽSPP izdaje dozvole za upravljanje otpadom, dozvole za izvoz, uvoz i tranzit otpada i upravlja opasnim otpadom. Što se tiče dozvola za upravljanje deponijama otpada, jedna ili više opština, po dogovoru, mogu utvrditi i koristiti lokaciju na svojoj teritoriji za izgradnju objekata i opreme za upravljanje otpadom. Ako opštine ne mogu postići saglasnost za postavljanje zajedničke lokacije za upravljanje otpadom, MŽSPP donosi odluku na osnovu toga da li su uslovi u skladu sa ovim zakonom ispunjeni. </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Ministar MŽSPP-a može preduzeti dodatne mere za upravljanje određenim vrstama otpada, ukoliko otpad i rad sa otpadom ugrožavaju životnu sredinu i zdravlje ljudi, a postoje i dodatni zahtevi za primenu odredaba međunarodnih sporazuma, koje je Republika Kosovo dužna da poštuje.</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Lokalne samouprave (opštine) su odgovorne za izdavanje lokalnih planova za upravljanje otpadom, određivanje lokacije za potrebe upravljanja komunalnim otpadom i sl, prema prostornom planu, i određivanje naknada za sakupljanje i odlaganje komunalnog otpada. Zakonom su, takođe, odgovorni za odabir licenciranih lica (putem primene procedura nabavke) za prikupljanje, skladištenje i transport čvrstog otpada, komunalnog otpada, obimnog otpada, od izgradnje i rušenja zgrada i poslovnih objekata na njihovoj teritoriji. Kosovska kompanija za upravljanje deponijama (KKUD) rukovodi sanitarnim deponijama komunalnog otpada.</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Opasnim otpadom se upravlja prema odredbama Zakona o otpadu, tj. MŽSPP ima mandat da upravlja opasnim otpadom, u saradnji sa odgovarajućim ministarstvom. Mere koje treba preduzeti u pogledu opasnog otpada su  razrađene u petogodišnjoj Nacionalnoj strategiji upravljanja otpadom.</w:t>
      </w:r>
    </w:p>
    <w:p w:rsidR="00EA52A6" w:rsidRPr="00EA52A6" w:rsidRDefault="00EA52A6" w:rsidP="00EA52A6">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EA52A6">
        <w:rPr>
          <w:rFonts w:ascii="Times New Roman" w:eastAsia="Arial" w:hAnsi="Times New Roman" w:cs="Times New Roman"/>
          <w:lang w:val="sr-Latn-CS"/>
        </w:rPr>
        <w:t>Svrha Zakona o zaštiti od buke br. 02/L-102 je izbegavanje, sprečavanje ili smanjenje na prioritetnim osnovama, štetnih efekata, uključujući i uznemiravanje, zbog izlaganja buci, u okruženju. Ovaj deo zakonodavstva pruža osnovu za izradu mera za smanjenje buke koju emituju glavni izvori, posebno avioni, putne i železničke saobraćajnice, spoljna i industrijska oprema, pokretne mašine i drugi izvori zagađenja buke i uznemiravanja u okolini</w:t>
      </w:r>
      <w:r w:rsidRPr="00EA52A6">
        <w:rPr>
          <w:rFonts w:ascii="Times New Roman" w:eastAsia="Arial" w:hAnsi="Times New Roman" w:cs="Arial"/>
          <w:vertAlign w:val="superscript"/>
          <w:lang w:val="sr-Latn-CS"/>
        </w:rPr>
        <w:footnoteReference w:id="27"/>
      </w:r>
      <w:r w:rsidRPr="00EA52A6">
        <w:rPr>
          <w:rFonts w:ascii="Times New Roman" w:eastAsia="Arial" w:hAnsi="Times New Roman" w:cs="Times New Roman"/>
          <w:lang w:val="sr-Latn-CS"/>
        </w:rPr>
        <w:t xml:space="preserve">. </w:t>
      </w:r>
    </w:p>
    <w:p w:rsidR="00F3731A" w:rsidRPr="003B3244" w:rsidRDefault="00EA52A6" w:rsidP="00EA52A6">
      <w:pPr>
        <w:pStyle w:val="BodyText"/>
        <w:spacing w:before="100" w:beforeAutospacing="1" w:after="100" w:afterAutospacing="1"/>
        <w:ind w:left="289" w:right="289"/>
        <w:rPr>
          <w:rFonts w:cs="Times New Roman"/>
          <w:lang w:val="sr-Latn-CS"/>
        </w:rPr>
      </w:pPr>
      <w:r w:rsidRPr="00D73821">
        <w:rPr>
          <w:rFonts w:cs="Times New Roman"/>
          <w:lang w:val="sr-Latn-CS"/>
        </w:rPr>
        <w:t>Kosovo ima razrađenu regulativu zaštite kulturnog nasleđa: Ustav, zajedno sa Zakonom o kulturnom nasleđu, Zakonom o posebnim zaštićenim zonama (uključujući Zakon o istorijskom centru Prizrena i Zakon o Velikoj Hoči), Zakonom  o selu Zum, Zakonom o slobodi veroispovesti, Zakonom o eksproprijaciji, Zakonom o izgradnji, Zakonom o institucijama kulture i Zakonom o lokalnoj samoupravi; i drugim zakonima kao što su Zakon o prostornom planiranju i Zakon o arhivama, podzakonskim aktima kao što su Savet za sprovođenje i praćenje (SSP), uspostavljenim u skladu sa Zakonom o posebnim zaštitnim zonama i drugim administrativnim aktima, osigurava posebnu zaštitu kulturnog i verskog nasleđa Srpske pravoslavne crkve na Kosovu, kao i odredbe evropske saradnje i međunarodne standarde i najbolje prakse kulturnog nasljeđa, uključujući one koji promovišu kulturnu i versku različitost i dijalog</w:t>
      </w:r>
      <w:r w:rsidRPr="00EA52A6">
        <w:rPr>
          <w:rFonts w:ascii="Calibri" w:eastAsia="Calibri" w:hAnsi="Calibri" w:cs="Times New Roman"/>
          <w:vertAlign w:val="superscript"/>
          <w:lang w:val="sr-Latn-CS"/>
        </w:rPr>
        <w:footnoteReference w:id="28"/>
      </w:r>
      <w:r w:rsidRPr="00EA52A6">
        <w:rPr>
          <w:rFonts w:ascii="Calibri" w:eastAsia="Calibri" w:hAnsi="Calibri" w:cs="Times New Roman"/>
          <w:lang w:val="sr-Latn-CS"/>
        </w:rPr>
        <w:t xml:space="preserve">. </w:t>
      </w:r>
      <w:r w:rsidRPr="00D73821">
        <w:rPr>
          <w:rFonts w:cs="Times New Roman"/>
          <w:lang w:val="sr-Latn-CS"/>
        </w:rPr>
        <w:t>Pored toga, Kosovo ima Nacionalnu strategiju za kulturno nasleđe (2017-2027)</w:t>
      </w:r>
      <w:r w:rsidR="00740DBF">
        <w:rPr>
          <w:rStyle w:val="FootnoteReference"/>
          <w:rFonts w:cs="Times New Roman"/>
          <w:lang w:val="sr-Latn-CS"/>
        </w:rPr>
        <w:footnoteReference w:id="29"/>
      </w:r>
      <w:r w:rsidRPr="00D73821">
        <w:rPr>
          <w:rFonts w:cs="Times New Roman"/>
          <w:lang w:val="sr-Latn-CS"/>
        </w:rPr>
        <w:t xml:space="preserve">, čiji je prvi cilj unapređenje pravnog i institucionalnog okvira u ovoj oblasti. Nijedan od spomenika </w:t>
      </w:r>
      <w:r w:rsidRPr="00D73821">
        <w:rPr>
          <w:rFonts w:cs="Times New Roman"/>
          <w:lang w:val="sr-Latn-CS"/>
        </w:rPr>
        <w:lastRenderedPageBreak/>
        <w:t>navedenih u nacionalnoj listi zaštićenog kulturnog nasleđa ne može biti uključen ili pod uticajem projekta. U slučaju slučajnih otkrića uticaja, projekat će se oslanjati na nacionalnu regulativu i pratiti određene postupke definisane zakonodavstvom</w:t>
      </w:r>
      <w:r w:rsidR="00F3731A" w:rsidRPr="003B3244">
        <w:rPr>
          <w:rFonts w:cs="Times New Roman"/>
          <w:lang w:val="sr-Latn-CS"/>
        </w:rPr>
        <w:t xml:space="preserve">. </w:t>
      </w:r>
    </w:p>
    <w:p w:rsidR="00F3731A" w:rsidRPr="003B3244" w:rsidRDefault="00F3731A" w:rsidP="00F3731A">
      <w:pPr>
        <w:pStyle w:val="Heading1"/>
        <w:spacing w:before="26"/>
        <w:jc w:val="both"/>
        <w:rPr>
          <w:rFonts w:eastAsia="Calibri" w:cs="Times New Roman"/>
          <w:b w:val="0"/>
          <w:color w:val="000000"/>
          <w:sz w:val="22"/>
          <w:szCs w:val="22"/>
          <w:lang w:val="sr-Latn-CS"/>
        </w:rPr>
      </w:pPr>
    </w:p>
    <w:p w:rsidR="00F3731A" w:rsidRPr="003B3244" w:rsidRDefault="00EA52A6" w:rsidP="00F3731A">
      <w:pPr>
        <w:pStyle w:val="Heading1"/>
        <w:rPr>
          <w:lang w:val="sr-Latn-CS"/>
        </w:rPr>
      </w:pPr>
      <w:bookmarkStart w:id="48" w:name="_Toc531255634"/>
      <w:r w:rsidRPr="00EA52A6">
        <w:rPr>
          <w:lang w:val="sr-Latn-CS"/>
        </w:rPr>
        <w:t>Potencijalni uticaji na životnu sredinu</w:t>
      </w:r>
      <w:bookmarkEnd w:id="48"/>
    </w:p>
    <w:p w:rsidR="002C3F40" w:rsidRPr="002C3F40" w:rsidRDefault="002C3F40" w:rsidP="002C3F40">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bookmarkStart w:id="49" w:name="_Toc528270788"/>
      <w:r w:rsidRPr="002C3F40">
        <w:rPr>
          <w:rFonts w:ascii="Times New Roman" w:eastAsia="Arial" w:hAnsi="Times New Roman" w:cs="Times New Roman"/>
          <w:lang w:val="sr-Latn-CS"/>
        </w:rPr>
        <w:t xml:space="preserve">U analizama konsultacija i istraživanja na institucionalnom nivou koji se odnose na uticaj projekta na životnu sredinu - Ministarstvo životne sredine i prostornog planiranja (MŽSPP) - i pozivajući se na višestruki uticaj na navedene zakonske osnove, zaključeno je da mogućnost negativnog uticaja na životnu sredinu nizak. Međutim, ako se isti ne ublaži, može doći do štetnih uticaja, uglavnom tipičnih za lake građevinske radove. Pored toga, lista  potencijalnih potprojekata nije u potpunosti definisana i moguće su druge vrste uticaja. </w:t>
      </w:r>
      <w:bookmarkEnd w:id="49"/>
    </w:p>
    <w:p w:rsidR="002C3F40" w:rsidRPr="002C3F40" w:rsidRDefault="002C3F40" w:rsidP="002C3F40">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2C3F40">
        <w:rPr>
          <w:rFonts w:ascii="Times New Roman" w:eastAsia="Arial" w:hAnsi="Times New Roman" w:cs="Times New Roman"/>
          <w:lang w:val="sr-Latn-CS"/>
        </w:rPr>
        <w:t>Uticaji na životnu sredinu potprojekata će biti tipični za male građevinske radove:</w:t>
      </w:r>
    </w:p>
    <w:p w:rsidR="002C3F40" w:rsidRPr="002C3F40" w:rsidRDefault="002C3F40" w:rsidP="002C3F40">
      <w:pPr>
        <w:numPr>
          <w:ilvl w:val="0"/>
          <w:numId w:val="14"/>
        </w:numPr>
        <w:spacing w:after="0" w:line="240" w:lineRule="auto"/>
        <w:contextualSpacing/>
        <w:jc w:val="both"/>
        <w:rPr>
          <w:rFonts w:ascii="Times New Roman" w:eastAsia="Arial" w:hAnsi="Times New Roman" w:cs="Times New Roman"/>
          <w:lang w:val="sr-Latn-CS"/>
        </w:rPr>
      </w:pPr>
      <w:r w:rsidRPr="002C3F40">
        <w:rPr>
          <w:rFonts w:ascii="Times New Roman" w:eastAsia="Arial" w:hAnsi="Times New Roman" w:cs="Times New Roman"/>
          <w:lang w:val="sr-Latn-CS"/>
        </w:rPr>
        <w:t>Emisije prašine pri transportu radnika i materijala;</w:t>
      </w:r>
    </w:p>
    <w:p w:rsidR="002C3F40" w:rsidRPr="002C3F40" w:rsidRDefault="002C3F40" w:rsidP="002C3F40">
      <w:pPr>
        <w:numPr>
          <w:ilvl w:val="0"/>
          <w:numId w:val="14"/>
        </w:numPr>
        <w:spacing w:after="0" w:line="240" w:lineRule="auto"/>
        <w:contextualSpacing/>
        <w:jc w:val="both"/>
        <w:rPr>
          <w:rFonts w:ascii="Times New Roman" w:eastAsia="Arial" w:hAnsi="Times New Roman" w:cs="Times New Roman"/>
          <w:lang w:val="sr-Latn-CS"/>
        </w:rPr>
      </w:pPr>
      <w:r w:rsidRPr="002C3F40">
        <w:rPr>
          <w:rFonts w:ascii="Times New Roman" w:eastAsia="Arial" w:hAnsi="Times New Roman" w:cs="Times New Roman"/>
          <w:lang w:val="sr-Latn-CS"/>
        </w:rPr>
        <w:t>Prašina od zemljanih radova, utovar i istovar materijala, uklanjanje zidova, maltera, izolacije i drugih građevinskih elemenata;</w:t>
      </w:r>
    </w:p>
    <w:p w:rsidR="002C3F40" w:rsidRPr="002C3F40" w:rsidRDefault="002C3F40" w:rsidP="002C3F40">
      <w:pPr>
        <w:numPr>
          <w:ilvl w:val="0"/>
          <w:numId w:val="14"/>
        </w:numPr>
        <w:spacing w:after="0" w:line="240" w:lineRule="auto"/>
        <w:contextualSpacing/>
        <w:jc w:val="both"/>
        <w:rPr>
          <w:rFonts w:ascii="Times New Roman" w:eastAsia="Arial" w:hAnsi="Times New Roman" w:cs="Times New Roman"/>
          <w:lang w:val="sr-Latn-CS"/>
        </w:rPr>
      </w:pPr>
      <w:r w:rsidRPr="002C3F40">
        <w:rPr>
          <w:rFonts w:ascii="Times New Roman" w:eastAsia="Arial" w:hAnsi="Times New Roman" w:cs="Times New Roman"/>
          <w:lang w:val="sr-Latn-CS"/>
        </w:rPr>
        <w:t>Rizici ZSR-a od rada na visinama, teške mašinerije i vožnje, rizik od saplitanja i padanja, zanemarivanje bezbednosne opreme i odeće, postupaka ili znakova upozorenja;</w:t>
      </w:r>
    </w:p>
    <w:p w:rsidR="002C3F40" w:rsidRPr="002C3F40" w:rsidRDefault="002C3F40" w:rsidP="002C3F40">
      <w:pPr>
        <w:numPr>
          <w:ilvl w:val="0"/>
          <w:numId w:val="14"/>
        </w:numPr>
        <w:spacing w:after="0" w:line="240" w:lineRule="auto"/>
        <w:contextualSpacing/>
        <w:jc w:val="both"/>
        <w:rPr>
          <w:rFonts w:ascii="Times New Roman" w:eastAsia="Arial" w:hAnsi="Times New Roman" w:cs="Times New Roman"/>
          <w:lang w:val="sr-Latn-CS"/>
        </w:rPr>
      </w:pPr>
      <w:r w:rsidRPr="002C3F40">
        <w:rPr>
          <w:rFonts w:ascii="Times New Roman" w:eastAsia="Arial" w:hAnsi="Times New Roman" w:cs="Times New Roman"/>
          <w:lang w:val="sr-Latn-CS"/>
        </w:rPr>
        <w:t>Emisije buke transportnih i teških mašina;</w:t>
      </w:r>
    </w:p>
    <w:p w:rsidR="002C3F40" w:rsidRPr="002C3F40" w:rsidRDefault="002C3F40" w:rsidP="002C3F40">
      <w:pPr>
        <w:numPr>
          <w:ilvl w:val="0"/>
          <w:numId w:val="14"/>
        </w:numPr>
        <w:spacing w:after="0" w:line="240" w:lineRule="auto"/>
        <w:contextualSpacing/>
        <w:jc w:val="both"/>
        <w:rPr>
          <w:rFonts w:ascii="Times New Roman" w:eastAsia="Arial" w:hAnsi="Times New Roman" w:cs="Times New Roman"/>
          <w:lang w:val="sr-Latn-CS"/>
        </w:rPr>
      </w:pPr>
      <w:r w:rsidRPr="002C3F40">
        <w:rPr>
          <w:rFonts w:ascii="Times New Roman" w:eastAsia="Arial" w:hAnsi="Times New Roman" w:cs="Times New Roman"/>
          <w:lang w:val="sr-Latn-CS"/>
        </w:rPr>
        <w:t xml:space="preserve">Generisanje otpada - mala količina građevinskog otpada će se generisati uglavnom tokom rehabilitacije sportske </w:t>
      </w:r>
      <w:r w:rsidR="006C775B">
        <w:rPr>
          <w:rFonts w:ascii="Times New Roman" w:eastAsia="Arial" w:hAnsi="Times New Roman" w:cs="Times New Roman"/>
          <w:lang w:val="sr-Latn-CS"/>
        </w:rPr>
        <w:t>dvorane</w:t>
      </w:r>
      <w:r w:rsidRPr="002C3F40">
        <w:rPr>
          <w:rFonts w:ascii="Times New Roman" w:eastAsia="Arial" w:hAnsi="Times New Roman" w:cs="Times New Roman"/>
          <w:lang w:val="sr-Latn-CS"/>
        </w:rPr>
        <w:t xml:space="preserve"> ili bilo kojih radova popravke/građevinskih radova (ako postoje). Može doći do određenih malih  količina otpada cementa ili drugog građevinskog materijala, keramike ili slično, ali u svakom slučaju će se poštovati politike Svetske banke i nacionalni zakoni o postupanju sa odlaganjem otpada prilikom lakih građevinskih radova. </w:t>
      </w:r>
    </w:p>
    <w:p w:rsidR="002C3F40" w:rsidRPr="002C3F40" w:rsidRDefault="002C3F40" w:rsidP="002C3F40">
      <w:pPr>
        <w:numPr>
          <w:ilvl w:val="0"/>
          <w:numId w:val="14"/>
        </w:numPr>
        <w:spacing w:after="0" w:line="240" w:lineRule="auto"/>
        <w:contextualSpacing/>
        <w:jc w:val="both"/>
        <w:rPr>
          <w:rFonts w:ascii="Times New Roman" w:eastAsia="Arial" w:hAnsi="Times New Roman" w:cs="Times New Roman"/>
          <w:lang w:val="sr-Latn-CS"/>
        </w:rPr>
      </w:pPr>
      <w:r w:rsidRPr="002C3F40">
        <w:rPr>
          <w:rFonts w:ascii="Times New Roman" w:eastAsia="Arial" w:hAnsi="Times New Roman" w:cs="Times New Roman"/>
          <w:lang w:val="sr-Latn-CS"/>
        </w:rPr>
        <w:t>Uticaj na zemljište će biti veoma ograničen, međutim, moguća su i izlivanja i curenja goriva, ulja, boje itd;</w:t>
      </w:r>
    </w:p>
    <w:p w:rsidR="002C3F40" w:rsidRPr="002C3F40" w:rsidRDefault="002C3F40" w:rsidP="002C3F40">
      <w:pPr>
        <w:numPr>
          <w:ilvl w:val="0"/>
          <w:numId w:val="14"/>
        </w:numPr>
        <w:spacing w:after="0" w:line="240" w:lineRule="auto"/>
        <w:contextualSpacing/>
        <w:jc w:val="both"/>
        <w:rPr>
          <w:rFonts w:ascii="Times New Roman" w:eastAsia="Arial" w:hAnsi="Times New Roman" w:cs="Times New Roman"/>
          <w:lang w:val="sr-Latn-CS"/>
        </w:rPr>
      </w:pPr>
      <w:r w:rsidRPr="002C3F40">
        <w:rPr>
          <w:rFonts w:ascii="Times New Roman" w:eastAsia="Arial" w:hAnsi="Times New Roman" w:cs="Times New Roman"/>
          <w:lang w:val="sr-Latn-CS"/>
        </w:rPr>
        <w:t xml:space="preserve">Uticaj na vodu - nije predviđen nikakav uticaj na vodu, moguća je i mala razmera od ograničenih izlivanja opasnih tečnosti; </w:t>
      </w:r>
    </w:p>
    <w:p w:rsidR="00F3731A" w:rsidRPr="003B3244" w:rsidRDefault="002C3F40" w:rsidP="002C3F40">
      <w:pPr>
        <w:pStyle w:val="ListParagraph"/>
        <w:widowControl/>
        <w:numPr>
          <w:ilvl w:val="0"/>
          <w:numId w:val="14"/>
        </w:numPr>
        <w:autoSpaceDE/>
        <w:autoSpaceDN/>
        <w:spacing w:before="0"/>
        <w:contextualSpacing/>
        <w:jc w:val="both"/>
        <w:rPr>
          <w:rFonts w:eastAsia="Arial"/>
          <w:lang w:val="sr-Latn-CS"/>
        </w:rPr>
      </w:pPr>
      <w:r w:rsidRPr="002C3F40">
        <w:rPr>
          <w:rFonts w:ascii="Calibri" w:eastAsia="Arial" w:hAnsi="Calibri"/>
          <w:lang w:val="sr-Latn-CS"/>
        </w:rPr>
        <w:t>Uticaj na prirodu nije predviđen, jer u zaštićenim područjima neće biti radova, a radovi su ograničeni građevinski radovi. U slučaju radova na otvorenom prostoru, npr. rehabilitacija parkova, biće dobijeno odobrenje nadležnih organa za uklanjanje zelenila i pojedinačnih stabala. U ponovnom ozelenjavanju će se koristiti samo lokalne biljne vrste</w:t>
      </w:r>
      <w:r w:rsidR="00F3731A" w:rsidRPr="003B3244">
        <w:rPr>
          <w:rFonts w:eastAsia="Arial"/>
          <w:lang w:val="sr-Latn-CS"/>
        </w:rPr>
        <w:t xml:space="preserve">. </w:t>
      </w:r>
    </w:p>
    <w:p w:rsidR="00F3731A" w:rsidRPr="003B3244" w:rsidRDefault="00F3731A" w:rsidP="00F3731A">
      <w:pPr>
        <w:pStyle w:val="Heading1"/>
        <w:spacing w:before="26"/>
        <w:jc w:val="both"/>
        <w:rPr>
          <w:rFonts w:eastAsia="Calibri" w:cs="Times New Roman"/>
          <w:color w:val="000000"/>
          <w:sz w:val="22"/>
          <w:szCs w:val="22"/>
          <w:lang w:val="sr-Latn-CS"/>
        </w:rPr>
      </w:pPr>
    </w:p>
    <w:p w:rsidR="00F3731A" w:rsidRPr="003B3244" w:rsidRDefault="002C3F40" w:rsidP="00F3731A">
      <w:pPr>
        <w:pStyle w:val="Heading1"/>
        <w:rPr>
          <w:lang w:val="sr-Latn-CS"/>
        </w:rPr>
      </w:pPr>
      <w:bookmarkStart w:id="50" w:name="_Toc531255635"/>
      <w:r w:rsidRPr="002C3F40">
        <w:rPr>
          <w:lang w:val="sr-Latn-CS"/>
        </w:rPr>
        <w:t>Mere ublažavanja</w:t>
      </w:r>
      <w:bookmarkEnd w:id="50"/>
      <w:r>
        <w:rPr>
          <w:lang w:val="sr-Latn-CS"/>
        </w:rPr>
        <w:t xml:space="preserve"> </w:t>
      </w:r>
    </w:p>
    <w:p w:rsidR="004B1524" w:rsidRPr="004B1524" w:rsidRDefault="004B1524" w:rsidP="004B1524">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4B1524">
        <w:rPr>
          <w:rFonts w:ascii="Times New Roman" w:eastAsia="Arial" w:hAnsi="Times New Roman" w:cs="Times New Roman"/>
          <w:lang w:val="sr-Latn-CS"/>
        </w:rPr>
        <w:t xml:space="preserve">Potencijalno štetni efekti očekivani u projektnim aktivnostima biće minimizirani strogom primenom nacionalnog i lokalnog zakonodavstva u oblasti zaštite životne sredine, primenom procedura i smernica </w:t>
      </w:r>
      <w:r w:rsidR="000818B6">
        <w:rPr>
          <w:rFonts w:ascii="Times New Roman" w:eastAsia="Arial" w:hAnsi="Times New Roman" w:cs="Times New Roman"/>
          <w:lang w:val="sr-Latn-CS"/>
        </w:rPr>
        <w:t>OUSŽS</w:t>
      </w:r>
      <w:r w:rsidRPr="004B1524">
        <w:rPr>
          <w:rFonts w:ascii="Times New Roman" w:eastAsia="Arial" w:hAnsi="Times New Roman" w:cs="Times New Roman"/>
          <w:lang w:val="sr-Latn-CS"/>
        </w:rPr>
        <w:t xml:space="preserve">-a i definisanih mera i praćenja u okviru PŽS-a. Kontrolnu listu ESPF-a će pripremiti podnosilac zahteva za tipične lakše građevinske radove, dok će </w:t>
      </w:r>
      <w:r w:rsidR="000818B6">
        <w:rPr>
          <w:rFonts w:ascii="Times New Roman" w:eastAsia="Arial" w:hAnsi="Times New Roman" w:cs="Times New Roman"/>
          <w:lang w:val="sr-Latn-CS"/>
        </w:rPr>
        <w:t>PUSŽS</w:t>
      </w:r>
      <w:r w:rsidRPr="004B1524">
        <w:rPr>
          <w:rFonts w:ascii="Times New Roman" w:eastAsia="Arial" w:hAnsi="Times New Roman" w:cs="Times New Roman"/>
          <w:lang w:val="sr-Latn-CS"/>
        </w:rPr>
        <w:t xml:space="preserve"> definisati mere, raspodelu odgovornosti, predvideti budžet i pripremiti plan praćenja za sve ostale aktivnosti koje mogu imati negativan uticaj na životnu sredinu ili zdravlje ljudi, ako postoji. </w:t>
      </w:r>
    </w:p>
    <w:p w:rsidR="004B1524" w:rsidRPr="004B1524" w:rsidRDefault="004B1524" w:rsidP="004B1524">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4B1524">
        <w:rPr>
          <w:rFonts w:ascii="Times New Roman" w:eastAsia="Arial" w:hAnsi="Times New Roman" w:cs="Times New Roman"/>
          <w:lang w:val="sr-Latn-CS"/>
        </w:rPr>
        <w:t>Uticaji identifikovani u prethodnom poglavlju su lokalizovani na malu površinu sa smanjenom težinom, lako se ublažavaju merama karakterističnim za smanjenje uticaja građevinskih radova:</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 xml:space="preserve">Emisije prašine će biti ograničene korišćenjem građevinskih cevi za šut, redovnim čišćenjem radne površine, puteva, vozila i mašina, kao i održavanjem vlažnosti lokacije i/ili zaštita lokacije od vetra (npr. vetrobranom). Teret koji prilikom transporta emituje prašinu biće pokriven, kao i zalihe. </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 xml:space="preserve">Radnici će nositi zaštitnu odeću (šlemovi, rukavice, itd.) i opremu u svako doba. </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Otvorena vatra će biti striktno zabranjena, kao i bilo kakva vrsta uznemiravanja životinja (lovokrađa, hvatanje za trgovinu i drugo), sakupljanje biljaka, šumske hrane, drveta i drugih šumskih proizvoda.</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Sve zakonom propisane dozvole su pribavljene za rehabilitaciju, druge vrste građevinskih radova i ostale aktivnosti.</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Svi radovi će biti izvršeni na siguran i discipliniran način osmišljen tako da minimizira uticaj na stanovnike u okruženju i životnu sredinu.</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Izgradnja je jasno definisana.</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Gradilišta treba da zauzimaju samo površine neophodne za radove koji se obavljaju.</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lastRenderedPageBreak/>
        <w:t>Tokom izgradnje, radnici moraju biti ograničeni na područja u izgradnji i pristup otvorenom prostoru mora biti striktno regulisan.</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 xml:space="preserve">Radovi tokom noći će se izbegavati ako je moguće, posebno u blizini naselja. U slučaju noćnih radova, potrebno je dobiti odgovarajuće dozvole. </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Teren na gradilištu se mora vratiti u stanje pre-radova, ako nije moguće onda će se izvršiti adekvatna rehabilitacija.</w:t>
      </w:r>
    </w:p>
    <w:p w:rsidR="004B1524" w:rsidRPr="004B1524" w:rsidRDefault="004B1524" w:rsidP="004B1524">
      <w:pPr>
        <w:numPr>
          <w:ilvl w:val="0"/>
          <w:numId w:val="18"/>
        </w:numPr>
        <w:spacing w:after="0" w:line="240" w:lineRule="auto"/>
        <w:contextualSpacing/>
        <w:jc w:val="both"/>
        <w:rPr>
          <w:rFonts w:ascii="Times New Roman" w:eastAsia="Times New Roman" w:hAnsi="Times New Roman" w:cs="Times New Roman"/>
          <w:iCs/>
          <w:lang w:val="sr-Latn-CS"/>
        </w:rPr>
      </w:pPr>
      <w:r w:rsidRPr="004B1524">
        <w:rPr>
          <w:rFonts w:ascii="Times New Roman" w:eastAsia="Times New Roman" w:hAnsi="Times New Roman" w:cs="Times New Roman"/>
          <w:iCs/>
          <w:lang w:val="sr-Latn-CS"/>
        </w:rPr>
        <w:t>Sakupljanje, odvajanje, transport i dalja obrada otpada se vrši u skladu sa nacionalnim zakonodavstvom o otpadu.</w:t>
      </w:r>
    </w:p>
    <w:p w:rsidR="004B1524" w:rsidRPr="004B1524" w:rsidRDefault="004B1524" w:rsidP="004B1524">
      <w:pPr>
        <w:widowControl w:val="0"/>
        <w:autoSpaceDE w:val="0"/>
        <w:autoSpaceDN w:val="0"/>
        <w:spacing w:after="0" w:line="254" w:lineRule="auto"/>
        <w:ind w:left="840" w:right="856"/>
        <w:jc w:val="both"/>
        <w:rPr>
          <w:rFonts w:ascii="Times New Roman" w:eastAsia="Arial" w:hAnsi="Times New Roman" w:cs="Arial"/>
          <w:lang w:val="sr-Latn-CS"/>
        </w:rPr>
      </w:pPr>
    </w:p>
    <w:p w:rsidR="00F3731A" w:rsidRPr="003B3244" w:rsidRDefault="004B1524" w:rsidP="004B1524">
      <w:pPr>
        <w:pStyle w:val="BodyText"/>
        <w:spacing w:line="254" w:lineRule="auto"/>
        <w:ind w:left="840" w:right="856"/>
        <w:rPr>
          <w:lang w:val="sr-Latn-CS"/>
        </w:rPr>
      </w:pPr>
      <w:r w:rsidRPr="004B1524">
        <w:rPr>
          <w:rFonts w:ascii="Calibri" w:eastAsia="Calibri" w:hAnsi="Calibri" w:cs="Times New Roman"/>
          <w:lang w:val="sr-Latn-CS"/>
        </w:rPr>
        <w:t xml:space="preserve">Kompletna lista mera za lake građevinske radove definisana je u kontrolnoj listi </w:t>
      </w:r>
      <w:r w:rsidR="000818B6">
        <w:rPr>
          <w:rFonts w:ascii="Calibri" w:eastAsia="Calibri" w:hAnsi="Calibri" w:cs="Times New Roman"/>
          <w:lang w:val="sr-Latn-CS"/>
        </w:rPr>
        <w:t>PUSŽS</w:t>
      </w:r>
      <w:r w:rsidRPr="004B1524">
        <w:rPr>
          <w:rFonts w:ascii="Calibri" w:eastAsia="Calibri" w:hAnsi="Calibri" w:cs="Times New Roman"/>
          <w:lang w:val="sr-Latn-CS"/>
        </w:rPr>
        <w:t>-a</w:t>
      </w:r>
      <w:r w:rsidR="00F3731A" w:rsidRPr="003B3244">
        <w:rPr>
          <w:lang w:val="sr-Latn-CS"/>
        </w:rPr>
        <w:t>.</w:t>
      </w:r>
    </w:p>
    <w:p w:rsidR="00F3731A" w:rsidRPr="003B3244" w:rsidRDefault="00F3731A" w:rsidP="00F3731A">
      <w:pPr>
        <w:pStyle w:val="Heading1"/>
        <w:rPr>
          <w:lang w:val="sr-Latn-CS"/>
        </w:rPr>
      </w:pPr>
    </w:p>
    <w:p w:rsidR="00F3731A" w:rsidRPr="003B3244" w:rsidRDefault="004B1524" w:rsidP="00F3731A">
      <w:pPr>
        <w:pStyle w:val="Heading1"/>
        <w:rPr>
          <w:lang w:val="sr-Latn-CS"/>
        </w:rPr>
      </w:pPr>
      <w:bookmarkStart w:id="51" w:name="_Toc531255636"/>
      <w:r w:rsidRPr="004B1524">
        <w:rPr>
          <w:lang w:val="sr-Latn-CS"/>
        </w:rPr>
        <w:t>Procena životne sredine</w:t>
      </w:r>
      <w:bookmarkEnd w:id="51"/>
    </w:p>
    <w:p w:rsidR="00D64B25" w:rsidRPr="00D64B25" w:rsidRDefault="00D64B25" w:rsidP="00D64B25">
      <w:pPr>
        <w:pStyle w:val="BodyText"/>
        <w:spacing w:before="100" w:beforeAutospacing="1" w:after="100" w:afterAutospacing="1"/>
        <w:ind w:left="289" w:right="289"/>
        <w:rPr>
          <w:rFonts w:cs="Times New Roman"/>
          <w:lang w:val="sr-Latn-CS"/>
        </w:rPr>
      </w:pPr>
      <w:r w:rsidRPr="00D64B25">
        <w:rPr>
          <w:rFonts w:cs="Times New Roman"/>
          <w:lang w:val="sr-Latn-CS"/>
        </w:rPr>
        <w:t>Procena životne sredine (PŽS) je proces koji ima za cilj prepoznavanje aspekata određene aktivnosti koja može izazvati rizik za životnu sredinu i zdravlje ljudi, predviđanje, ocenjivanje i ublažavanje njegovih potencijalnih uticaja i osiguravanje njihovog minimiziranja ako eliminacija nije izvodljiva. Svrha PŽS-a je poboljšanje kvaliteta donošenja odluka prepoznavanjem uticaja na životnu sredinu/posledice na početku procesa pripreme potprojekta, tako da se oni mogu uključiti u projektovanje  potprojekta, kao i blagovremeno sprečiti ili ublažiti uticaje u fazi sprovođenja i radova.</w:t>
      </w:r>
    </w:p>
    <w:p w:rsidR="00D64B25" w:rsidRPr="00D64B25" w:rsidRDefault="00D64B25" w:rsidP="00D64B25">
      <w:pPr>
        <w:pStyle w:val="BodyText"/>
        <w:spacing w:before="100" w:beforeAutospacing="1" w:after="100" w:afterAutospacing="1"/>
        <w:ind w:left="289" w:right="289"/>
        <w:rPr>
          <w:rFonts w:cs="Times New Roman"/>
          <w:lang w:val="sr-Latn-CS"/>
        </w:rPr>
      </w:pPr>
      <w:r w:rsidRPr="00D64B25">
        <w:rPr>
          <w:rFonts w:cs="Times New Roman"/>
          <w:lang w:val="sr-Latn-CS"/>
        </w:rPr>
        <w:t>Obim PŽS-a zavisi od kategorije životne sredine vezane za svaki potprojekat, opseg aktivnosti potprojekta, kao i karakteristike lokacije potprojekta, iako je svrha bilo koje vrste procene, identifikacija načina za poboljšanje životne sredine  minimiziranjem, ublažavanjem ili kompenzacijom negativnih uticaja predložene aktivnosti. PŽS, u svrhe ovog i drugih projekata podržanih od strane SB-a, uključuje rizike po zdravlje i sigurnost na radu (ZSR), kao i rizike vezane za očuvanje kulturnog nasleđa (postoji mogućnost slučajnih otkrića u ovom slučaju). Rezultati PŽS-a prikazani su u izveštaju o proceni uticaja na životnu sredinu, koji se ogleda u identifikovanim rizicima životne sredine (koji se odnose na specifične vrste aktivnosti potprojekta) i zajedno sa adekvatnim merama. Mere predstavljaju metode, tehnike, procedure i druge načine za poboljšanje potprojekata na ekološki način minimiziranjem, ublažavanjem ili kompenzacijom negativnih uticaja. PŽS takođe opisuje korake koji su preduzeti za javne konsultacije.</w:t>
      </w:r>
    </w:p>
    <w:p w:rsidR="00F3731A" w:rsidRPr="003B3244" w:rsidRDefault="00D64B25" w:rsidP="00D64B25">
      <w:pPr>
        <w:pStyle w:val="BodyText"/>
        <w:spacing w:before="100" w:beforeAutospacing="1" w:after="100" w:afterAutospacing="1"/>
        <w:ind w:left="289" w:right="289"/>
        <w:rPr>
          <w:rFonts w:cs="Times New Roman"/>
          <w:lang w:val="sr-Latn-CS"/>
        </w:rPr>
      </w:pPr>
      <w:r w:rsidRPr="00D64B25">
        <w:rPr>
          <w:rFonts w:cs="Times New Roman"/>
          <w:lang w:val="sr-Latn-CS"/>
        </w:rPr>
        <w:t xml:space="preserve">PŽS-ovi predviđeni za aktivnosti u okviru ovog projekta su Kontrolna lista </w:t>
      </w:r>
      <w:r w:rsidR="000818B6">
        <w:rPr>
          <w:rFonts w:cs="Times New Roman"/>
          <w:lang w:val="sr-Latn-CS"/>
        </w:rPr>
        <w:t>PUSŽS</w:t>
      </w:r>
      <w:r w:rsidRPr="00D64B25">
        <w:rPr>
          <w:rFonts w:cs="Times New Roman"/>
          <w:lang w:val="sr-Latn-CS"/>
        </w:rPr>
        <w:t xml:space="preserve">-a i </w:t>
      </w:r>
      <w:r w:rsidR="000818B6">
        <w:rPr>
          <w:rFonts w:cs="Times New Roman"/>
          <w:lang w:val="sr-Latn-CS"/>
        </w:rPr>
        <w:t>PUSŽS</w:t>
      </w:r>
      <w:r w:rsidRPr="00D64B25">
        <w:rPr>
          <w:rFonts w:cs="Times New Roman"/>
          <w:lang w:val="sr-Latn-CS"/>
        </w:rPr>
        <w:t xml:space="preserve">. Nacrt obrasca kontrolne liste </w:t>
      </w:r>
      <w:r w:rsidR="000818B6">
        <w:rPr>
          <w:rFonts w:cs="Times New Roman"/>
          <w:lang w:val="sr-Latn-CS"/>
        </w:rPr>
        <w:t>PUSŽS</w:t>
      </w:r>
      <w:r w:rsidRPr="00D64B25">
        <w:rPr>
          <w:rFonts w:cs="Times New Roman"/>
          <w:lang w:val="sr-Latn-CS"/>
        </w:rPr>
        <w:t xml:space="preserve">-a za lakše građevinske radove za koje se očekuje da budu najčešća infrastrukturna delatnost priprema se kao sastavni deo </w:t>
      </w:r>
      <w:r w:rsidR="000818B6">
        <w:rPr>
          <w:rFonts w:cs="Times New Roman"/>
          <w:lang w:val="sr-Latn-CS"/>
        </w:rPr>
        <w:t>OUSŽS</w:t>
      </w:r>
      <w:r w:rsidRPr="00D64B25">
        <w:rPr>
          <w:rFonts w:cs="Times New Roman"/>
          <w:lang w:val="sr-Latn-CS"/>
        </w:rPr>
        <w:t xml:space="preserve">-a i dostupan je u Aneksu 3. Obrazac kontrolne liste </w:t>
      </w:r>
      <w:r w:rsidR="000818B6">
        <w:rPr>
          <w:rFonts w:cs="Times New Roman"/>
          <w:lang w:val="sr-Latn-CS"/>
        </w:rPr>
        <w:t>PUSŽS</w:t>
      </w:r>
      <w:r w:rsidRPr="00D64B25">
        <w:rPr>
          <w:rFonts w:cs="Times New Roman"/>
          <w:lang w:val="sr-Latn-CS"/>
        </w:rPr>
        <w:t xml:space="preserve">-a (koji sadrži mere ublažavanja i plan praćenja) će biti prilagođen svim individualnom građevinskim radovima kategorije B koji su predviđeni u Kontrolnoj listi. Pored toga, on će definisati odgovornosti nadzora i izveštavanja i vremenski okvir. </w:t>
      </w:r>
      <w:r w:rsidR="000818B6">
        <w:rPr>
          <w:rFonts w:cs="Times New Roman"/>
          <w:lang w:val="sr-Latn-CS"/>
        </w:rPr>
        <w:t>PUSŽS</w:t>
      </w:r>
      <w:r w:rsidRPr="00D64B25">
        <w:rPr>
          <w:rFonts w:cs="Times New Roman"/>
          <w:lang w:val="sr-Latn-CS"/>
        </w:rPr>
        <w:t xml:space="preserve"> će biti izrađen za sve ostale potprojekte i aktivnosti koje nisu predviđene Kontrolnom listom </w:t>
      </w:r>
      <w:r w:rsidR="000818B6">
        <w:rPr>
          <w:rFonts w:cs="Times New Roman"/>
          <w:lang w:val="sr-Latn-CS"/>
        </w:rPr>
        <w:t>PUSŽS</w:t>
      </w:r>
      <w:r w:rsidRPr="00D64B25">
        <w:rPr>
          <w:rFonts w:cs="Times New Roman"/>
          <w:lang w:val="sr-Latn-CS"/>
        </w:rPr>
        <w:t>-a, ali mogu dovesti do potencijalnih negativnih uticaja na životnu sredinu ili zdravlje ljudi</w:t>
      </w:r>
      <w:r w:rsidR="00F3731A" w:rsidRPr="003B3244">
        <w:rPr>
          <w:rFonts w:cs="Times New Roman"/>
          <w:lang w:val="sr-Latn-CS"/>
        </w:rPr>
        <w:t>.</w:t>
      </w:r>
    </w:p>
    <w:p w:rsidR="00F3731A" w:rsidRPr="003B3244" w:rsidRDefault="001D6BA0" w:rsidP="00F3731A">
      <w:pPr>
        <w:pStyle w:val="Heading1"/>
        <w:rPr>
          <w:lang w:val="sr-Latn-CS"/>
        </w:rPr>
      </w:pPr>
      <w:bookmarkStart w:id="52" w:name="_Toc531255637"/>
      <w:r w:rsidRPr="001D6BA0">
        <w:rPr>
          <w:lang w:val="sr-Latn-CS"/>
        </w:rPr>
        <w:t>Analiza životne sredine</w:t>
      </w:r>
      <w:bookmarkEnd w:id="52"/>
    </w:p>
    <w:p w:rsidR="00BC6E77" w:rsidRPr="00BC6E77" w:rsidRDefault="00BC6E77" w:rsidP="00BC6E77">
      <w:pPr>
        <w:widowControl w:val="0"/>
        <w:autoSpaceDE w:val="0"/>
        <w:autoSpaceDN w:val="0"/>
        <w:spacing w:before="100" w:beforeAutospacing="1" w:after="100" w:afterAutospacing="1" w:line="240" w:lineRule="auto"/>
        <w:ind w:left="289" w:right="289"/>
        <w:jc w:val="both"/>
        <w:rPr>
          <w:rFonts w:ascii="Times New Roman" w:eastAsia="Arial" w:hAnsi="Times New Roman" w:cs="Times New Roman"/>
          <w:lang w:val="sr-Latn-CS"/>
        </w:rPr>
      </w:pPr>
      <w:r w:rsidRPr="00BC6E77">
        <w:rPr>
          <w:rFonts w:ascii="Times New Roman" w:eastAsia="Arial" w:hAnsi="Times New Roman" w:cs="Times New Roman"/>
          <w:lang w:val="sr-Latn-CS"/>
        </w:rPr>
        <w:t>Svi potprojekti u okviru grant šeme, kao i sve aktivnosti koje uključuju fizičke investicije ili mogu imati negativne uticaje na životnu sredinu, će preduzeti proces analize životne sredine koji je predstavljen u daljem tekstu:</w:t>
      </w:r>
    </w:p>
    <w:p w:rsidR="00BC6E77" w:rsidRPr="00BC6E77" w:rsidRDefault="00BC6E77" w:rsidP="00BC6E77">
      <w:pPr>
        <w:tabs>
          <w:tab w:val="num" w:pos="-142"/>
        </w:tabs>
        <w:ind w:left="1077" w:right="289" w:hanging="357"/>
        <w:jc w:val="both"/>
        <w:rPr>
          <w:rFonts w:ascii="Times New Roman" w:eastAsia="Calibri" w:hAnsi="Times New Roman" w:cs="Times New Roman"/>
          <w:color w:val="000000"/>
          <w:lang w:val="sr-Latn-CS"/>
        </w:rPr>
      </w:pPr>
      <w:r w:rsidRPr="00BC6E77">
        <w:rPr>
          <w:rFonts w:ascii="Times New Roman" w:eastAsia="Calibri" w:hAnsi="Times New Roman" w:cs="Times New Roman"/>
          <w:color w:val="000000"/>
          <w:lang w:val="sr-Latn-CS"/>
        </w:rPr>
        <w:t xml:space="preserve">KORAK 1: Podnosilac zahteva (krajnji korisnik) priprema i podnosi početni dizajn potprojekta u okviru poziva za podnošenje predloga projekta zajedno sa upitnikom za procenu rizika po životnu sredinu (dostupan u Aneksu 2). Komisija za odobravanje granta prikazuje zahtev i formira preliminarnu </w:t>
      </w:r>
      <w:r w:rsidR="00F47D66">
        <w:rPr>
          <w:rFonts w:ascii="Times New Roman" w:eastAsia="Calibri" w:hAnsi="Times New Roman" w:cs="Times New Roman"/>
          <w:color w:val="000000"/>
          <w:lang w:val="sr-Latn-CS"/>
        </w:rPr>
        <w:t xml:space="preserve">listu uspešnih </w:t>
      </w:r>
      <w:r w:rsidRPr="00BC6E77">
        <w:rPr>
          <w:rFonts w:ascii="Times New Roman" w:eastAsia="Calibri" w:hAnsi="Times New Roman" w:cs="Times New Roman"/>
          <w:color w:val="000000"/>
          <w:lang w:val="sr-Latn-CS"/>
        </w:rPr>
        <w:t xml:space="preserve">podnosioca zahteva. JUP (konsultant za zaštitu životne sredine) vrši skrining potprojekta u skladu sa </w:t>
      </w:r>
      <w:r w:rsidR="000818B6">
        <w:rPr>
          <w:rFonts w:ascii="Times New Roman" w:eastAsia="Calibri" w:hAnsi="Times New Roman" w:cs="Times New Roman"/>
          <w:color w:val="000000"/>
          <w:lang w:val="sr-Latn-CS"/>
        </w:rPr>
        <w:t>OUSŽS</w:t>
      </w:r>
      <w:r w:rsidRPr="00BC6E77">
        <w:rPr>
          <w:rFonts w:ascii="Times New Roman" w:eastAsia="Calibri" w:hAnsi="Times New Roman" w:cs="Times New Roman"/>
          <w:color w:val="000000"/>
          <w:lang w:val="sr-Latn-CS"/>
        </w:rPr>
        <w:t xml:space="preserve">-om (i na osnovu dizajna, Upitnika za procenu rizika po životnu sredinu i drugih informacija), skrining potprojekata kategorije A, visokog rizika, da li su deo liste isključenih delatnosti, nepodobni ili da li aktiviraju politike SB-a osim OP/BP 4.01 i formira konačnu listu </w:t>
      </w:r>
      <w:r w:rsidR="00F47D66">
        <w:rPr>
          <w:rFonts w:ascii="Times New Roman" w:eastAsia="Calibri" w:hAnsi="Times New Roman" w:cs="Times New Roman"/>
          <w:color w:val="000000"/>
          <w:lang w:val="sr-Latn-CS"/>
        </w:rPr>
        <w:t>uspešnih</w:t>
      </w:r>
      <w:r w:rsidR="00F47D66" w:rsidRPr="00F47D66">
        <w:rPr>
          <w:rFonts w:ascii="Times New Roman" w:eastAsia="Calibri" w:hAnsi="Times New Roman" w:cs="Times New Roman"/>
          <w:color w:val="000000"/>
          <w:lang w:val="sr-Latn-CS"/>
        </w:rPr>
        <w:t xml:space="preserve"> </w:t>
      </w:r>
      <w:r w:rsidRPr="00BC6E77">
        <w:rPr>
          <w:rFonts w:ascii="Times New Roman" w:eastAsia="Calibri" w:hAnsi="Times New Roman" w:cs="Times New Roman"/>
          <w:color w:val="000000"/>
          <w:lang w:val="sr-Latn-CS"/>
        </w:rPr>
        <w:t xml:space="preserve">podnosioca zahteva koji se sada šalju na evaluaciju. Konsultant za zaštitu životne sredine priprema izveštaje o skriningu i obaveštava podnosioca zahteva o naknadnim zahtevima i PŽS-u koji je potreban za podkreditnu obradu (u Izveštaju o skriningu prikazano je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 specifičan za lokaciju ili kontrolne liste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-a, šablone dostupne u </w:t>
      </w:r>
      <w:r w:rsidR="000818B6">
        <w:rPr>
          <w:rFonts w:ascii="Times New Roman" w:eastAsia="Calibri" w:hAnsi="Times New Roman" w:cs="Times New Roman"/>
          <w:color w:val="000000"/>
          <w:lang w:val="sr-Latn-CS"/>
        </w:rPr>
        <w:t>OUSŽS</w:t>
      </w:r>
      <w:r w:rsidRPr="00BC6E77">
        <w:rPr>
          <w:rFonts w:ascii="Times New Roman" w:eastAsia="Calibri" w:hAnsi="Times New Roman" w:cs="Times New Roman"/>
          <w:color w:val="000000"/>
          <w:lang w:val="sr-Latn-CS"/>
        </w:rPr>
        <w:t xml:space="preserve">-u; obrazloženje zašto PŽS nije potreban za potprojekte kategorije C). Rezultati skrininga  se dostavljaju SB-u. U ovom trenutku, podnosilac zahteva je dužan da započne razgovore sa JUP-om i/ili drugim nadležnim organom kako bi ispunio bilo kakve lokalne i nacionalne </w:t>
      </w:r>
      <w:r w:rsidRPr="00BC6E77">
        <w:rPr>
          <w:rFonts w:ascii="Times New Roman" w:eastAsia="Calibri" w:hAnsi="Times New Roman" w:cs="Times New Roman"/>
          <w:color w:val="000000"/>
          <w:lang w:val="sr-Latn-CS"/>
        </w:rPr>
        <w:lastRenderedPageBreak/>
        <w:t xml:space="preserve">zahteve za pregled životne sredine i druge zahteve (kao što je, na primer, mišljenje o ekološkoj dozvoli  ili PUŽS-u (ako je potrebno), građevinska dozvola i/ili druga zvanična odobrenja/dozvole). </w:t>
      </w:r>
    </w:p>
    <w:p w:rsidR="00BC6E77" w:rsidRPr="00BC6E77" w:rsidRDefault="00BC6E77" w:rsidP="00BC6E77">
      <w:pPr>
        <w:tabs>
          <w:tab w:val="num" w:pos="-142"/>
        </w:tabs>
        <w:ind w:left="1077" w:right="289" w:hanging="357"/>
        <w:jc w:val="both"/>
        <w:rPr>
          <w:rFonts w:ascii="Times New Roman" w:eastAsia="Calibri" w:hAnsi="Times New Roman" w:cs="Times New Roman"/>
          <w:color w:val="000000"/>
          <w:lang w:val="sr-Latn-CS"/>
        </w:rPr>
      </w:pPr>
      <w:r w:rsidRPr="00BC6E77">
        <w:rPr>
          <w:rFonts w:ascii="Times New Roman" w:eastAsia="Calibri" w:hAnsi="Times New Roman" w:cs="Times New Roman"/>
          <w:color w:val="000000"/>
          <w:lang w:val="sr-Latn-CS"/>
        </w:rPr>
        <w:t>KORAK 2: Podnosilac zahteva priprema PŽS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 ili kontrolnu listu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-a) za potprojekat kategorije B i isti dostavlja JUP-u na pregled i odobrenje. JUP (Konsultant za zaštitu životne sredine) daje komentare. Podnosilac zahteva takođe ispunjava zahteve za nacionalnu regulaciju, ako je primenjivo.</w:t>
      </w:r>
    </w:p>
    <w:p w:rsidR="00BC6E77" w:rsidRPr="00BC6E77" w:rsidRDefault="00BC6E77" w:rsidP="00BC6E77">
      <w:pPr>
        <w:tabs>
          <w:tab w:val="num" w:pos="-142"/>
        </w:tabs>
        <w:ind w:left="1077" w:right="289" w:hanging="357"/>
        <w:jc w:val="both"/>
        <w:rPr>
          <w:rFonts w:ascii="Times New Roman" w:eastAsia="Calibri" w:hAnsi="Times New Roman" w:cs="Times New Roman"/>
          <w:color w:val="000000"/>
          <w:lang w:val="sr-Latn-CS"/>
        </w:rPr>
      </w:pPr>
      <w:r w:rsidRPr="00BC6E77">
        <w:rPr>
          <w:rFonts w:ascii="Times New Roman" w:eastAsia="Calibri" w:hAnsi="Times New Roman" w:cs="Times New Roman"/>
          <w:color w:val="000000"/>
          <w:lang w:val="sr-Latn-CS"/>
        </w:rPr>
        <w:t xml:space="preserve">KORAK 3: Ako se to zatraži, podnosilac zahteva vrši reviziju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-a/kontrolne liste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-a u skladu sa komentarima/zahtevima JUP-a (i konsultuje JUP kada je to neophodno) i ponovo podnosi zahtev. JUP odobrava PŽS kada bude zadovoljan kvalitetom i usklađenošću sa </w:t>
      </w:r>
      <w:r w:rsidR="000818B6">
        <w:rPr>
          <w:rFonts w:ascii="Times New Roman" w:eastAsia="Calibri" w:hAnsi="Times New Roman" w:cs="Times New Roman"/>
          <w:color w:val="000000"/>
          <w:lang w:val="sr-Latn-CS"/>
        </w:rPr>
        <w:t>OUSŽS</w:t>
      </w:r>
      <w:r w:rsidRPr="00BC6E77">
        <w:rPr>
          <w:rFonts w:ascii="Times New Roman" w:eastAsia="Calibri" w:hAnsi="Times New Roman" w:cs="Times New Roman"/>
          <w:color w:val="000000"/>
          <w:lang w:val="sr-Latn-CS"/>
        </w:rPr>
        <w:t xml:space="preserve">-om i nacionalnim propisima. Prvih 3-5 kontrolnih lista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-a i svi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-ovi specifični za lokaciju su predmet </w:t>
      </w:r>
      <w:r w:rsidR="00D76A6C">
        <w:rPr>
          <w:rFonts w:ascii="Times New Roman" w:eastAsia="Calibri" w:hAnsi="Times New Roman" w:cs="Times New Roman"/>
          <w:color w:val="000000"/>
          <w:lang w:val="sr-Latn-CS"/>
        </w:rPr>
        <w:t>odobrenja</w:t>
      </w:r>
      <w:r w:rsidRPr="00BC6E77">
        <w:rPr>
          <w:rFonts w:ascii="Times New Roman" w:eastAsia="Calibri" w:hAnsi="Times New Roman" w:cs="Times New Roman"/>
          <w:color w:val="000000"/>
          <w:lang w:val="sr-Latn-CS"/>
        </w:rPr>
        <w:t xml:space="preserve"> SB-a. </w:t>
      </w:r>
    </w:p>
    <w:p w:rsidR="00BC6E77" w:rsidRPr="00BC6E77" w:rsidRDefault="00BC6E77" w:rsidP="00BC6E77">
      <w:pPr>
        <w:tabs>
          <w:tab w:val="num" w:pos="-142"/>
        </w:tabs>
        <w:ind w:left="1077" w:right="289" w:hanging="357"/>
        <w:jc w:val="both"/>
        <w:rPr>
          <w:rFonts w:ascii="Times New Roman" w:eastAsia="Calibri" w:hAnsi="Times New Roman" w:cs="Times New Roman"/>
          <w:color w:val="000000"/>
          <w:lang w:val="sr-Latn-CS"/>
        </w:rPr>
      </w:pPr>
      <w:r w:rsidRPr="00BC6E77">
        <w:rPr>
          <w:rFonts w:ascii="Times New Roman" w:eastAsia="Calibri" w:hAnsi="Times New Roman" w:cs="Times New Roman"/>
          <w:color w:val="000000"/>
          <w:lang w:val="sr-Latn-CS"/>
        </w:rPr>
        <w:t>KORAK 4: O svim PŽS-ovima konsultovaće se u skladu sa nacionalnim i SB politikama (kako je definisano u poglavlju Objavljivanje i konsultacije).</w:t>
      </w:r>
    </w:p>
    <w:p w:rsidR="00BC6E77" w:rsidRPr="00BC6E77" w:rsidRDefault="00BC6E77" w:rsidP="00BC6E77">
      <w:pPr>
        <w:tabs>
          <w:tab w:val="num" w:pos="-142"/>
        </w:tabs>
        <w:ind w:left="1077" w:right="289" w:hanging="357"/>
        <w:jc w:val="both"/>
        <w:rPr>
          <w:rFonts w:ascii="Times New Roman" w:eastAsia="Calibri" w:hAnsi="Times New Roman" w:cs="Times New Roman"/>
          <w:color w:val="000000"/>
          <w:lang w:val="sr-Latn-CS"/>
        </w:rPr>
      </w:pPr>
      <w:r w:rsidRPr="00BC6E77">
        <w:rPr>
          <w:rFonts w:ascii="Times New Roman" w:eastAsia="Calibri" w:hAnsi="Times New Roman" w:cs="Times New Roman"/>
          <w:color w:val="000000"/>
          <w:lang w:val="sr-Latn-CS"/>
        </w:rPr>
        <w:t xml:space="preserve">KORAK 5: Podnosilac zahteva uključuje </w:t>
      </w:r>
      <w:r w:rsidR="00704791">
        <w:rPr>
          <w:rFonts w:ascii="Times New Roman" w:eastAsia="Calibri" w:hAnsi="Times New Roman" w:cs="Times New Roman"/>
          <w:color w:val="000000"/>
          <w:lang w:val="sr-Latn-CS"/>
        </w:rPr>
        <w:t xml:space="preserve">relevantne </w:t>
      </w:r>
      <w:r w:rsidRPr="00BC6E77">
        <w:rPr>
          <w:rFonts w:ascii="Times New Roman" w:eastAsia="Calibri" w:hAnsi="Times New Roman" w:cs="Times New Roman"/>
          <w:color w:val="000000"/>
          <w:lang w:val="sr-Latn-CS"/>
        </w:rPr>
        <w:t>komentare za konsultacije u PŽS-u nakon čega je dokument konačan. Preporuke date u proceni dalje se odražavaju u planu za dizajn i sprovođenje potprojekta, uključujući i procenjene troškove. Ugovor o dodeli granta sa podnosiocem zahteva ne može biti potpisan pre okončanja PŽS-a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 i kontrolna lista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-a). PŽS (kontrolna lista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xml:space="preserve">-a ili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 postaje deo tenderske i ugovorne dokumentacije</w:t>
      </w:r>
      <w:r w:rsidR="00704791">
        <w:rPr>
          <w:rFonts w:ascii="Times New Roman" w:eastAsia="Calibri" w:hAnsi="Times New Roman" w:cs="Times New Roman"/>
          <w:color w:val="000000"/>
          <w:lang w:val="sr-Latn-CS"/>
        </w:rPr>
        <w:t>(</w:t>
      </w:r>
      <w:r w:rsidR="00704791" w:rsidRPr="00704791">
        <w:rPr>
          <w:rFonts w:ascii="Times New Roman" w:eastAsia="Calibri" w:hAnsi="Times New Roman" w:cs="Times New Roman"/>
          <w:color w:val="000000"/>
          <w:lang w:val="sr-Latn-CS"/>
        </w:rPr>
        <w:t>ovo je odgovornost institucija koje nabavljaju radove</w:t>
      </w:r>
      <w:r w:rsidR="00531B0D">
        <w:rPr>
          <w:rFonts w:ascii="Times New Roman" w:eastAsia="Calibri" w:hAnsi="Times New Roman" w:cs="Times New Roman"/>
          <w:color w:val="000000"/>
          <w:lang w:val="sr-Latn-CS"/>
        </w:rPr>
        <w:t>).</w:t>
      </w:r>
    </w:p>
    <w:p w:rsidR="00F3731A" w:rsidRDefault="00BC6E77" w:rsidP="00BC6E77">
      <w:pPr>
        <w:tabs>
          <w:tab w:val="num" w:pos="-142"/>
        </w:tabs>
        <w:ind w:left="1077" w:right="289" w:hanging="357"/>
        <w:jc w:val="both"/>
        <w:rPr>
          <w:rFonts w:ascii="Times New Roman" w:eastAsia="Calibri" w:hAnsi="Times New Roman" w:cs="Times New Roman"/>
          <w:color w:val="000000"/>
          <w:lang w:val="sr-Latn-CS"/>
        </w:rPr>
      </w:pPr>
      <w:r w:rsidRPr="00BC6E77">
        <w:rPr>
          <w:rFonts w:ascii="Times New Roman" w:eastAsia="Calibri" w:hAnsi="Times New Roman" w:cs="Times New Roman"/>
          <w:color w:val="000000"/>
          <w:lang w:val="sr-Latn-CS"/>
        </w:rPr>
        <w:t xml:space="preserve">KORAK 6: Izvođač radova sprovodi PSŽ. Institucija koja vrši nabavku radova (MALS  ili podnosilac zahteva/krajnji korisnik, npr. NVO), prati sprovođenje plana ublažavanja i praćenja PŽS-a i redovno izveštava JUP (Konsultant za zaštitu životne sredine). JUP nadgleda sprovođenje PŽS-a (uključujući i posetu mestu izvođenja radova) i izveštava SB o sprovođenju PŽS-a i napretku projekta (i izveštaji o sprovođenju </w:t>
      </w:r>
      <w:r w:rsidR="000818B6">
        <w:rPr>
          <w:rFonts w:ascii="Times New Roman" w:eastAsia="Calibri" w:hAnsi="Times New Roman" w:cs="Times New Roman"/>
          <w:color w:val="000000"/>
          <w:lang w:val="sr-Latn-CS"/>
        </w:rPr>
        <w:t>PUSŽS</w:t>
      </w:r>
      <w:r w:rsidRPr="00BC6E77">
        <w:rPr>
          <w:rFonts w:ascii="Times New Roman" w:eastAsia="Calibri" w:hAnsi="Times New Roman" w:cs="Times New Roman"/>
          <w:color w:val="000000"/>
          <w:lang w:val="sr-Latn-CS"/>
        </w:rPr>
        <w:t>-a za određene projekte, ukoliko se prethodno dogovore sa stručnjakom za zaštitu životne sredine SB-a), u skladu sa rasporedom izveštavanja</w:t>
      </w:r>
      <w:r w:rsidR="00F3731A" w:rsidRPr="003B3244">
        <w:rPr>
          <w:rFonts w:ascii="Times New Roman" w:eastAsia="Calibri" w:hAnsi="Times New Roman" w:cs="Times New Roman"/>
          <w:color w:val="000000"/>
          <w:lang w:val="sr-Latn-CS"/>
        </w:rPr>
        <w:t>.</w:t>
      </w:r>
    </w:p>
    <w:p w:rsidR="00175B16" w:rsidRPr="003B3244" w:rsidRDefault="00175B16" w:rsidP="00BC6E77">
      <w:pPr>
        <w:tabs>
          <w:tab w:val="num" w:pos="-142"/>
        </w:tabs>
        <w:ind w:left="1077" w:right="289" w:hanging="357"/>
        <w:jc w:val="both"/>
        <w:rPr>
          <w:rFonts w:ascii="Times New Roman" w:eastAsia="Calibri" w:hAnsi="Times New Roman" w:cs="Times New Roman"/>
          <w:color w:val="000000"/>
          <w:lang w:val="sr-Latn-CS"/>
        </w:rPr>
      </w:pPr>
    </w:p>
    <w:p w:rsidR="00F3731A" w:rsidRPr="003B3244" w:rsidRDefault="00BC6E77" w:rsidP="00F3731A">
      <w:pPr>
        <w:pStyle w:val="Heading1"/>
        <w:rPr>
          <w:lang w:val="sr-Latn-CS"/>
        </w:rPr>
      </w:pPr>
      <w:bookmarkStart w:id="53" w:name="_TOC_250012"/>
      <w:bookmarkStart w:id="54" w:name="_TOC_250010"/>
      <w:bookmarkStart w:id="55" w:name="_Toc531255638"/>
      <w:bookmarkEnd w:id="53"/>
      <w:bookmarkEnd w:id="54"/>
      <w:r w:rsidRPr="00BC6E77">
        <w:rPr>
          <w:lang w:val="sr-Latn-CS"/>
        </w:rPr>
        <w:t>Mehanizam za ulaganje žalbi</w:t>
      </w:r>
      <w:bookmarkEnd w:id="55"/>
    </w:p>
    <w:p w:rsidR="004A1C66" w:rsidRPr="004A1C66" w:rsidRDefault="004A1C66" w:rsidP="004A1C66">
      <w:pPr>
        <w:pStyle w:val="BodyText"/>
        <w:spacing w:before="100" w:beforeAutospacing="1" w:after="100" w:afterAutospacing="1"/>
        <w:ind w:left="289" w:right="289"/>
        <w:rPr>
          <w:rFonts w:cs="Times New Roman"/>
          <w:lang w:val="sr-Latn-CS"/>
        </w:rPr>
      </w:pPr>
      <w:r w:rsidRPr="004A1C66">
        <w:rPr>
          <w:rFonts w:cs="Times New Roman"/>
          <w:lang w:val="sr-Latn-CS"/>
        </w:rPr>
        <w:t xml:space="preserve">Projekat </w:t>
      </w:r>
      <w:r w:rsidR="00373965">
        <w:rPr>
          <w:rFonts w:cs="Times New Roman"/>
          <w:lang w:val="sr-Latn-CS"/>
        </w:rPr>
        <w:t>PLRKUM</w:t>
      </w:r>
      <w:r w:rsidRPr="004A1C66">
        <w:rPr>
          <w:rFonts w:cs="Times New Roman"/>
          <w:lang w:val="sr-Latn-CS"/>
        </w:rPr>
        <w:t xml:space="preserve"> će uspostaviti MUŽ u roku od 6 meseci od efektivnosti projekta kako bi se rešila svaka zabrinutost koja se odnosi na projekat, a na koju može svako ukazati. Projekat će uspostaviti veb stranicu na kojoj će biti dostupne sve relevantne informacije o projektu, kao što su izveštaji o napretku, izveštaji o zaštitnim merama, događaji, aktivnosti itd. Veb stranica projekta će sadržati kontakt informacije osoblja JUP-a/projekta ili osoblja ministarstva kome se može uložiti žalba, kao i opis i procedure MUŽ-a. Mogućnost ulaganja žalbe putem veb stranice takođe će se saopštiti i kroz informativne sesije projekta, javne konsultacije i okrugle stolove sa svim zainteresovanim stranama putem kanala društvenih medija (stranica na Facebook-u) naznačenih u materijalima za oglašavanje (npr. saopštenja za javnost, blogovi) i štampanim materijalima proizvedenim u okviru projekta. Pored toga, informacije o MUŽ-u biće dostupne na stranicama lokalne samouprave u kojima se sprovode potprojekti.</w:t>
      </w:r>
    </w:p>
    <w:p w:rsidR="004A1C66" w:rsidRPr="004A1C66" w:rsidRDefault="004A1C66" w:rsidP="004A1C66">
      <w:pPr>
        <w:pStyle w:val="BodyText"/>
        <w:spacing w:before="100" w:beforeAutospacing="1" w:after="100" w:afterAutospacing="1"/>
        <w:ind w:left="289" w:right="289"/>
        <w:rPr>
          <w:rFonts w:cs="Times New Roman"/>
          <w:lang w:val="sr-Latn-CS"/>
        </w:rPr>
      </w:pPr>
      <w:r w:rsidRPr="004A1C66">
        <w:rPr>
          <w:rFonts w:cs="Times New Roman"/>
          <w:lang w:val="sr-Latn-CS"/>
        </w:rPr>
        <w:t xml:space="preserve">Odgovorni član osoblja JUP-a/projektnog tima će biti zadužen da primi i odgovori na žalbu. Ukoliko bi JUP mogao da razmotri žalbu, onda će direktor JUP-a pratiti mere koje treba preduzeti kako bi se rešila žalba. Ako odgovor na žalbu zavisi od drugih institucija, a ne od osoblja JUP-a (npr. MALS, SB) JUP će se raspitati i odgovoriti žaliocu. U slučaju da drugi kriterijumi nisu u potpunosti ispunjeni, stručnjak JUP-a će i dalje vršiti ispitivanje (sa ili bez kontakta sa podnosiocem žalbe), sprovoditi korektivne mere i pružiti povratne informacije podnosiocu žalbe. U slučaju da je žalba anonimna, povratne informacije će biti dostavljene na veb stranici projekta. </w:t>
      </w:r>
    </w:p>
    <w:p w:rsidR="00F3731A" w:rsidRPr="003B3244" w:rsidRDefault="004A1C66" w:rsidP="004A1C66">
      <w:pPr>
        <w:pStyle w:val="BodyText"/>
        <w:spacing w:before="100" w:beforeAutospacing="1" w:after="100" w:afterAutospacing="1"/>
        <w:ind w:left="289" w:right="289"/>
        <w:rPr>
          <w:rFonts w:cs="Times New Roman"/>
          <w:lang w:val="sr-Latn-CS"/>
        </w:rPr>
      </w:pPr>
      <w:r w:rsidRPr="004A1C66">
        <w:rPr>
          <w:rFonts w:cs="Times New Roman"/>
          <w:lang w:val="sr-Latn-CS"/>
        </w:rPr>
        <w:t>Na godišnjem nivou, JUP će imati zadatak da u javnoj raspravi diskutuje o žalbama koje su primljene u toku godine i da izveštava o tome koje mere su preduzete ili koje se mere planiraju preduzeti kao odgovor na ove kritične povratne informacije. Zapisnici ovih konsultacija će biti objavljeni na veb stranici projekta</w:t>
      </w:r>
      <w:r w:rsidR="00F3731A" w:rsidRPr="003B3244">
        <w:rPr>
          <w:rFonts w:cs="Times New Roman"/>
          <w:lang w:val="sr-Latn-CS"/>
        </w:rPr>
        <w:t>.</w:t>
      </w:r>
      <w:bookmarkStart w:id="56" w:name="_TOC_250006"/>
    </w:p>
    <w:p w:rsidR="00F3731A" w:rsidRPr="003B3244" w:rsidRDefault="004A1C66" w:rsidP="00F3731A">
      <w:pPr>
        <w:pStyle w:val="Heading1"/>
        <w:rPr>
          <w:lang w:val="sr-Latn-CS"/>
        </w:rPr>
      </w:pPr>
      <w:bookmarkStart w:id="57" w:name="_Toc531255639"/>
      <w:bookmarkEnd w:id="56"/>
      <w:r w:rsidRPr="004A1C66">
        <w:rPr>
          <w:lang w:val="sr-Latn-CS"/>
        </w:rPr>
        <w:t xml:space="preserve">Praćenje usklađenosti i izveštavanje o </w:t>
      </w:r>
      <w:r w:rsidR="000818B6">
        <w:rPr>
          <w:lang w:val="sr-Latn-CS"/>
        </w:rPr>
        <w:t>OUSŽS</w:t>
      </w:r>
      <w:r w:rsidRPr="004A1C66">
        <w:rPr>
          <w:lang w:val="sr-Latn-CS"/>
        </w:rPr>
        <w:t>-u</w:t>
      </w:r>
      <w:bookmarkEnd w:id="57"/>
    </w:p>
    <w:p w:rsidR="006C528D" w:rsidRPr="006C528D" w:rsidRDefault="006C528D" w:rsidP="006C528D">
      <w:pPr>
        <w:pStyle w:val="BodyText"/>
        <w:spacing w:before="100" w:beforeAutospacing="1" w:after="100" w:afterAutospacing="1"/>
        <w:ind w:left="289" w:right="289"/>
        <w:rPr>
          <w:rFonts w:cs="Times New Roman"/>
          <w:lang w:val="sr-Latn-CS"/>
        </w:rPr>
      </w:pPr>
      <w:r w:rsidRPr="006C528D">
        <w:rPr>
          <w:rFonts w:cs="Times New Roman"/>
          <w:lang w:val="sr-Latn-CS"/>
        </w:rPr>
        <w:t xml:space="preserve">Kontrolna lista </w:t>
      </w:r>
      <w:r w:rsidR="000818B6">
        <w:rPr>
          <w:rFonts w:cs="Times New Roman"/>
          <w:lang w:val="sr-Latn-CS"/>
        </w:rPr>
        <w:t>PUSŽS</w:t>
      </w:r>
      <w:r w:rsidRPr="006C528D">
        <w:rPr>
          <w:rFonts w:cs="Times New Roman"/>
          <w:lang w:val="sr-Latn-CS"/>
        </w:rPr>
        <w:t xml:space="preserve">-a i </w:t>
      </w:r>
      <w:r w:rsidR="000818B6">
        <w:rPr>
          <w:rFonts w:cs="Times New Roman"/>
          <w:lang w:val="sr-Latn-CS"/>
        </w:rPr>
        <w:t>PUSŽS</w:t>
      </w:r>
      <w:r w:rsidRPr="006C528D">
        <w:rPr>
          <w:rFonts w:cs="Times New Roman"/>
          <w:lang w:val="sr-Latn-CS"/>
        </w:rPr>
        <w:t xml:space="preserve">-ovi specifični za lokaciju, nakon konsultacija i finalizacije, biće uključeni u </w:t>
      </w:r>
      <w:r w:rsidRPr="006C528D">
        <w:rPr>
          <w:rFonts w:cs="Times New Roman"/>
          <w:lang w:val="sr-Latn-CS"/>
        </w:rPr>
        <w:lastRenderedPageBreak/>
        <w:t xml:space="preserve">tendersku i ugovornu dokumentaciju. To je obaveza subjekta </w:t>
      </w:r>
      <w:r w:rsidR="0001393E">
        <w:rPr>
          <w:rFonts w:cs="Times New Roman"/>
          <w:lang w:val="sr-Latn-CS"/>
        </w:rPr>
        <w:t xml:space="preserve">koji vrši nabavku radova (MALS </w:t>
      </w:r>
      <w:r w:rsidRPr="006C528D">
        <w:rPr>
          <w:rFonts w:cs="Times New Roman"/>
          <w:lang w:val="sr-Latn-CS"/>
        </w:rPr>
        <w:t xml:space="preserve">ili podnosilac zahteva), međutim, predstavlja krajnju odgovornost </w:t>
      </w:r>
      <w:r w:rsidR="0001393E">
        <w:rPr>
          <w:rFonts w:cs="Times New Roman"/>
          <w:lang w:val="sr-Latn-CS"/>
        </w:rPr>
        <w:t>pripada MALS-u</w:t>
      </w:r>
      <w:r w:rsidRPr="006C528D">
        <w:rPr>
          <w:rFonts w:cs="Times New Roman"/>
          <w:lang w:val="sr-Latn-CS"/>
        </w:rPr>
        <w:t xml:space="preserve"> (JUP). </w:t>
      </w:r>
    </w:p>
    <w:p w:rsidR="006C528D" w:rsidRPr="006C528D" w:rsidRDefault="006C528D" w:rsidP="006C528D">
      <w:pPr>
        <w:pStyle w:val="BodyText"/>
        <w:spacing w:before="100" w:beforeAutospacing="1" w:after="100" w:afterAutospacing="1"/>
        <w:ind w:left="289" w:right="289"/>
        <w:rPr>
          <w:rFonts w:cs="Times New Roman"/>
          <w:lang w:val="sr-Latn-CS"/>
        </w:rPr>
      </w:pPr>
      <w:r w:rsidRPr="006C528D">
        <w:rPr>
          <w:rFonts w:cs="Times New Roman"/>
          <w:lang w:val="sr-Latn-CS"/>
        </w:rPr>
        <w:t xml:space="preserve">Za izvršenje malih infrastrukturnih radova i druge infrastrukture ili bilo kojih aktivnosti koje mogu izazvati štetne uticaje na životnu sredinu vezane za inicijative mladih, izvođač radova dužan je da sprovede mere ublažavanja i praćenja definisane u PŽS-u (kontrolna lista </w:t>
      </w:r>
      <w:r w:rsidR="000818B6">
        <w:rPr>
          <w:rFonts w:cs="Times New Roman"/>
          <w:lang w:val="sr-Latn-CS"/>
        </w:rPr>
        <w:t>PUSŽS</w:t>
      </w:r>
      <w:r w:rsidRPr="006C528D">
        <w:rPr>
          <w:rFonts w:cs="Times New Roman"/>
          <w:lang w:val="sr-Latn-CS"/>
        </w:rPr>
        <w:t xml:space="preserve">-a ili </w:t>
      </w:r>
      <w:r w:rsidR="000818B6">
        <w:rPr>
          <w:rFonts w:cs="Times New Roman"/>
          <w:lang w:val="sr-Latn-CS"/>
        </w:rPr>
        <w:t>PUSŽS</w:t>
      </w:r>
      <w:r w:rsidRPr="006C528D">
        <w:rPr>
          <w:rFonts w:cs="Times New Roman"/>
          <w:lang w:val="sr-Latn-CS"/>
        </w:rPr>
        <w:t xml:space="preserve">) i da JUP izveštava o napretku i statusu kvartalno ili u vremenskom okviru dogovorenom u dokumentu PŽS-a. </w:t>
      </w:r>
    </w:p>
    <w:p w:rsidR="00F3731A" w:rsidRPr="003B3244" w:rsidRDefault="006C528D" w:rsidP="006C528D">
      <w:pPr>
        <w:pStyle w:val="BodyText"/>
        <w:spacing w:before="100" w:beforeAutospacing="1" w:after="100" w:afterAutospacing="1"/>
        <w:ind w:left="289" w:right="289"/>
        <w:rPr>
          <w:rFonts w:cs="Times New Roman"/>
          <w:lang w:val="sr-Latn-CS"/>
        </w:rPr>
      </w:pPr>
      <w:r w:rsidRPr="006C528D">
        <w:rPr>
          <w:rFonts w:cs="Times New Roman"/>
          <w:lang w:val="sr-Latn-CS"/>
        </w:rPr>
        <w:t xml:space="preserve">Konsultant za zaštitu životne sredine vršiće redovni nadzor kontrolne liste </w:t>
      </w:r>
      <w:r w:rsidR="000818B6">
        <w:rPr>
          <w:rFonts w:cs="Times New Roman"/>
          <w:lang w:val="sr-Latn-CS"/>
        </w:rPr>
        <w:t>PUSŽS</w:t>
      </w:r>
      <w:r w:rsidRPr="006C528D">
        <w:rPr>
          <w:rFonts w:cs="Times New Roman"/>
          <w:lang w:val="sr-Latn-CS"/>
        </w:rPr>
        <w:t xml:space="preserve">-a/sprovođenje </w:t>
      </w:r>
      <w:r w:rsidR="000818B6">
        <w:rPr>
          <w:rFonts w:cs="Times New Roman"/>
          <w:lang w:val="sr-Latn-CS"/>
        </w:rPr>
        <w:t>PUSŽS</w:t>
      </w:r>
      <w:r w:rsidRPr="006C528D">
        <w:rPr>
          <w:rFonts w:cs="Times New Roman"/>
          <w:lang w:val="sr-Latn-CS"/>
        </w:rPr>
        <w:t>-a kroz provere/posete na terenu aktivnosti Inicijative mladih/NVO-a i redovno izveštavati JUP o usklađenosti sa životnom sredinom (</w:t>
      </w:r>
      <w:r w:rsidR="000818B6">
        <w:rPr>
          <w:rFonts w:cs="Times New Roman"/>
          <w:lang w:val="sr-Latn-CS"/>
        </w:rPr>
        <w:t>PUSŽS</w:t>
      </w:r>
      <w:r w:rsidRPr="006C528D">
        <w:rPr>
          <w:rFonts w:cs="Times New Roman"/>
          <w:lang w:val="sr-Latn-CS"/>
        </w:rPr>
        <w:t xml:space="preserve">, kontrolna lista </w:t>
      </w:r>
      <w:r w:rsidR="000818B6">
        <w:rPr>
          <w:rFonts w:cs="Times New Roman"/>
          <w:lang w:val="sr-Latn-CS"/>
        </w:rPr>
        <w:t>PUSŽS</w:t>
      </w:r>
      <w:r w:rsidRPr="006C528D">
        <w:rPr>
          <w:rFonts w:cs="Times New Roman"/>
          <w:lang w:val="sr-Latn-CS"/>
        </w:rPr>
        <w:t xml:space="preserve">-a). Iako je izveštavanje periodično, </w:t>
      </w:r>
      <w:r w:rsidR="0001393E" w:rsidRPr="0001393E">
        <w:rPr>
          <w:rFonts w:cs="Times New Roman"/>
          <w:lang w:val="sr-Latn-CS"/>
        </w:rPr>
        <w:t xml:space="preserve">značajne neusaglašenosti </w:t>
      </w:r>
      <w:r w:rsidRPr="006C528D">
        <w:rPr>
          <w:rFonts w:cs="Times New Roman"/>
          <w:lang w:val="sr-Latn-CS"/>
        </w:rPr>
        <w:t xml:space="preserve">će se odmah prijaviti JUP-u. Mere ublažavanja koje je predložio JUP će se sprovesti u određenom vremenskom okviru. U slučaju da potprojekat </w:t>
      </w:r>
      <w:r w:rsidR="0001393E">
        <w:rPr>
          <w:rFonts w:cs="Times New Roman"/>
          <w:lang w:val="sr-Latn-CS"/>
        </w:rPr>
        <w:t>(</w:t>
      </w:r>
      <w:r w:rsidR="0001393E" w:rsidRPr="0001393E">
        <w:rPr>
          <w:rFonts w:cs="Times New Roman"/>
          <w:lang w:val="sr-Latn-CS"/>
        </w:rPr>
        <w:t xml:space="preserve">izvođač, podnosilac zahteva </w:t>
      </w:r>
      <w:r w:rsidR="0001393E">
        <w:rPr>
          <w:rFonts w:cs="Times New Roman"/>
          <w:lang w:val="sr-Latn-CS"/>
        </w:rPr>
        <w:t xml:space="preserve">) </w:t>
      </w:r>
      <w:r w:rsidRPr="006C528D">
        <w:rPr>
          <w:rFonts w:cs="Times New Roman"/>
          <w:lang w:val="sr-Latn-CS"/>
        </w:rPr>
        <w:t xml:space="preserve">ne sprovede korektivne mere, preduzimaju se dalji koraci sve dok se ne preduzmu  mere </w:t>
      </w:r>
      <w:r w:rsidR="0001393E">
        <w:rPr>
          <w:rFonts w:cs="Times New Roman"/>
          <w:lang w:val="sr-Latn-CS"/>
        </w:rPr>
        <w:t>(</w:t>
      </w:r>
      <w:r w:rsidRPr="006C528D">
        <w:rPr>
          <w:rFonts w:cs="Times New Roman"/>
          <w:lang w:val="sr-Latn-CS"/>
        </w:rPr>
        <w:t xml:space="preserve">ili u dobro ocenjenim predmetima potprojekat će se izostaviti). Ovi koraci mogu uključivati ukidanje plaćanja dok se ne postigne usklađenost. JUP izveštava o usklađenosti životne sredine sa SB-om u redovnim izveštajima o sprovođenju projekta, osim ako se ne dogovori drugačije (npr. ako je to potprojekat koji zahteva </w:t>
      </w:r>
      <w:r w:rsidR="000818B6">
        <w:rPr>
          <w:rFonts w:cs="Times New Roman"/>
          <w:lang w:val="sr-Latn-CS"/>
        </w:rPr>
        <w:t>PUSŽS</w:t>
      </w:r>
      <w:r w:rsidR="00F3731A" w:rsidRPr="003B3244">
        <w:rPr>
          <w:rFonts w:cs="Times New Roman"/>
          <w:lang w:val="sr-Latn-CS"/>
        </w:rPr>
        <w:t>).</w:t>
      </w:r>
    </w:p>
    <w:p w:rsidR="00F3731A" w:rsidRPr="003B3244" w:rsidRDefault="00C4259D" w:rsidP="00F3731A">
      <w:pPr>
        <w:pStyle w:val="Heading1"/>
        <w:rPr>
          <w:lang w:val="sr-Latn-CS"/>
        </w:rPr>
      </w:pPr>
      <w:bookmarkStart w:id="58" w:name="_Toc531255640"/>
      <w:r w:rsidRPr="00C4259D">
        <w:rPr>
          <w:lang w:val="sr-Latn-CS"/>
        </w:rPr>
        <w:t>Objavljivanje i konsultacije</w:t>
      </w:r>
      <w:bookmarkEnd w:id="58"/>
    </w:p>
    <w:p w:rsidR="00C4259D" w:rsidRPr="00C4259D" w:rsidRDefault="000818B6" w:rsidP="00C4259D">
      <w:pPr>
        <w:pStyle w:val="BodyText"/>
        <w:spacing w:before="100" w:beforeAutospacing="1" w:after="100" w:afterAutospacing="1"/>
        <w:ind w:left="289" w:right="289"/>
        <w:rPr>
          <w:rFonts w:cs="Times New Roman"/>
          <w:lang w:val="sr-Latn-CS"/>
        </w:rPr>
      </w:pPr>
      <w:r>
        <w:rPr>
          <w:rFonts w:cs="Times New Roman"/>
          <w:lang w:val="sr-Latn-CS"/>
        </w:rPr>
        <w:t>OUSŽS</w:t>
      </w:r>
      <w:r w:rsidR="00C4259D" w:rsidRPr="00C4259D">
        <w:rPr>
          <w:rFonts w:cs="Times New Roman"/>
          <w:lang w:val="sr-Latn-CS"/>
        </w:rPr>
        <w:t xml:space="preserve"> će biti objavljen na veb stranici MALS-a na engleskom, albanskom i srpskom jeziku</w:t>
      </w:r>
      <w:r w:rsidR="0001393E">
        <w:rPr>
          <w:rFonts w:cs="Times New Roman"/>
          <w:lang w:val="sr-Latn-CS"/>
        </w:rPr>
        <w:t xml:space="preserve"> </w:t>
      </w:r>
      <w:r w:rsidR="00D12E20" w:rsidRPr="00D12E20">
        <w:rPr>
          <w:rFonts w:cs="Times New Roman"/>
          <w:lang w:val="sr-Latn-CS"/>
        </w:rPr>
        <w:t>14 dana</w:t>
      </w:r>
      <w:r w:rsidR="00C4259D" w:rsidRPr="00C4259D">
        <w:rPr>
          <w:rFonts w:cs="Times New Roman"/>
          <w:lang w:val="sr-Latn-CS"/>
        </w:rPr>
        <w:t xml:space="preserve"> sa štampanom kopijom dostupnom javnosti u poslovnim prostorijama. Istovremeno će se izdati poziv za </w:t>
      </w:r>
      <w:r w:rsidR="00D12E20" w:rsidRPr="00D12E20">
        <w:rPr>
          <w:rFonts w:cs="Times New Roman"/>
          <w:lang w:val="sr-Latn-CS"/>
        </w:rPr>
        <w:t>komentare</w:t>
      </w:r>
      <w:r w:rsidR="00C4259D" w:rsidRPr="00C4259D">
        <w:rPr>
          <w:rFonts w:cs="Times New Roman"/>
          <w:lang w:val="sr-Latn-CS"/>
        </w:rPr>
        <w:t xml:space="preserve"> (takođe putem veb stranice MALS-a) i </w:t>
      </w:r>
      <w:r w:rsidR="007247E1" w:rsidRPr="007247E1">
        <w:rPr>
          <w:rFonts w:cs="Times New Roman"/>
          <w:lang w:val="sr-Latn-CS"/>
        </w:rPr>
        <w:t xml:space="preserve">održaće se konsultativni sastanak </w:t>
      </w:r>
      <w:r w:rsidR="00C4259D" w:rsidRPr="00C4259D">
        <w:rPr>
          <w:rFonts w:cs="Times New Roman"/>
          <w:lang w:val="sr-Latn-CS"/>
        </w:rPr>
        <w:t>(</w:t>
      </w:r>
      <w:r w:rsidR="007247E1" w:rsidRPr="007247E1">
        <w:rPr>
          <w:rFonts w:cs="Times New Roman"/>
          <w:lang w:val="sr-Latn-CS"/>
        </w:rPr>
        <w:t>12. decembra, u 11:00 sati u zgradi Vlade, u prostorijama MALS-a 13.sp</w:t>
      </w:r>
      <w:r w:rsidR="007247E1">
        <w:rPr>
          <w:rFonts w:cs="Times New Roman"/>
          <w:lang w:val="sr-Latn-CS"/>
        </w:rPr>
        <w:t>ratu, sala za sastanke br. 1331</w:t>
      </w:r>
      <w:bookmarkStart w:id="59" w:name="_GoBack"/>
      <w:bookmarkEnd w:id="59"/>
      <w:r w:rsidR="00C4259D" w:rsidRPr="00C4259D">
        <w:rPr>
          <w:rFonts w:cs="Times New Roman"/>
          <w:lang w:val="sr-Latn-CS"/>
        </w:rPr>
        <w:t xml:space="preserve">). Tokom konsultacija zahtevaće se i pisani komentari i biće objavljene poštanska i email adresa za slanje komentara i sugestija. Svi pisani komentari i pitanja postavljena u javnim konsultacijama biće rešena, a </w:t>
      </w:r>
      <w:r w:rsidR="000C548C" w:rsidRPr="000C548C">
        <w:rPr>
          <w:rFonts w:cs="Times New Roman"/>
          <w:lang w:val="sr-Latn-CS"/>
        </w:rPr>
        <w:t>zatim sažeti (kao zapisnik)</w:t>
      </w:r>
      <w:r w:rsidR="000C548C">
        <w:rPr>
          <w:rFonts w:cs="Times New Roman"/>
          <w:lang w:val="sr-Latn-CS"/>
        </w:rPr>
        <w:t xml:space="preserve"> </w:t>
      </w:r>
      <w:r w:rsidR="00C4259D" w:rsidRPr="00C4259D">
        <w:rPr>
          <w:rFonts w:cs="Times New Roman"/>
          <w:lang w:val="sr-Latn-CS"/>
        </w:rPr>
        <w:t xml:space="preserve">i biće priložena </w:t>
      </w:r>
      <w:r>
        <w:rPr>
          <w:rFonts w:cs="Times New Roman"/>
          <w:lang w:val="sr-Latn-CS"/>
        </w:rPr>
        <w:t>OUSŽS</w:t>
      </w:r>
      <w:r w:rsidR="00C4259D" w:rsidRPr="00C4259D">
        <w:rPr>
          <w:rFonts w:cs="Times New Roman"/>
          <w:lang w:val="sr-Latn-CS"/>
        </w:rPr>
        <w:t>-u kao aneks. Tek onda</w:t>
      </w:r>
      <w:r w:rsidR="000C548C">
        <w:rPr>
          <w:rFonts w:cs="Times New Roman"/>
          <w:lang w:val="sr-Latn-CS"/>
        </w:rPr>
        <w:t xml:space="preserve"> se </w:t>
      </w:r>
      <w:r>
        <w:rPr>
          <w:rFonts w:cs="Times New Roman"/>
          <w:lang w:val="sr-Latn-CS"/>
        </w:rPr>
        <w:t>OUSŽS</w:t>
      </w:r>
      <w:r w:rsidR="000C548C">
        <w:rPr>
          <w:rFonts w:cs="Times New Roman"/>
          <w:lang w:val="sr-Latn-CS"/>
        </w:rPr>
        <w:t xml:space="preserve"> može smatrati konačnim i ponovo otkrivenim.</w:t>
      </w:r>
    </w:p>
    <w:p w:rsidR="00C4259D" w:rsidRPr="00C4259D" w:rsidRDefault="00C4259D" w:rsidP="00C4259D">
      <w:pPr>
        <w:pStyle w:val="BodyText"/>
        <w:spacing w:before="100" w:beforeAutospacing="1" w:after="100" w:afterAutospacing="1"/>
        <w:ind w:left="289" w:right="289"/>
        <w:rPr>
          <w:rFonts w:cs="Times New Roman"/>
          <w:lang w:val="sr-Latn-CS"/>
        </w:rPr>
      </w:pPr>
      <w:r w:rsidRPr="00C4259D">
        <w:rPr>
          <w:rFonts w:cs="Times New Roman"/>
          <w:lang w:val="sr-Latn-CS"/>
        </w:rPr>
        <w:t>Zapisnici javnih konsultacija u Aneksu 8 odražavaju proces i ishod javne konsultacije i objavljivanja.</w:t>
      </w:r>
    </w:p>
    <w:p w:rsidR="00F3731A" w:rsidRPr="003B3244" w:rsidRDefault="000818B6" w:rsidP="00C4259D">
      <w:pPr>
        <w:pStyle w:val="BodyText"/>
        <w:spacing w:before="100" w:beforeAutospacing="1" w:after="100" w:afterAutospacing="1"/>
        <w:ind w:left="289" w:right="289"/>
        <w:rPr>
          <w:rFonts w:cs="Times New Roman"/>
          <w:lang w:val="sr-Latn-CS"/>
        </w:rPr>
      </w:pPr>
      <w:r>
        <w:rPr>
          <w:rFonts w:cs="Times New Roman"/>
          <w:lang w:val="sr-Latn-CS"/>
        </w:rPr>
        <w:t>PUSŽS</w:t>
      </w:r>
      <w:r w:rsidR="00C4259D" w:rsidRPr="00C4259D">
        <w:rPr>
          <w:rFonts w:cs="Times New Roman"/>
          <w:lang w:val="sr-Latn-CS"/>
        </w:rPr>
        <w:t xml:space="preserve"> i kontrolne liste </w:t>
      </w:r>
      <w:r w:rsidR="007247E1">
        <w:rPr>
          <w:rFonts w:cs="Times New Roman"/>
          <w:lang w:val="sr-Latn-CS"/>
        </w:rPr>
        <w:t>P</w:t>
      </w:r>
      <w:r>
        <w:rPr>
          <w:rFonts w:cs="Times New Roman"/>
          <w:lang w:val="sr-Latn-CS"/>
        </w:rPr>
        <w:t>SŽS</w:t>
      </w:r>
      <w:r w:rsidR="00C4259D" w:rsidRPr="00C4259D">
        <w:rPr>
          <w:rFonts w:cs="Times New Roman"/>
          <w:lang w:val="sr-Latn-CS"/>
        </w:rPr>
        <w:t>-a će biti pripremljeni i objavljeni na engleskom i albanskom jeziku (kao i na srpskom jeziku u opštinama sa srpskom manjinom). Objavljivaće se na veb stranici MALS-a i/ili na veb stranici opštine u kojoj aktivnost ima uticaj</w:t>
      </w:r>
      <w:r w:rsidR="000C548C">
        <w:rPr>
          <w:rFonts w:cs="Times New Roman"/>
          <w:lang w:val="sr-Latn-CS"/>
        </w:rPr>
        <w:t xml:space="preserve"> za 14 dana</w:t>
      </w:r>
      <w:r w:rsidR="00096DA7">
        <w:rPr>
          <w:rFonts w:cs="Times New Roman"/>
          <w:lang w:val="sr-Latn-CS"/>
        </w:rPr>
        <w:t xml:space="preserve"> </w:t>
      </w:r>
      <w:r w:rsidR="000C548C">
        <w:rPr>
          <w:rFonts w:cs="Times New Roman"/>
          <w:lang w:val="sr-Latn-CS"/>
        </w:rPr>
        <w:t>(</w:t>
      </w:r>
      <w:r w:rsidR="000C548C" w:rsidRPr="000C548C">
        <w:rPr>
          <w:rFonts w:cs="Times New Roman"/>
          <w:lang w:val="sr-Latn-CS"/>
        </w:rPr>
        <w:t xml:space="preserve">štampana kopija dostupna </w:t>
      </w:r>
      <w:r w:rsidR="002C442E">
        <w:rPr>
          <w:rFonts w:cs="Times New Roman"/>
          <w:lang w:val="sr-Latn-CS"/>
        </w:rPr>
        <w:t>u prostorijama MALS-a prvi sprat, prijem</w:t>
      </w:r>
      <w:r w:rsidR="000C548C" w:rsidRPr="000C548C">
        <w:rPr>
          <w:rFonts w:cs="Times New Roman"/>
          <w:lang w:val="sr-Latn-CS"/>
        </w:rPr>
        <w:t>)</w:t>
      </w:r>
      <w:r w:rsidR="007247E1">
        <w:rPr>
          <w:rFonts w:cs="Times New Roman"/>
          <w:lang w:val="sr-Latn-CS"/>
        </w:rPr>
        <w:t xml:space="preserve"> i sastanak u okviru </w:t>
      </w:r>
      <w:r w:rsidR="000C548C">
        <w:rPr>
          <w:rFonts w:cs="Times New Roman"/>
          <w:lang w:val="sr-Latn-CS"/>
        </w:rPr>
        <w:t>.</w:t>
      </w:r>
      <w:r w:rsidR="000C548C" w:rsidRPr="00F52652">
        <w:rPr>
          <w:lang w:val="sr-Latn-CS"/>
        </w:rPr>
        <w:t xml:space="preserve"> </w:t>
      </w:r>
      <w:r w:rsidR="000C548C" w:rsidRPr="000C548C">
        <w:rPr>
          <w:rFonts w:cs="Times New Roman"/>
          <w:lang w:val="sr-Latn-CS"/>
        </w:rPr>
        <w:t>Poziv za komentare biće izdat paralelno</w:t>
      </w:r>
      <w:r w:rsidR="000C548C">
        <w:rPr>
          <w:rFonts w:cs="Times New Roman"/>
          <w:lang w:val="sr-Latn-CS"/>
        </w:rPr>
        <w:t>.</w:t>
      </w:r>
      <w:r w:rsidR="00096DA7" w:rsidRPr="00F52652">
        <w:rPr>
          <w:lang w:val="sr-Latn-CS"/>
        </w:rPr>
        <w:t xml:space="preserve"> </w:t>
      </w:r>
      <w:r w:rsidR="00096DA7" w:rsidRPr="00096DA7">
        <w:rPr>
          <w:rFonts w:cs="Times New Roman"/>
          <w:lang w:val="sr-Latn-CS"/>
        </w:rPr>
        <w:t xml:space="preserve">Relevantni komentari će se odraziti u konačnoj verziji </w:t>
      </w:r>
      <w:r w:rsidRPr="002C442E">
        <w:rPr>
          <w:rFonts w:cs="Times New Roman"/>
          <w:lang w:val="sr-Latn-CS"/>
        </w:rPr>
        <w:t>PUSŽS</w:t>
      </w:r>
      <w:r w:rsidR="00096DA7" w:rsidRPr="00096DA7">
        <w:rPr>
          <w:rFonts w:cs="Times New Roman"/>
          <w:lang w:val="sr-Latn-CS"/>
        </w:rPr>
        <w:t xml:space="preserve"> liste za proveru</w:t>
      </w:r>
      <w:r w:rsidR="00096DA7">
        <w:rPr>
          <w:rFonts w:cs="Times New Roman"/>
          <w:lang w:val="sr-Latn-CS"/>
        </w:rPr>
        <w:t xml:space="preserve"> </w:t>
      </w:r>
      <w:r w:rsidR="00096DA7" w:rsidRPr="00096DA7">
        <w:rPr>
          <w:rFonts w:cs="Times New Roman"/>
          <w:lang w:val="sr-Latn-CS"/>
        </w:rPr>
        <w:t>i konsultacije (uključujući i sastanak javnih konsultacija)</w:t>
      </w:r>
      <w:r w:rsidR="00096DA7">
        <w:rPr>
          <w:rFonts w:cs="Times New Roman"/>
          <w:lang w:val="sr-Latn-CS"/>
        </w:rPr>
        <w:t>.</w:t>
      </w:r>
    </w:p>
    <w:p w:rsidR="0073525C" w:rsidRPr="003B3244" w:rsidRDefault="0073525C" w:rsidP="00F3731A">
      <w:pPr>
        <w:pStyle w:val="Heading1"/>
        <w:spacing w:before="26"/>
        <w:rPr>
          <w:rFonts w:cs="Times New Roman"/>
          <w:color w:val="2F5495"/>
          <w:lang w:val="sr-Latn-CS"/>
        </w:rPr>
      </w:pPr>
      <w:bookmarkStart w:id="60" w:name="_TOC_250003"/>
      <w:bookmarkStart w:id="61" w:name="_Toc528270816"/>
      <w:bookmarkEnd w:id="60"/>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73525C" w:rsidRPr="003B3244" w:rsidRDefault="0073525C" w:rsidP="00F3731A">
      <w:pPr>
        <w:pStyle w:val="Heading1"/>
        <w:spacing w:before="26"/>
        <w:rPr>
          <w:rFonts w:cs="Times New Roman"/>
          <w:color w:val="2F5495"/>
          <w:lang w:val="sr-Latn-CS"/>
        </w:rPr>
      </w:pPr>
    </w:p>
    <w:p w:rsidR="00F3731A" w:rsidRPr="003B3244" w:rsidRDefault="00C4259D" w:rsidP="00F3731A">
      <w:pPr>
        <w:pStyle w:val="Heading1"/>
        <w:spacing w:before="26"/>
        <w:rPr>
          <w:rFonts w:cs="Times New Roman"/>
          <w:color w:val="2F5495"/>
          <w:lang w:val="sr-Latn-CS"/>
        </w:rPr>
      </w:pPr>
      <w:bookmarkStart w:id="62" w:name="_Toc531255641"/>
      <w:bookmarkEnd w:id="61"/>
      <w:r w:rsidRPr="00C4259D">
        <w:rPr>
          <w:rFonts w:cs="Times New Roman"/>
          <w:color w:val="2F5495"/>
          <w:lang w:val="sr-Latn-CS"/>
        </w:rPr>
        <w:t>ANEKSI</w:t>
      </w:r>
      <w:bookmarkEnd w:id="62"/>
    </w:p>
    <w:p w:rsidR="00F3731A" w:rsidRPr="003B3244" w:rsidRDefault="00F3731A" w:rsidP="00F3731A">
      <w:pPr>
        <w:pStyle w:val="Heading1"/>
        <w:spacing w:before="26"/>
        <w:rPr>
          <w:rFonts w:cs="Times New Roman"/>
          <w:lang w:val="sr-Latn-CS"/>
        </w:rPr>
      </w:pPr>
    </w:p>
    <w:p w:rsidR="00F3731A" w:rsidRPr="003B3244" w:rsidRDefault="00C4259D" w:rsidP="00F3731A">
      <w:pPr>
        <w:pStyle w:val="Heading2"/>
        <w:rPr>
          <w:lang w:val="sr-Latn-CS"/>
        </w:rPr>
      </w:pPr>
      <w:bookmarkStart w:id="63" w:name="_TOC_250002"/>
      <w:bookmarkStart w:id="64" w:name="_Toc531255642"/>
      <w:bookmarkEnd w:id="63"/>
      <w:r w:rsidRPr="00C4259D">
        <w:rPr>
          <w:lang w:val="sr-Latn-CS"/>
        </w:rPr>
        <w:t>ANEKS 1 - ODGOVORNOSTI I KLJUČNI UČESNICI</w:t>
      </w:r>
      <w:bookmarkEnd w:id="64"/>
    </w:p>
    <w:p w:rsidR="00F3731A" w:rsidRPr="003B3244" w:rsidRDefault="00F3731A" w:rsidP="00F3731A">
      <w:pPr>
        <w:pStyle w:val="BodyText"/>
        <w:rPr>
          <w:rFonts w:cs="Times New Roman"/>
          <w:b/>
          <w:sz w:val="20"/>
          <w:lang w:val="sr-Latn-CS"/>
        </w:rPr>
      </w:pPr>
    </w:p>
    <w:p w:rsidR="00F3731A" w:rsidRPr="003B3244" w:rsidRDefault="00F3731A" w:rsidP="00F3731A">
      <w:pPr>
        <w:pStyle w:val="BodyText"/>
        <w:spacing w:before="7"/>
        <w:rPr>
          <w:rFonts w:cs="Times New Roman"/>
          <w:b/>
          <w:lang w:val="sr-Latn-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75"/>
        <w:gridCol w:w="4743"/>
        <w:gridCol w:w="3642"/>
      </w:tblGrid>
      <w:tr w:rsidR="00C4259D" w:rsidRPr="003B3244" w:rsidTr="003B3244">
        <w:trPr>
          <w:trHeight w:val="275"/>
        </w:trPr>
        <w:tc>
          <w:tcPr>
            <w:tcW w:w="993" w:type="pct"/>
          </w:tcPr>
          <w:p w:rsidR="00C4259D" w:rsidRPr="00DB65DC" w:rsidRDefault="00C4259D" w:rsidP="00EF0E9D">
            <w:pPr>
              <w:pStyle w:val="TableParagraph"/>
              <w:spacing w:line="256" w:lineRule="exact"/>
              <w:ind w:left="287" w:right="281"/>
              <w:jc w:val="center"/>
              <w:rPr>
                <w:b/>
                <w:lang w:val="sr-Latn-CS"/>
              </w:rPr>
            </w:pPr>
            <w:r w:rsidRPr="00DB65DC">
              <w:rPr>
                <w:b/>
                <w:lang w:val="sr-Latn-CS"/>
              </w:rPr>
              <w:t>Učesnik</w:t>
            </w:r>
          </w:p>
        </w:tc>
        <w:tc>
          <w:tcPr>
            <w:tcW w:w="2265" w:type="pct"/>
          </w:tcPr>
          <w:p w:rsidR="00C4259D" w:rsidRPr="00DB65DC" w:rsidRDefault="00C4259D" w:rsidP="00EF0E9D">
            <w:pPr>
              <w:pStyle w:val="TableParagraph"/>
              <w:spacing w:line="256" w:lineRule="exact"/>
              <w:ind w:left="1910" w:right="1906"/>
              <w:jc w:val="center"/>
              <w:rPr>
                <w:b/>
                <w:lang w:val="sr-Latn-CS"/>
              </w:rPr>
            </w:pPr>
            <w:r w:rsidRPr="00DB65DC">
              <w:rPr>
                <w:b/>
                <w:lang w:val="sr-Latn-CS"/>
              </w:rPr>
              <w:t>Aktivnost</w:t>
            </w:r>
          </w:p>
        </w:tc>
        <w:tc>
          <w:tcPr>
            <w:tcW w:w="1742" w:type="pct"/>
          </w:tcPr>
          <w:p w:rsidR="00C4259D" w:rsidRPr="00DB65DC" w:rsidRDefault="00C4259D" w:rsidP="00EF0E9D">
            <w:pPr>
              <w:pStyle w:val="TableParagraph"/>
              <w:spacing w:line="256" w:lineRule="exact"/>
              <w:ind w:left="402"/>
              <w:rPr>
                <w:b/>
                <w:lang w:val="sr-Latn-CS"/>
              </w:rPr>
            </w:pPr>
            <w:r w:rsidRPr="00DB65DC">
              <w:rPr>
                <w:b/>
                <w:lang w:val="sr-Latn-CS"/>
              </w:rPr>
              <w:t>Pomoćna dokumentacija</w:t>
            </w:r>
          </w:p>
        </w:tc>
      </w:tr>
      <w:tr w:rsidR="00075B23" w:rsidRPr="003B3244" w:rsidTr="0073525C">
        <w:trPr>
          <w:trHeight w:val="6884"/>
        </w:trPr>
        <w:tc>
          <w:tcPr>
            <w:tcW w:w="993" w:type="pct"/>
          </w:tcPr>
          <w:p w:rsidR="00075B23" w:rsidRPr="00DB65DC" w:rsidRDefault="00075B23" w:rsidP="00EF0E9D">
            <w:pPr>
              <w:pStyle w:val="TableParagraph"/>
              <w:spacing w:line="269" w:lineRule="exact"/>
              <w:ind w:left="287" w:right="282"/>
              <w:jc w:val="center"/>
              <w:rPr>
                <w:lang w:val="sr-Latn-CS"/>
              </w:rPr>
            </w:pPr>
            <w:r>
              <w:rPr>
                <w:lang w:val="sr-Latn-CS"/>
              </w:rPr>
              <w:t>MALS</w:t>
            </w:r>
            <w:r w:rsidRPr="00DB65DC">
              <w:rPr>
                <w:lang w:val="sr-Latn-CS"/>
              </w:rPr>
              <w:t xml:space="preserve"> (</w:t>
            </w:r>
            <w:r>
              <w:rPr>
                <w:lang w:val="sr-Latn-CS"/>
              </w:rPr>
              <w:t>JUP</w:t>
            </w:r>
            <w:r w:rsidRPr="00DB65DC">
              <w:rPr>
                <w:lang w:val="sr-Latn-CS"/>
              </w:rPr>
              <w:t>)</w:t>
            </w:r>
          </w:p>
        </w:tc>
        <w:tc>
          <w:tcPr>
            <w:tcW w:w="2265" w:type="pct"/>
          </w:tcPr>
          <w:p w:rsidR="00075B23" w:rsidRPr="00DB65DC" w:rsidRDefault="00075B23" w:rsidP="00EF0E9D">
            <w:pPr>
              <w:pStyle w:val="TableParagraph"/>
              <w:numPr>
                <w:ilvl w:val="0"/>
                <w:numId w:val="9"/>
              </w:numPr>
              <w:tabs>
                <w:tab w:val="left" w:pos="467"/>
                <w:tab w:val="left" w:pos="468"/>
              </w:tabs>
              <w:spacing w:line="237" w:lineRule="auto"/>
              <w:ind w:right="173"/>
              <w:rPr>
                <w:lang w:val="sr-Latn-CS"/>
              </w:rPr>
            </w:pPr>
            <w:r>
              <w:rPr>
                <w:lang w:val="sr-Latn-CS"/>
              </w:rPr>
              <w:t>Priprema</w:t>
            </w:r>
            <w:r w:rsidRPr="00DB65DC">
              <w:rPr>
                <w:lang w:val="sr-Latn-CS"/>
              </w:rPr>
              <w:t xml:space="preserve"> </w:t>
            </w:r>
            <w:r w:rsidR="000818B6">
              <w:rPr>
                <w:lang w:val="sr-Latn-CS"/>
              </w:rPr>
              <w:t>OUSŽS</w:t>
            </w:r>
            <w:r w:rsidRPr="00DB65DC">
              <w:rPr>
                <w:lang w:val="sr-Latn-CS"/>
              </w:rPr>
              <w:t xml:space="preserve">-a za </w:t>
            </w:r>
            <w:r w:rsidR="00373965">
              <w:rPr>
                <w:lang w:val="sr-Latn-CS"/>
              </w:rPr>
              <w:t>PLRKUM</w:t>
            </w:r>
            <w:r w:rsidRPr="00DB65DC">
              <w:rPr>
                <w:lang w:val="sr-Latn-CS"/>
              </w:rPr>
              <w:t>,  od  MALS-a/lokalnih vlasti;</w:t>
            </w:r>
          </w:p>
          <w:p w:rsidR="00075B23" w:rsidRPr="00DB65DC" w:rsidRDefault="00075B23" w:rsidP="00EF0E9D">
            <w:pPr>
              <w:pStyle w:val="TableParagraph"/>
              <w:numPr>
                <w:ilvl w:val="0"/>
                <w:numId w:val="9"/>
              </w:numPr>
              <w:tabs>
                <w:tab w:val="left" w:pos="467"/>
                <w:tab w:val="left" w:pos="468"/>
              </w:tabs>
              <w:spacing w:before="2"/>
              <w:rPr>
                <w:lang w:val="sr-Latn-CS"/>
              </w:rPr>
            </w:pPr>
            <w:r w:rsidRPr="00DB65DC">
              <w:rPr>
                <w:lang w:val="sr-Latn-CS"/>
              </w:rPr>
              <w:t>Nadzor sprovođenja po</w:t>
            </w:r>
            <w:r>
              <w:rPr>
                <w:lang w:val="sr-Latn-CS"/>
              </w:rPr>
              <w:t>t</w:t>
            </w:r>
            <w:r w:rsidRPr="00DB65DC">
              <w:rPr>
                <w:lang w:val="sr-Latn-CS"/>
              </w:rPr>
              <w:t>projekta;</w:t>
            </w:r>
          </w:p>
          <w:p w:rsidR="00075B23" w:rsidRPr="00DB65DC" w:rsidRDefault="00075B23" w:rsidP="00EF0E9D">
            <w:pPr>
              <w:pStyle w:val="TableParagraph"/>
              <w:numPr>
                <w:ilvl w:val="0"/>
                <w:numId w:val="9"/>
              </w:numPr>
              <w:tabs>
                <w:tab w:val="left" w:pos="467"/>
                <w:tab w:val="left" w:pos="468"/>
              </w:tabs>
              <w:spacing w:before="3" w:line="237" w:lineRule="auto"/>
              <w:ind w:right="129"/>
              <w:rPr>
                <w:lang w:val="sr-Latn-CS"/>
              </w:rPr>
            </w:pPr>
            <w:r w:rsidRPr="00DB65DC">
              <w:rPr>
                <w:lang w:val="sr-Latn-CS"/>
              </w:rPr>
              <w:t>Praćenje (</w:t>
            </w:r>
            <w:r w:rsidR="000818B6">
              <w:rPr>
                <w:lang w:val="sr-Latn-CS"/>
              </w:rPr>
              <w:t>OUSŽS</w:t>
            </w:r>
            <w:r w:rsidRPr="00DB65DC">
              <w:rPr>
                <w:lang w:val="sr-Latn-CS"/>
              </w:rPr>
              <w:t xml:space="preserve"> i/ili kontrolna lista </w:t>
            </w:r>
            <w:r w:rsidR="000818B6">
              <w:rPr>
                <w:lang w:val="sr-Latn-CS"/>
              </w:rPr>
              <w:t>PUSŽS</w:t>
            </w:r>
            <w:r w:rsidRPr="00DB65DC">
              <w:rPr>
                <w:lang w:val="sr-Latn-CS"/>
              </w:rPr>
              <w:t xml:space="preserve">-a) </w:t>
            </w:r>
            <w:r>
              <w:rPr>
                <w:lang w:val="sr-Latn-CS"/>
              </w:rPr>
              <w:t xml:space="preserve">sprovođenja </w:t>
            </w:r>
            <w:r w:rsidRPr="00DB65DC">
              <w:rPr>
                <w:lang w:val="sr-Latn-CS"/>
              </w:rPr>
              <w:t xml:space="preserve">(uključujući posete na terenu) i </w:t>
            </w:r>
            <w:r>
              <w:rPr>
                <w:lang w:val="sr-Latn-CS"/>
              </w:rPr>
              <w:t>osiguranje</w:t>
            </w:r>
            <w:r w:rsidRPr="00DB65DC">
              <w:rPr>
                <w:lang w:val="sr-Latn-CS"/>
              </w:rPr>
              <w:t xml:space="preserve"> korektivnih mera;</w:t>
            </w:r>
          </w:p>
          <w:p w:rsidR="00075B23" w:rsidRPr="00DB65DC" w:rsidRDefault="00075B23" w:rsidP="00EF0E9D">
            <w:pPr>
              <w:pStyle w:val="TableParagraph"/>
              <w:numPr>
                <w:ilvl w:val="0"/>
                <w:numId w:val="9"/>
              </w:numPr>
              <w:tabs>
                <w:tab w:val="left" w:pos="467"/>
                <w:tab w:val="left" w:pos="468"/>
              </w:tabs>
              <w:spacing w:before="5" w:line="293" w:lineRule="exact"/>
              <w:rPr>
                <w:lang w:val="sr-Latn-CS"/>
              </w:rPr>
            </w:pPr>
            <w:r w:rsidRPr="00DB65DC">
              <w:rPr>
                <w:lang w:val="sr-Latn-CS"/>
              </w:rPr>
              <w:t>Skrining životne sredine;</w:t>
            </w:r>
          </w:p>
          <w:p w:rsidR="00075B23" w:rsidRPr="00DB65DC" w:rsidRDefault="00075B23" w:rsidP="00EF0E9D">
            <w:pPr>
              <w:pStyle w:val="TableParagraph"/>
              <w:numPr>
                <w:ilvl w:val="0"/>
                <w:numId w:val="9"/>
              </w:numPr>
              <w:tabs>
                <w:tab w:val="left" w:pos="467"/>
                <w:tab w:val="left" w:pos="468"/>
              </w:tabs>
              <w:spacing w:line="293" w:lineRule="exact"/>
              <w:rPr>
                <w:lang w:val="sr-Latn-CS"/>
              </w:rPr>
            </w:pPr>
            <w:r w:rsidRPr="00DB65DC">
              <w:rPr>
                <w:lang w:val="sr-Latn-CS"/>
              </w:rPr>
              <w:t xml:space="preserve">Izveštavanje SB-a o sprovođenju </w:t>
            </w:r>
            <w:r w:rsidR="000818B6">
              <w:rPr>
                <w:lang w:val="sr-Latn-CS"/>
              </w:rPr>
              <w:t>OUSŽS</w:t>
            </w:r>
            <w:r w:rsidRPr="00DB65DC">
              <w:rPr>
                <w:lang w:val="sr-Latn-CS"/>
              </w:rPr>
              <w:t>-a (</w:t>
            </w:r>
            <w:r w:rsidR="000818B6">
              <w:rPr>
                <w:lang w:val="sr-Latn-CS"/>
              </w:rPr>
              <w:t>PUSŽS</w:t>
            </w:r>
            <w:r w:rsidRPr="00DB65DC">
              <w:rPr>
                <w:lang w:val="sr-Latn-CS"/>
              </w:rPr>
              <w:t xml:space="preserve">, kontrolna lista </w:t>
            </w:r>
            <w:r w:rsidR="000818B6">
              <w:rPr>
                <w:lang w:val="sr-Latn-CS"/>
              </w:rPr>
              <w:t>PUSŽS</w:t>
            </w:r>
            <w:r w:rsidRPr="00DB65DC">
              <w:rPr>
                <w:lang w:val="sr-Latn-CS"/>
              </w:rPr>
              <w:t>-a);</w:t>
            </w:r>
          </w:p>
          <w:p w:rsidR="00075B23" w:rsidRPr="00DB65DC" w:rsidRDefault="00075B23" w:rsidP="00EF0E9D">
            <w:pPr>
              <w:pStyle w:val="TableParagraph"/>
              <w:numPr>
                <w:ilvl w:val="0"/>
                <w:numId w:val="9"/>
              </w:numPr>
              <w:tabs>
                <w:tab w:val="left" w:pos="467"/>
                <w:tab w:val="left" w:pos="468"/>
              </w:tabs>
              <w:spacing w:before="22" w:line="274" w:lineRule="exact"/>
              <w:ind w:right="516"/>
              <w:rPr>
                <w:lang w:val="sr-Latn-CS"/>
              </w:rPr>
            </w:pPr>
            <w:r w:rsidRPr="00DB65DC">
              <w:rPr>
                <w:lang w:val="sr-Latn-CS"/>
              </w:rPr>
              <w:t xml:space="preserve">Uključivanje svih sigurnosnih politika </w:t>
            </w:r>
            <w:r>
              <w:rPr>
                <w:lang w:val="sr-Latn-CS"/>
              </w:rPr>
              <w:t>o</w:t>
            </w:r>
            <w:r w:rsidRPr="00DB65DC">
              <w:rPr>
                <w:lang w:val="sr-Latn-CS"/>
              </w:rPr>
              <w:t xml:space="preserve"> PŽS</w:t>
            </w:r>
            <w:r>
              <w:rPr>
                <w:lang w:val="sr-Latn-CS"/>
              </w:rPr>
              <w:t>-u</w:t>
            </w:r>
            <w:r w:rsidRPr="00DB65DC">
              <w:rPr>
                <w:lang w:val="sr-Latn-CS"/>
              </w:rPr>
              <w:t xml:space="preserve"> </w:t>
            </w:r>
            <w:r>
              <w:rPr>
                <w:lang w:val="sr-Latn-CS"/>
              </w:rPr>
              <w:t>u svoj projektnoj</w:t>
            </w:r>
            <w:r w:rsidRPr="00DB65DC">
              <w:rPr>
                <w:lang w:val="sr-Latn-CS"/>
              </w:rPr>
              <w:t>/ po</w:t>
            </w:r>
            <w:r>
              <w:rPr>
                <w:lang w:val="sr-Latn-CS"/>
              </w:rPr>
              <w:t>t</w:t>
            </w:r>
            <w:r w:rsidRPr="00DB65DC">
              <w:rPr>
                <w:lang w:val="sr-Latn-CS"/>
              </w:rPr>
              <w:t>p</w:t>
            </w:r>
            <w:r>
              <w:rPr>
                <w:lang w:val="sr-Latn-CS"/>
              </w:rPr>
              <w:t>rojektnoj dokumentaciji, kao i u</w:t>
            </w:r>
            <w:r w:rsidRPr="00DB65DC">
              <w:rPr>
                <w:lang w:val="sr-Latn-CS"/>
              </w:rPr>
              <w:t xml:space="preserve"> </w:t>
            </w:r>
            <w:r>
              <w:rPr>
                <w:lang w:val="sr-Latn-CS"/>
              </w:rPr>
              <w:t>priručniku</w:t>
            </w:r>
            <w:r w:rsidRPr="00DB65DC">
              <w:rPr>
                <w:lang w:val="sr-Latn-CS"/>
              </w:rPr>
              <w:t xml:space="preserve"> o po</w:t>
            </w:r>
            <w:r>
              <w:rPr>
                <w:lang w:val="sr-Latn-CS"/>
              </w:rPr>
              <w:t>t</w:t>
            </w:r>
            <w:r w:rsidRPr="00DB65DC">
              <w:rPr>
                <w:lang w:val="sr-Latn-CS"/>
              </w:rPr>
              <w:t>projektu;</w:t>
            </w:r>
          </w:p>
          <w:p w:rsidR="00075B23" w:rsidRPr="00DB65DC" w:rsidRDefault="00075B23" w:rsidP="00EF0E9D">
            <w:pPr>
              <w:pStyle w:val="TableParagraph"/>
              <w:tabs>
                <w:tab w:val="left" w:pos="467"/>
                <w:tab w:val="left" w:pos="468"/>
              </w:tabs>
              <w:spacing w:before="22" w:line="274" w:lineRule="exact"/>
              <w:ind w:left="467" w:right="516"/>
              <w:rPr>
                <w:lang w:val="sr-Latn-CS"/>
              </w:rPr>
            </w:pPr>
          </w:p>
          <w:p w:rsidR="00075B23" w:rsidRPr="00DB65DC" w:rsidRDefault="00075B23" w:rsidP="00EF0E9D">
            <w:pPr>
              <w:pStyle w:val="TableParagraph"/>
              <w:numPr>
                <w:ilvl w:val="0"/>
                <w:numId w:val="7"/>
              </w:numPr>
              <w:tabs>
                <w:tab w:val="left" w:pos="467"/>
                <w:tab w:val="left" w:pos="468"/>
              </w:tabs>
              <w:spacing w:line="237" w:lineRule="auto"/>
              <w:ind w:right="126"/>
              <w:rPr>
                <w:lang w:val="sr-Latn-CS"/>
              </w:rPr>
            </w:pPr>
            <w:r>
              <w:rPr>
                <w:lang w:val="sr-Latn-CS"/>
              </w:rPr>
              <w:t>Koordinacija</w:t>
            </w:r>
            <w:r w:rsidRPr="00DB65DC">
              <w:rPr>
                <w:lang w:val="sr-Latn-CS"/>
              </w:rPr>
              <w:t xml:space="preserve"> i sprovođenje ukupnog projekta;</w:t>
            </w:r>
          </w:p>
          <w:p w:rsidR="00075B23" w:rsidRPr="00DB65DC" w:rsidRDefault="00075B23" w:rsidP="00EF0E9D">
            <w:pPr>
              <w:pStyle w:val="TableParagraph"/>
              <w:numPr>
                <w:ilvl w:val="0"/>
                <w:numId w:val="7"/>
              </w:numPr>
              <w:tabs>
                <w:tab w:val="left" w:pos="467"/>
                <w:tab w:val="left" w:pos="468"/>
              </w:tabs>
              <w:spacing w:line="237" w:lineRule="auto"/>
              <w:ind w:right="126"/>
              <w:rPr>
                <w:lang w:val="sr-Latn-CS"/>
              </w:rPr>
            </w:pPr>
            <w:r>
              <w:rPr>
                <w:lang w:val="sr-Latn-CS"/>
              </w:rPr>
              <w:t>Finalizacija</w:t>
            </w:r>
            <w:r w:rsidRPr="00DB65DC">
              <w:rPr>
                <w:lang w:val="sr-Latn-CS"/>
              </w:rPr>
              <w:t xml:space="preserve"> obrasca skrininga životne sredine;</w:t>
            </w:r>
          </w:p>
          <w:p w:rsidR="00075B23" w:rsidRPr="00DB65DC" w:rsidRDefault="00075B23" w:rsidP="00EF0E9D">
            <w:pPr>
              <w:pStyle w:val="TableParagraph"/>
              <w:numPr>
                <w:ilvl w:val="0"/>
                <w:numId w:val="7"/>
              </w:numPr>
              <w:tabs>
                <w:tab w:val="left" w:pos="467"/>
                <w:tab w:val="left" w:pos="468"/>
              </w:tabs>
              <w:spacing w:line="237" w:lineRule="auto"/>
              <w:ind w:right="126"/>
              <w:rPr>
                <w:lang w:val="sr-Latn-CS"/>
              </w:rPr>
            </w:pPr>
            <w:r>
              <w:rPr>
                <w:lang w:val="sr-Latn-CS"/>
              </w:rPr>
              <w:t>Priprema</w:t>
            </w:r>
            <w:r w:rsidRPr="00DB65DC">
              <w:rPr>
                <w:lang w:val="sr-Latn-CS"/>
              </w:rPr>
              <w:t xml:space="preserve"> i javno konsultovanje u vezi sa </w:t>
            </w:r>
            <w:r w:rsidR="000818B6">
              <w:rPr>
                <w:lang w:val="sr-Latn-CS"/>
              </w:rPr>
              <w:t>OUSŽS</w:t>
            </w:r>
            <w:r w:rsidRPr="00DB65DC">
              <w:rPr>
                <w:lang w:val="sr-Latn-CS"/>
              </w:rPr>
              <w:t>-om;</w:t>
            </w:r>
          </w:p>
          <w:p w:rsidR="00075B23" w:rsidRPr="00DB65DC" w:rsidRDefault="00075B23" w:rsidP="00EF0E9D">
            <w:pPr>
              <w:pStyle w:val="TableParagraph"/>
              <w:numPr>
                <w:ilvl w:val="0"/>
                <w:numId w:val="7"/>
              </w:numPr>
              <w:tabs>
                <w:tab w:val="left" w:pos="467"/>
                <w:tab w:val="left" w:pos="468"/>
              </w:tabs>
              <w:spacing w:line="237" w:lineRule="auto"/>
              <w:ind w:right="126"/>
              <w:rPr>
                <w:lang w:val="sr-Latn-CS"/>
              </w:rPr>
            </w:pPr>
            <w:r w:rsidRPr="00DB65DC">
              <w:rPr>
                <w:lang w:val="sr-Latn-CS"/>
              </w:rPr>
              <w:t xml:space="preserve">Praćenje/nadgledanje i evaluacija usklađenosti sa planovima/merama ublažavanja </w:t>
            </w:r>
            <w:r w:rsidR="000818B6">
              <w:rPr>
                <w:lang w:val="sr-Latn-CS"/>
              </w:rPr>
              <w:t>OUSŽS</w:t>
            </w:r>
            <w:r w:rsidRPr="00DB65DC">
              <w:rPr>
                <w:lang w:val="sr-Latn-CS"/>
              </w:rPr>
              <w:t>-a;</w:t>
            </w:r>
          </w:p>
          <w:p w:rsidR="00075B23" w:rsidRPr="00DB65DC" w:rsidRDefault="00075B23" w:rsidP="00EF0E9D">
            <w:pPr>
              <w:pStyle w:val="TableParagraph"/>
              <w:numPr>
                <w:ilvl w:val="0"/>
                <w:numId w:val="7"/>
              </w:numPr>
              <w:tabs>
                <w:tab w:val="left" w:pos="467"/>
                <w:tab w:val="left" w:pos="468"/>
              </w:tabs>
              <w:spacing w:line="237" w:lineRule="auto"/>
              <w:ind w:right="126"/>
              <w:rPr>
                <w:lang w:val="sr-Latn-CS"/>
              </w:rPr>
            </w:pPr>
            <w:r>
              <w:rPr>
                <w:lang w:val="sr-Latn-CS"/>
              </w:rPr>
              <w:t>Koordinacija</w:t>
            </w:r>
            <w:r w:rsidRPr="00DB65DC">
              <w:rPr>
                <w:lang w:val="sr-Latn-CS"/>
              </w:rPr>
              <w:t xml:space="preserve"> sa zainteresovanim stranama: institucije, opštine, civilno društvo, NVO, Inicijative mladih;</w:t>
            </w:r>
          </w:p>
          <w:p w:rsidR="00075B23" w:rsidRPr="00DB65DC" w:rsidRDefault="00075B23" w:rsidP="00EF0E9D">
            <w:pPr>
              <w:pStyle w:val="TableParagraph"/>
              <w:numPr>
                <w:ilvl w:val="0"/>
                <w:numId w:val="7"/>
              </w:numPr>
              <w:tabs>
                <w:tab w:val="left" w:pos="467"/>
                <w:tab w:val="left" w:pos="468"/>
              </w:tabs>
              <w:spacing w:before="1" w:line="237" w:lineRule="auto"/>
              <w:ind w:right="102"/>
              <w:rPr>
                <w:lang w:val="sr-Latn-CS"/>
              </w:rPr>
            </w:pPr>
            <w:r>
              <w:rPr>
                <w:lang w:val="sr-Latn-CS"/>
              </w:rPr>
              <w:t>Koordinacija</w:t>
            </w:r>
            <w:r w:rsidRPr="00DB65DC">
              <w:rPr>
                <w:lang w:val="sr-Latn-CS"/>
              </w:rPr>
              <w:t xml:space="preserve"> sa drugim donatorima tokom sprovođenja projekta..</w:t>
            </w:r>
          </w:p>
        </w:tc>
        <w:tc>
          <w:tcPr>
            <w:tcW w:w="1742" w:type="pct"/>
          </w:tcPr>
          <w:p w:rsidR="00075B23" w:rsidRPr="00DB65DC" w:rsidRDefault="00075B23" w:rsidP="00EF0E9D">
            <w:pPr>
              <w:pStyle w:val="TableParagraph"/>
              <w:spacing w:before="6"/>
              <w:rPr>
                <w:b/>
                <w:lang w:val="sr-Latn-CS"/>
              </w:rPr>
            </w:pPr>
          </w:p>
          <w:p w:rsidR="00075B23" w:rsidRPr="00DB65DC" w:rsidRDefault="000818B6" w:rsidP="00EF0E9D">
            <w:pPr>
              <w:pStyle w:val="TableParagraph"/>
              <w:numPr>
                <w:ilvl w:val="0"/>
                <w:numId w:val="8"/>
              </w:numPr>
              <w:tabs>
                <w:tab w:val="left" w:pos="467"/>
                <w:tab w:val="left" w:pos="468"/>
              </w:tabs>
              <w:spacing w:line="293" w:lineRule="exact"/>
              <w:rPr>
                <w:lang w:val="sr-Latn-CS"/>
              </w:rPr>
            </w:pPr>
            <w:r>
              <w:rPr>
                <w:lang w:val="sr-Latn-CS"/>
              </w:rPr>
              <w:t>OUSŽS</w:t>
            </w:r>
            <w:r w:rsidR="00075B23" w:rsidRPr="00DB65DC">
              <w:rPr>
                <w:lang w:val="sr-Latn-CS"/>
              </w:rPr>
              <w:t>;</w:t>
            </w:r>
          </w:p>
          <w:p w:rsidR="00075B23" w:rsidRPr="00DB65DC" w:rsidRDefault="000818B6" w:rsidP="00EF0E9D">
            <w:pPr>
              <w:pStyle w:val="TableParagraph"/>
              <w:numPr>
                <w:ilvl w:val="0"/>
                <w:numId w:val="8"/>
              </w:numPr>
              <w:tabs>
                <w:tab w:val="left" w:pos="467"/>
                <w:tab w:val="left" w:pos="468"/>
              </w:tabs>
              <w:spacing w:line="293" w:lineRule="exact"/>
              <w:rPr>
                <w:lang w:val="sr-Latn-CS"/>
              </w:rPr>
            </w:pPr>
            <w:r>
              <w:rPr>
                <w:lang w:val="sr-Latn-CS"/>
              </w:rPr>
              <w:t>PUSŽS</w:t>
            </w:r>
            <w:r w:rsidR="00075B23" w:rsidRPr="00DB65DC">
              <w:rPr>
                <w:lang w:val="sr-Latn-CS"/>
              </w:rPr>
              <w:t xml:space="preserve">/kontrolna lista </w:t>
            </w:r>
            <w:r>
              <w:rPr>
                <w:lang w:val="sr-Latn-CS"/>
              </w:rPr>
              <w:t>PUSŽS</w:t>
            </w:r>
            <w:r w:rsidR="00075B23" w:rsidRPr="00DB65DC">
              <w:rPr>
                <w:lang w:val="sr-Latn-CS"/>
              </w:rPr>
              <w:t>-a sa planom praćenja sa dodatnim aneksima;</w:t>
            </w:r>
          </w:p>
          <w:p w:rsidR="00075B23" w:rsidRPr="00DB65DC" w:rsidRDefault="00075B23" w:rsidP="00EF0E9D">
            <w:pPr>
              <w:pStyle w:val="TableParagraph"/>
              <w:numPr>
                <w:ilvl w:val="0"/>
                <w:numId w:val="8"/>
              </w:numPr>
              <w:tabs>
                <w:tab w:val="left" w:pos="467"/>
                <w:tab w:val="left" w:pos="468"/>
              </w:tabs>
              <w:spacing w:line="293" w:lineRule="exact"/>
              <w:rPr>
                <w:lang w:val="sr-Latn-CS"/>
              </w:rPr>
            </w:pPr>
            <w:r w:rsidRPr="00DB65DC">
              <w:rPr>
                <w:lang w:val="sr-Latn-CS"/>
              </w:rPr>
              <w:t>Periodični izve</w:t>
            </w:r>
            <w:r>
              <w:rPr>
                <w:lang w:val="sr-Latn-CS"/>
              </w:rPr>
              <w:t>štaji i izveštaj o završetku pot</w:t>
            </w:r>
            <w:r w:rsidRPr="00DB65DC">
              <w:rPr>
                <w:lang w:val="sr-Latn-CS"/>
              </w:rPr>
              <w:t>projekta;</w:t>
            </w:r>
          </w:p>
          <w:p w:rsidR="00075B23" w:rsidRPr="00DB65DC" w:rsidRDefault="00075B23" w:rsidP="00EF0E9D">
            <w:pPr>
              <w:pStyle w:val="TableParagraph"/>
              <w:numPr>
                <w:ilvl w:val="0"/>
                <w:numId w:val="8"/>
              </w:numPr>
              <w:tabs>
                <w:tab w:val="left" w:pos="467"/>
                <w:tab w:val="left" w:pos="468"/>
              </w:tabs>
              <w:spacing w:line="293" w:lineRule="exact"/>
              <w:rPr>
                <w:lang w:val="sr-Latn-CS"/>
              </w:rPr>
            </w:pPr>
            <w:r w:rsidRPr="00DB65DC">
              <w:rPr>
                <w:lang w:val="sr-Latn-CS"/>
              </w:rPr>
              <w:t>Izveštavanje o životnoj sredini u okviru redovnih izveštaja o napretku</w:t>
            </w:r>
          </w:p>
          <w:p w:rsidR="00075B23" w:rsidRPr="00DB65DC" w:rsidRDefault="00075B23" w:rsidP="00EF0E9D">
            <w:pPr>
              <w:pStyle w:val="TableParagraph"/>
              <w:numPr>
                <w:ilvl w:val="0"/>
                <w:numId w:val="6"/>
              </w:numPr>
              <w:tabs>
                <w:tab w:val="left" w:pos="467"/>
                <w:tab w:val="left" w:pos="468"/>
              </w:tabs>
              <w:spacing w:before="7" w:line="237" w:lineRule="auto"/>
              <w:ind w:right="221"/>
              <w:rPr>
                <w:lang w:val="sr-Latn-CS"/>
              </w:rPr>
            </w:pPr>
            <w:r w:rsidRPr="00DB65DC">
              <w:rPr>
                <w:lang w:val="sr-Latn-CS"/>
              </w:rPr>
              <w:t>Periodični izveštaji o praćenju.</w:t>
            </w:r>
          </w:p>
        </w:tc>
      </w:tr>
      <w:tr w:rsidR="00075B23" w:rsidRPr="003B3244" w:rsidTr="0073525C">
        <w:trPr>
          <w:trHeight w:val="2159"/>
        </w:trPr>
        <w:tc>
          <w:tcPr>
            <w:tcW w:w="993" w:type="pct"/>
          </w:tcPr>
          <w:p w:rsidR="00075B23" w:rsidRPr="00DB65DC" w:rsidRDefault="001B3820" w:rsidP="00EF0E9D">
            <w:pPr>
              <w:pStyle w:val="TableParagraph"/>
              <w:spacing w:line="269" w:lineRule="exact"/>
              <w:ind w:left="287" w:right="278"/>
              <w:rPr>
                <w:lang w:val="sr-Latn-CS"/>
              </w:rPr>
            </w:pPr>
            <w:r w:rsidRPr="001B3820">
              <w:rPr>
                <w:lang w:val="sr-Latn-CS"/>
              </w:rPr>
              <w:t>Podnosilac zahteva (krajnji korisnik)</w:t>
            </w:r>
          </w:p>
        </w:tc>
        <w:tc>
          <w:tcPr>
            <w:tcW w:w="2265" w:type="pct"/>
          </w:tcPr>
          <w:p w:rsidR="00075B23" w:rsidRPr="00DB65DC" w:rsidRDefault="00075B23" w:rsidP="001B3820">
            <w:pPr>
              <w:pStyle w:val="TableParagraph"/>
              <w:numPr>
                <w:ilvl w:val="0"/>
                <w:numId w:val="11"/>
              </w:numPr>
              <w:tabs>
                <w:tab w:val="left" w:pos="467"/>
                <w:tab w:val="left" w:pos="468"/>
              </w:tabs>
              <w:ind w:right="577"/>
              <w:rPr>
                <w:lang w:val="sr-Latn-CS"/>
              </w:rPr>
            </w:pPr>
            <w:r>
              <w:rPr>
                <w:lang w:val="sr-Latn-CS"/>
              </w:rPr>
              <w:t xml:space="preserve"> </w:t>
            </w:r>
            <w:r w:rsidR="001B3820" w:rsidRPr="001B3820">
              <w:rPr>
                <w:lang w:val="sr-Latn-CS"/>
              </w:rPr>
              <w:t>Priprema upitnika o životnoj sredini</w:t>
            </w:r>
            <w:r w:rsidRPr="00DB65DC">
              <w:rPr>
                <w:lang w:val="sr-Latn-CS"/>
              </w:rPr>
              <w:t>;</w:t>
            </w:r>
          </w:p>
          <w:p w:rsidR="00075B23" w:rsidRDefault="00075B23" w:rsidP="001B3820">
            <w:pPr>
              <w:pStyle w:val="TableParagraph"/>
              <w:numPr>
                <w:ilvl w:val="0"/>
                <w:numId w:val="11"/>
              </w:numPr>
              <w:tabs>
                <w:tab w:val="left" w:pos="467"/>
                <w:tab w:val="left" w:pos="468"/>
              </w:tabs>
              <w:ind w:right="577"/>
              <w:rPr>
                <w:lang w:val="sr-Latn-CS"/>
              </w:rPr>
            </w:pPr>
            <w:r>
              <w:rPr>
                <w:lang w:val="sr-Latn-CS"/>
              </w:rPr>
              <w:t xml:space="preserve"> </w:t>
            </w:r>
            <w:r w:rsidR="001B3820" w:rsidRPr="001B3820">
              <w:rPr>
                <w:lang w:val="sr-Latn-CS"/>
              </w:rPr>
              <w:t>Priprema</w:t>
            </w:r>
            <w:r w:rsidR="00340E58">
              <w:rPr>
                <w:lang w:val="sr-Latn-CS"/>
              </w:rPr>
              <w:t xml:space="preserve"> PS</w:t>
            </w:r>
            <w:r w:rsidR="001B3820" w:rsidRPr="001B3820">
              <w:rPr>
                <w:lang w:val="sr-Latn-CS"/>
              </w:rPr>
              <w:t xml:space="preserve">, uključujući i plan </w:t>
            </w:r>
            <w:r w:rsidR="001B3820">
              <w:rPr>
                <w:lang w:val="sr-Latn-CS"/>
              </w:rPr>
              <w:t>nadgledanja</w:t>
            </w:r>
          </w:p>
          <w:p w:rsidR="001B3820" w:rsidRDefault="001B3820" w:rsidP="001B3820">
            <w:pPr>
              <w:pStyle w:val="TableParagraph"/>
              <w:numPr>
                <w:ilvl w:val="0"/>
                <w:numId w:val="11"/>
              </w:numPr>
              <w:tabs>
                <w:tab w:val="left" w:pos="467"/>
                <w:tab w:val="left" w:pos="468"/>
              </w:tabs>
              <w:ind w:right="577"/>
              <w:rPr>
                <w:lang w:val="sr-Latn-CS"/>
              </w:rPr>
            </w:pPr>
            <w:r w:rsidRPr="001B3820">
              <w:rPr>
                <w:lang w:val="sr-Latn-CS"/>
              </w:rPr>
              <w:t xml:space="preserve">Obezbeđivanje </w:t>
            </w:r>
            <w:r>
              <w:rPr>
                <w:lang w:val="sr-Latn-CS"/>
              </w:rPr>
              <w:t xml:space="preserve">realizovanja </w:t>
            </w:r>
            <w:r w:rsidRPr="001B3820">
              <w:rPr>
                <w:lang w:val="sr-Latn-CS"/>
              </w:rPr>
              <w:t>EA-a;</w:t>
            </w:r>
          </w:p>
          <w:p w:rsidR="001B3820" w:rsidRDefault="001B3820" w:rsidP="001B3820">
            <w:pPr>
              <w:pStyle w:val="TableParagraph"/>
              <w:numPr>
                <w:ilvl w:val="0"/>
                <w:numId w:val="11"/>
              </w:numPr>
              <w:tabs>
                <w:tab w:val="left" w:pos="467"/>
                <w:tab w:val="left" w:pos="468"/>
              </w:tabs>
              <w:ind w:right="577"/>
              <w:rPr>
                <w:lang w:val="sr-Latn-CS"/>
              </w:rPr>
            </w:pPr>
            <w:r>
              <w:rPr>
                <w:lang w:val="sr-Latn-CS"/>
              </w:rPr>
              <w:t>Izv</w:t>
            </w:r>
            <w:r w:rsidRPr="001B3820">
              <w:rPr>
                <w:lang w:val="sr-Latn-CS"/>
              </w:rPr>
              <w:t xml:space="preserve">eštavanje o </w:t>
            </w:r>
            <w:r>
              <w:rPr>
                <w:lang w:val="sr-Latn-CS"/>
              </w:rPr>
              <w:t>realizaciji</w:t>
            </w:r>
            <w:r w:rsidRPr="001B3820">
              <w:rPr>
                <w:lang w:val="sr-Latn-CS"/>
              </w:rPr>
              <w:t xml:space="preserve"> </w:t>
            </w:r>
            <w:r w:rsidR="00340E58">
              <w:rPr>
                <w:lang w:val="sr-Latn-CS"/>
              </w:rPr>
              <w:t>PS</w:t>
            </w:r>
            <w:r w:rsidRPr="001B3820">
              <w:rPr>
                <w:lang w:val="sr-Latn-CS"/>
              </w:rPr>
              <w:t xml:space="preserve"> u </w:t>
            </w:r>
            <w:r w:rsidR="00373965">
              <w:rPr>
                <w:lang w:val="sr-Latn-CS"/>
              </w:rPr>
              <w:t>JUP</w:t>
            </w:r>
            <w:r w:rsidRPr="001B3820">
              <w:rPr>
                <w:lang w:val="sr-Latn-CS"/>
              </w:rPr>
              <w:t>;</w:t>
            </w:r>
          </w:p>
          <w:p w:rsidR="001B3820" w:rsidRPr="00DB65DC" w:rsidRDefault="001B3820" w:rsidP="00710482">
            <w:pPr>
              <w:pStyle w:val="TableParagraph"/>
              <w:numPr>
                <w:ilvl w:val="0"/>
                <w:numId w:val="11"/>
              </w:numPr>
              <w:tabs>
                <w:tab w:val="left" w:pos="467"/>
                <w:tab w:val="left" w:pos="468"/>
              </w:tabs>
              <w:ind w:right="577"/>
              <w:rPr>
                <w:lang w:val="sr-Latn-CS"/>
              </w:rPr>
            </w:pPr>
            <w:r w:rsidRPr="001B3820">
              <w:rPr>
                <w:lang w:val="sr-Latn-CS"/>
              </w:rPr>
              <w:t xml:space="preserve">Održavanje ekoloških dokumenata i zapisa (npr. Opštinska odluka o </w:t>
            </w:r>
            <w:r w:rsidR="00710482">
              <w:rPr>
                <w:lang w:val="sr-Latn-CS"/>
              </w:rPr>
              <w:t>lokaciji</w:t>
            </w:r>
            <w:r w:rsidR="00710482" w:rsidRPr="00710482">
              <w:rPr>
                <w:lang w:val="sr-Latn-CS"/>
              </w:rPr>
              <w:t xml:space="preserve"> za odlaganje otpada</w:t>
            </w:r>
            <w:r w:rsidRPr="001B3820">
              <w:rPr>
                <w:lang w:val="sr-Latn-CS"/>
              </w:rPr>
              <w:t>, manipulacija otpadom itd.)</w:t>
            </w:r>
          </w:p>
        </w:tc>
        <w:tc>
          <w:tcPr>
            <w:tcW w:w="1742" w:type="pct"/>
          </w:tcPr>
          <w:p w:rsidR="00075B23" w:rsidRPr="00DB65DC" w:rsidRDefault="00710482" w:rsidP="00710482">
            <w:pPr>
              <w:pStyle w:val="TableParagraph"/>
              <w:numPr>
                <w:ilvl w:val="0"/>
                <w:numId w:val="11"/>
              </w:numPr>
              <w:tabs>
                <w:tab w:val="left" w:pos="467"/>
                <w:tab w:val="left" w:pos="556"/>
              </w:tabs>
              <w:ind w:right="305"/>
              <w:rPr>
                <w:lang w:val="sr-Latn-CS"/>
              </w:rPr>
            </w:pPr>
            <w:r w:rsidRPr="00710482">
              <w:rPr>
                <w:lang w:val="sr-Latn-CS"/>
              </w:rPr>
              <w:t>Dokumenti za izveštavanje</w:t>
            </w:r>
          </w:p>
        </w:tc>
      </w:tr>
      <w:tr w:rsidR="005C5D10" w:rsidRPr="00627140" w:rsidTr="003B3244">
        <w:trPr>
          <w:trHeight w:val="570"/>
        </w:trPr>
        <w:tc>
          <w:tcPr>
            <w:tcW w:w="993" w:type="pct"/>
          </w:tcPr>
          <w:p w:rsidR="005C5D10" w:rsidRPr="00DB65DC" w:rsidRDefault="005C5D10" w:rsidP="00EF0E9D">
            <w:pPr>
              <w:pStyle w:val="TableParagraph"/>
              <w:spacing w:before="6"/>
              <w:rPr>
                <w:b/>
                <w:lang w:val="sr-Latn-CS"/>
              </w:rPr>
            </w:pPr>
          </w:p>
          <w:p w:rsidR="005C5D10" w:rsidRPr="00DB65DC" w:rsidRDefault="005C5D10" w:rsidP="00EF0E9D">
            <w:pPr>
              <w:pStyle w:val="TableParagraph"/>
              <w:spacing w:before="1"/>
              <w:ind w:left="287" w:right="282"/>
              <w:jc w:val="center"/>
              <w:rPr>
                <w:lang w:val="sr-Latn-CS"/>
              </w:rPr>
            </w:pPr>
            <w:r w:rsidRPr="00DB65DC">
              <w:rPr>
                <w:lang w:val="sr-Latn-CS"/>
              </w:rPr>
              <w:t>SB (IBRD)</w:t>
            </w:r>
          </w:p>
        </w:tc>
        <w:tc>
          <w:tcPr>
            <w:tcW w:w="2265" w:type="pct"/>
          </w:tcPr>
          <w:p w:rsidR="005C5D10" w:rsidRPr="00DB65DC" w:rsidRDefault="005C5D10" w:rsidP="00EF0E9D">
            <w:pPr>
              <w:pStyle w:val="TableParagraph"/>
              <w:numPr>
                <w:ilvl w:val="0"/>
                <w:numId w:val="5"/>
              </w:numPr>
              <w:tabs>
                <w:tab w:val="left" w:pos="467"/>
                <w:tab w:val="left" w:pos="468"/>
              </w:tabs>
              <w:spacing w:before="19" w:line="274" w:lineRule="exact"/>
              <w:ind w:right="31"/>
              <w:rPr>
                <w:lang w:val="sr-Latn-CS"/>
              </w:rPr>
            </w:pPr>
            <w:r w:rsidRPr="00DB65DC">
              <w:rPr>
                <w:lang w:val="sr-Latn-CS"/>
              </w:rPr>
              <w:t xml:space="preserve">Sprovođenje obuke za osoblje JUP/MALS-a u vezi sa procedurama </w:t>
            </w:r>
            <w:r w:rsidR="000818B6">
              <w:rPr>
                <w:lang w:val="sr-Latn-CS"/>
              </w:rPr>
              <w:t>OUSŽS</w:t>
            </w:r>
            <w:r w:rsidRPr="00DB65DC">
              <w:rPr>
                <w:lang w:val="sr-Latn-CS"/>
              </w:rPr>
              <w:t>-a/analize uticaja na životnu sredinu,</w:t>
            </w:r>
          </w:p>
          <w:p w:rsidR="005C5D10" w:rsidRPr="00DB65DC" w:rsidRDefault="005C5D10" w:rsidP="00EF0E9D">
            <w:pPr>
              <w:pStyle w:val="TableParagraph"/>
              <w:numPr>
                <w:ilvl w:val="0"/>
                <w:numId w:val="5"/>
              </w:numPr>
              <w:tabs>
                <w:tab w:val="left" w:pos="467"/>
                <w:tab w:val="left" w:pos="468"/>
              </w:tabs>
              <w:spacing w:before="19" w:line="274" w:lineRule="exact"/>
              <w:ind w:right="31"/>
              <w:rPr>
                <w:lang w:val="sr-Latn-CS"/>
              </w:rPr>
            </w:pPr>
            <w:r w:rsidRPr="00DB65DC">
              <w:rPr>
                <w:lang w:val="sr-Latn-CS"/>
              </w:rPr>
              <w:t xml:space="preserve">Sprovođenje prethodne i </w:t>
            </w:r>
            <w:r>
              <w:rPr>
                <w:lang w:val="sr-Latn-CS"/>
              </w:rPr>
              <w:t>naknadne</w:t>
            </w:r>
            <w:r w:rsidRPr="00DB65DC">
              <w:rPr>
                <w:lang w:val="sr-Latn-CS"/>
              </w:rPr>
              <w:t xml:space="preserve"> analize</w:t>
            </w:r>
          </w:p>
          <w:p w:rsidR="005C5D10" w:rsidRPr="00DB65DC" w:rsidRDefault="005C5D10" w:rsidP="00EF0E9D">
            <w:pPr>
              <w:pStyle w:val="TableParagraph"/>
              <w:numPr>
                <w:ilvl w:val="0"/>
                <w:numId w:val="3"/>
              </w:numPr>
              <w:tabs>
                <w:tab w:val="left" w:pos="467"/>
                <w:tab w:val="left" w:pos="468"/>
              </w:tabs>
              <w:spacing w:before="19" w:line="274" w:lineRule="exact"/>
              <w:ind w:right="895"/>
              <w:rPr>
                <w:lang w:val="sr-Latn-CS"/>
              </w:rPr>
            </w:pPr>
            <w:r w:rsidRPr="00DB65DC">
              <w:rPr>
                <w:lang w:val="sr-Latn-CS"/>
              </w:rPr>
              <w:t xml:space="preserve">Nadgledanje ukupne usklađenosti </w:t>
            </w:r>
            <w:r>
              <w:rPr>
                <w:lang w:val="sr-Latn-CS"/>
              </w:rPr>
              <w:t>životne sredine u okviru projekta</w:t>
            </w:r>
          </w:p>
        </w:tc>
        <w:tc>
          <w:tcPr>
            <w:tcW w:w="1742" w:type="pct"/>
          </w:tcPr>
          <w:p w:rsidR="005C5D10" w:rsidRPr="00DB65DC" w:rsidRDefault="005C5D10" w:rsidP="00EF0E9D">
            <w:pPr>
              <w:pStyle w:val="TableParagraph"/>
              <w:spacing w:before="8"/>
              <w:rPr>
                <w:b/>
                <w:lang w:val="sr-Latn-CS"/>
              </w:rPr>
            </w:pPr>
          </w:p>
          <w:p w:rsidR="005C5D10" w:rsidRPr="00DB65DC" w:rsidRDefault="005C5D10" w:rsidP="00EF0E9D">
            <w:pPr>
              <w:pStyle w:val="TableParagraph"/>
              <w:numPr>
                <w:ilvl w:val="0"/>
                <w:numId w:val="4"/>
              </w:numPr>
              <w:tabs>
                <w:tab w:val="left" w:pos="467"/>
                <w:tab w:val="left" w:pos="468"/>
              </w:tabs>
              <w:spacing w:before="1" w:line="277" w:lineRule="exact"/>
              <w:rPr>
                <w:lang w:val="sr-Latn-CS"/>
              </w:rPr>
            </w:pPr>
            <w:r w:rsidRPr="00DB65DC">
              <w:rPr>
                <w:lang w:val="sr-Latn-CS"/>
              </w:rPr>
              <w:t>Status dokumenta za sprovođenje projekta u izveštajima o statusu i rezultatima sprovođenja i misije Aide-Memoires</w:t>
            </w:r>
          </w:p>
        </w:tc>
      </w:tr>
    </w:tbl>
    <w:p w:rsidR="00F3731A" w:rsidRPr="003B3244" w:rsidRDefault="00F3731A" w:rsidP="00F3731A">
      <w:pPr>
        <w:spacing w:line="277" w:lineRule="exact"/>
        <w:rPr>
          <w:rFonts w:ascii="Times New Roman" w:hAnsi="Times New Roman" w:cs="Times New Roman"/>
          <w:sz w:val="24"/>
          <w:lang w:val="sr-Latn-CS"/>
        </w:rPr>
      </w:pPr>
    </w:p>
    <w:p w:rsidR="00F3731A" w:rsidRPr="003B3244" w:rsidRDefault="00F3731A" w:rsidP="00F3731A">
      <w:pPr>
        <w:rPr>
          <w:rFonts w:ascii="Times New Roman" w:hAnsi="Times New Roman" w:cs="Times New Roman"/>
          <w:sz w:val="24"/>
          <w:lang w:val="sr-Latn-CS"/>
        </w:rPr>
        <w:sectPr w:rsidR="00F3731A" w:rsidRPr="003B3244" w:rsidSect="003B3244">
          <w:footerReference w:type="default" r:id="rId12"/>
          <w:pgSz w:w="11910" w:h="16840"/>
          <w:pgMar w:top="720" w:right="720" w:bottom="720" w:left="720" w:header="0" w:footer="831" w:gutter="0"/>
          <w:cols w:space="720"/>
        </w:sectPr>
      </w:pPr>
    </w:p>
    <w:p w:rsidR="00F3731A" w:rsidRPr="003B3244" w:rsidRDefault="00F3731A" w:rsidP="00F3731A">
      <w:pPr>
        <w:pStyle w:val="BodyText"/>
        <w:jc w:val="left"/>
        <w:rPr>
          <w:rFonts w:cs="Times New Roman"/>
          <w:b/>
          <w:sz w:val="20"/>
          <w:lang w:val="sr-Latn-CS"/>
        </w:rPr>
      </w:pPr>
    </w:p>
    <w:p w:rsidR="00184B63" w:rsidRPr="00184B63" w:rsidRDefault="00184B63" w:rsidP="00184B63">
      <w:pPr>
        <w:pStyle w:val="Heading1"/>
        <w:rPr>
          <w:rFonts w:eastAsia="Times New Roman" w:cs="Times New Roman"/>
          <w:bCs/>
          <w:sz w:val="26"/>
          <w:szCs w:val="24"/>
          <w:lang w:val="sr-Latn-CS"/>
        </w:rPr>
      </w:pPr>
      <w:bookmarkStart w:id="65" w:name="_Toc531255643"/>
      <w:r w:rsidRPr="00184B63">
        <w:rPr>
          <w:rFonts w:eastAsia="Times New Roman" w:cs="Times New Roman"/>
          <w:bCs/>
          <w:sz w:val="26"/>
          <w:szCs w:val="24"/>
          <w:lang w:val="sr-Latn-CS"/>
        </w:rPr>
        <w:t>ANEKS</w:t>
      </w:r>
      <w:r w:rsidRPr="00184B63">
        <w:rPr>
          <w:rFonts w:eastAsia="Times New Roman" w:cs="Times New Roman"/>
          <w:bCs/>
          <w:sz w:val="26"/>
          <w:szCs w:val="24"/>
          <w:lang w:val="sr-Latn-CS"/>
        </w:rPr>
        <w:tab/>
        <w:t>2 – UPITNIK O PROCENI UTICAJA NA ŽIVOTNU SREDUINU I DRUŠTVO</w:t>
      </w:r>
      <w:r w:rsidRPr="00184B63">
        <w:rPr>
          <w:rFonts w:eastAsia="Times New Roman" w:cs="Times New Roman"/>
          <w:bCs/>
          <w:sz w:val="26"/>
          <w:szCs w:val="24"/>
          <w:lang w:val="sr-Latn-CS"/>
        </w:rPr>
        <w:tab/>
        <w:t>za  INFRASTRUKTURU  (čak i neznatna infrastruktura)</w:t>
      </w:r>
      <w:bookmarkEnd w:id="65"/>
    </w:p>
    <w:p w:rsidR="00F3731A" w:rsidRPr="003B3244" w:rsidRDefault="00184B63" w:rsidP="00184B63">
      <w:pPr>
        <w:pStyle w:val="Heading1"/>
        <w:rPr>
          <w:rFonts w:cs="Times New Roman"/>
          <w:sz w:val="24"/>
          <w:lang w:val="sr-Latn-CS"/>
        </w:rPr>
      </w:pPr>
      <w:bookmarkStart w:id="66" w:name="_Toc531255644"/>
      <w:r w:rsidRPr="00184B63">
        <w:rPr>
          <w:rFonts w:eastAsia="Times New Roman" w:cs="Times New Roman"/>
          <w:bCs/>
          <w:sz w:val="26"/>
          <w:szCs w:val="24"/>
          <w:lang w:val="sr-Latn-CS"/>
        </w:rPr>
        <w:t>Naziv odeljka</w:t>
      </w:r>
      <w:r w:rsidR="00F3731A" w:rsidRPr="003B3244">
        <w:rPr>
          <w:rFonts w:cs="Times New Roman"/>
          <w:sz w:val="24"/>
          <w:lang w:val="sr-Latn-CS"/>
        </w:rPr>
        <w:t>:</w:t>
      </w:r>
      <w:bookmarkEnd w:id="66"/>
      <w:r w:rsidR="00F3731A" w:rsidRPr="003B3244">
        <w:rPr>
          <w:rFonts w:cs="Times New Roman"/>
          <w:sz w:val="24"/>
          <w:u w:val="single"/>
          <w:lang w:val="sr-Latn-CS"/>
        </w:rPr>
        <w:tab/>
      </w:r>
    </w:p>
    <w:tbl>
      <w:tblPr>
        <w:tblW w:w="10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5743"/>
        <w:gridCol w:w="950"/>
        <w:gridCol w:w="945"/>
        <w:gridCol w:w="2402"/>
      </w:tblGrid>
      <w:tr w:rsidR="00184B63" w:rsidRPr="003B3244" w:rsidTr="00184B63">
        <w:trPr>
          <w:trHeight w:val="506"/>
          <w:jc w:val="center"/>
        </w:trPr>
        <w:tc>
          <w:tcPr>
            <w:tcW w:w="559" w:type="dxa"/>
          </w:tcPr>
          <w:p w:rsidR="00184B63" w:rsidRPr="00DB65DC" w:rsidRDefault="00184B63" w:rsidP="00EF0E9D">
            <w:pPr>
              <w:pStyle w:val="TableParagraph"/>
              <w:spacing w:before="2"/>
              <w:ind w:left="107"/>
              <w:rPr>
                <w:b/>
                <w:lang w:val="sr-Latn-CS"/>
              </w:rPr>
            </w:pPr>
            <w:r w:rsidRPr="00DB65DC">
              <w:rPr>
                <w:b/>
                <w:lang w:val="sr-Latn-CS"/>
              </w:rPr>
              <w:t>Br.</w:t>
            </w:r>
          </w:p>
        </w:tc>
        <w:tc>
          <w:tcPr>
            <w:tcW w:w="5743" w:type="dxa"/>
          </w:tcPr>
          <w:p w:rsidR="00184B63" w:rsidRPr="00DB65DC" w:rsidRDefault="00184B63" w:rsidP="00EF0E9D">
            <w:pPr>
              <w:pStyle w:val="TableParagraph"/>
              <w:spacing w:before="2"/>
              <w:ind w:left="107"/>
              <w:rPr>
                <w:b/>
                <w:lang w:val="sr-Latn-CS"/>
              </w:rPr>
            </w:pPr>
            <w:r>
              <w:rPr>
                <w:b/>
                <w:lang w:val="sr-Latn-CS"/>
              </w:rPr>
              <w:t>Pitanja vezana za rizik po životnu sredinu</w:t>
            </w:r>
          </w:p>
        </w:tc>
        <w:tc>
          <w:tcPr>
            <w:tcW w:w="950" w:type="dxa"/>
          </w:tcPr>
          <w:p w:rsidR="00184B63" w:rsidRPr="00DB65DC" w:rsidRDefault="00184B63" w:rsidP="00EF0E9D">
            <w:pPr>
              <w:pStyle w:val="TableParagraph"/>
              <w:spacing w:before="2"/>
              <w:ind w:left="108"/>
              <w:rPr>
                <w:b/>
                <w:lang w:val="sr-Latn-CS"/>
              </w:rPr>
            </w:pPr>
            <w:r w:rsidRPr="00DB65DC">
              <w:rPr>
                <w:b/>
                <w:lang w:val="sr-Latn-CS"/>
              </w:rPr>
              <w:t>Da/Ne</w:t>
            </w:r>
          </w:p>
        </w:tc>
        <w:tc>
          <w:tcPr>
            <w:tcW w:w="945" w:type="dxa"/>
          </w:tcPr>
          <w:p w:rsidR="00184B63" w:rsidRPr="00DB65DC" w:rsidRDefault="00184B63" w:rsidP="00EF0E9D">
            <w:pPr>
              <w:pStyle w:val="TableParagraph"/>
              <w:spacing w:before="6" w:line="252" w:lineRule="exact"/>
              <w:ind w:left="108" w:right="122"/>
              <w:rPr>
                <w:b/>
                <w:lang w:val="sr-Latn-CS"/>
              </w:rPr>
            </w:pPr>
            <w:r w:rsidRPr="00DB65DC">
              <w:rPr>
                <w:b/>
                <w:lang w:val="sr-Latn-CS"/>
              </w:rPr>
              <w:t>Nepoznato</w:t>
            </w:r>
          </w:p>
        </w:tc>
        <w:tc>
          <w:tcPr>
            <w:tcW w:w="2402" w:type="dxa"/>
          </w:tcPr>
          <w:p w:rsidR="00184B63" w:rsidRPr="00DB65DC" w:rsidRDefault="00184B63" w:rsidP="00EF0E9D">
            <w:pPr>
              <w:pStyle w:val="TableParagraph"/>
              <w:spacing w:before="2"/>
              <w:ind w:left="109"/>
              <w:rPr>
                <w:b/>
                <w:lang w:val="sr-Latn-CS"/>
              </w:rPr>
            </w:pPr>
            <w:r w:rsidRPr="00DB65DC">
              <w:rPr>
                <w:b/>
                <w:lang w:val="sr-Latn-CS"/>
              </w:rPr>
              <w:t>Detalji/</w:t>
            </w:r>
            <w:r>
              <w:rPr>
                <w:b/>
                <w:lang w:val="sr-Latn-CS"/>
              </w:rPr>
              <w:t>Napomene</w:t>
            </w:r>
          </w:p>
        </w:tc>
      </w:tr>
      <w:tr w:rsidR="00A42A8C" w:rsidRPr="00627140" w:rsidTr="00184B63">
        <w:trPr>
          <w:trHeight w:val="501"/>
          <w:jc w:val="center"/>
        </w:trPr>
        <w:tc>
          <w:tcPr>
            <w:tcW w:w="559" w:type="dxa"/>
          </w:tcPr>
          <w:p w:rsidR="00A42A8C" w:rsidRPr="003B3244" w:rsidRDefault="00A42A8C" w:rsidP="003B3244">
            <w:pPr>
              <w:pStyle w:val="TableParagraph"/>
              <w:spacing w:line="251" w:lineRule="exact"/>
              <w:ind w:left="107"/>
              <w:rPr>
                <w:b/>
                <w:lang w:val="sr-Latn-CS"/>
              </w:rPr>
            </w:pPr>
            <w:r w:rsidRPr="003B3244">
              <w:rPr>
                <w:b/>
                <w:lang w:val="sr-Latn-CS"/>
              </w:rPr>
              <w:t>1</w:t>
            </w:r>
          </w:p>
        </w:tc>
        <w:tc>
          <w:tcPr>
            <w:tcW w:w="5743" w:type="dxa"/>
          </w:tcPr>
          <w:p w:rsidR="00A42A8C" w:rsidRPr="00DB65DC" w:rsidRDefault="00F37CAB" w:rsidP="00EF0E9D">
            <w:pPr>
              <w:pStyle w:val="TableParagraph"/>
              <w:spacing w:before="1" w:line="252" w:lineRule="exact"/>
              <w:ind w:left="107" w:right="743" w:firstLine="55"/>
              <w:rPr>
                <w:lang w:val="sr-Latn-CS"/>
              </w:rPr>
            </w:pPr>
            <w:r w:rsidRPr="00F37CAB">
              <w:rPr>
                <w:lang w:val="sr-Latn-CS"/>
              </w:rPr>
              <w:t>Koje vrste radova će biti ugovorene za podprojektne aktivnosti</w:t>
            </w:r>
            <w:r w:rsidR="00A42A8C" w:rsidRPr="00DB65DC">
              <w:rPr>
                <w:lang w:val="sr-Latn-CS"/>
              </w:rPr>
              <w:t>?</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627140" w:rsidTr="00184B63">
        <w:trPr>
          <w:trHeight w:val="505"/>
          <w:jc w:val="center"/>
        </w:trPr>
        <w:tc>
          <w:tcPr>
            <w:tcW w:w="559" w:type="dxa"/>
          </w:tcPr>
          <w:p w:rsidR="00A42A8C" w:rsidRPr="003B3244" w:rsidRDefault="00A42A8C" w:rsidP="003B3244">
            <w:pPr>
              <w:pStyle w:val="TableParagraph"/>
              <w:spacing w:before="2"/>
              <w:ind w:left="107"/>
              <w:rPr>
                <w:b/>
                <w:lang w:val="sr-Latn-CS"/>
              </w:rPr>
            </w:pPr>
            <w:r w:rsidRPr="003B3244">
              <w:rPr>
                <w:b/>
                <w:lang w:val="sr-Latn-CS"/>
              </w:rPr>
              <w:t>2</w:t>
            </w:r>
          </w:p>
        </w:tc>
        <w:tc>
          <w:tcPr>
            <w:tcW w:w="5743" w:type="dxa"/>
          </w:tcPr>
          <w:p w:rsidR="00A42A8C" w:rsidRPr="00DB65DC" w:rsidRDefault="00F37CAB" w:rsidP="00EF0E9D">
            <w:pPr>
              <w:pStyle w:val="TableParagraph"/>
              <w:spacing w:before="1" w:line="252" w:lineRule="exact"/>
              <w:ind w:left="107" w:right="743" w:firstLine="55"/>
              <w:rPr>
                <w:lang w:val="sr-Latn-CS"/>
              </w:rPr>
            </w:pPr>
            <w:r w:rsidRPr="00F37CAB">
              <w:rPr>
                <w:lang w:val="sr-Latn-CS"/>
              </w:rPr>
              <w:t>Da li će se popraviti mali radovi / sanacija zgrada i drugih malih građevinskih radova ili drugih vrsta aktivnosti</w:t>
            </w:r>
            <w:r w:rsidR="00A42A8C" w:rsidRPr="00DB65DC">
              <w:rPr>
                <w:lang w:val="sr-Latn-CS"/>
              </w:rPr>
              <w:t>?</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627140" w:rsidTr="00184B63">
        <w:trPr>
          <w:trHeight w:val="505"/>
          <w:jc w:val="center"/>
        </w:trPr>
        <w:tc>
          <w:tcPr>
            <w:tcW w:w="559" w:type="dxa"/>
          </w:tcPr>
          <w:p w:rsidR="00A42A8C" w:rsidRPr="003B3244" w:rsidRDefault="00A42A8C" w:rsidP="003B3244">
            <w:pPr>
              <w:pStyle w:val="TableParagraph"/>
              <w:spacing w:before="2"/>
              <w:ind w:left="107"/>
              <w:rPr>
                <w:b/>
                <w:lang w:val="sr-Latn-CS"/>
              </w:rPr>
            </w:pPr>
            <w:r w:rsidRPr="003B3244">
              <w:rPr>
                <w:b/>
                <w:lang w:val="sr-Latn-CS"/>
              </w:rPr>
              <w:t>3</w:t>
            </w:r>
          </w:p>
        </w:tc>
        <w:tc>
          <w:tcPr>
            <w:tcW w:w="5743" w:type="dxa"/>
          </w:tcPr>
          <w:p w:rsidR="00A42A8C" w:rsidRPr="00DB65DC" w:rsidRDefault="00F37CAB" w:rsidP="00EF0E9D">
            <w:pPr>
              <w:pStyle w:val="TableParagraph"/>
              <w:spacing w:before="1" w:line="252" w:lineRule="exact"/>
              <w:ind w:left="107" w:right="743" w:firstLine="55"/>
              <w:rPr>
                <w:lang w:val="sr-Latn-CS"/>
              </w:rPr>
            </w:pPr>
            <w:r w:rsidRPr="00F37CAB">
              <w:rPr>
                <w:lang w:val="sr-Latn-CS"/>
              </w:rPr>
              <w:t>Da li će se instalacija opreme ili druge male korekcije odvijati u okviru podprojekta i kakva je priroda?</w:t>
            </w:r>
            <w:r w:rsidR="00A42A8C" w:rsidRPr="00DB65DC">
              <w:rPr>
                <w:lang w:val="sr-Latn-CS"/>
              </w:rPr>
              <w:t>?</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627140" w:rsidTr="00184B63">
        <w:trPr>
          <w:trHeight w:val="505"/>
          <w:jc w:val="center"/>
        </w:trPr>
        <w:tc>
          <w:tcPr>
            <w:tcW w:w="559" w:type="dxa"/>
          </w:tcPr>
          <w:p w:rsidR="00A42A8C" w:rsidRPr="003B3244" w:rsidRDefault="00A42A8C" w:rsidP="003B3244">
            <w:pPr>
              <w:pStyle w:val="TableParagraph"/>
              <w:spacing w:before="2"/>
              <w:ind w:left="107"/>
              <w:rPr>
                <w:b/>
                <w:lang w:val="sr-Latn-CS"/>
              </w:rPr>
            </w:pPr>
            <w:r w:rsidRPr="003B3244">
              <w:rPr>
                <w:b/>
                <w:lang w:val="sr-Latn-CS"/>
              </w:rPr>
              <w:t>4</w:t>
            </w:r>
          </w:p>
        </w:tc>
        <w:tc>
          <w:tcPr>
            <w:tcW w:w="5743" w:type="dxa"/>
          </w:tcPr>
          <w:p w:rsidR="00A42A8C" w:rsidRPr="00DB65DC" w:rsidRDefault="00A42A8C" w:rsidP="00EF0E9D">
            <w:pPr>
              <w:pStyle w:val="TableParagraph"/>
              <w:spacing w:before="1" w:line="252" w:lineRule="exact"/>
              <w:ind w:left="107" w:right="743" w:firstLine="55"/>
              <w:rPr>
                <w:lang w:val="sr-Latn-CS"/>
              </w:rPr>
            </w:pPr>
            <w:r w:rsidRPr="00DB65DC">
              <w:rPr>
                <w:lang w:val="sr-Latn-CS"/>
              </w:rPr>
              <w:t>Ako koristite postojeće prostorije, molimo navedite detaljan opis, koje i na koj</w:t>
            </w:r>
            <w:r>
              <w:rPr>
                <w:lang w:val="sr-Latn-CS"/>
              </w:rPr>
              <w:t>i</w:t>
            </w:r>
            <w:r w:rsidRPr="00DB65DC">
              <w:rPr>
                <w:lang w:val="sr-Latn-CS"/>
              </w:rPr>
              <w:t xml:space="preserve"> način.</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3B3244" w:rsidTr="00184B63">
        <w:trPr>
          <w:trHeight w:val="506"/>
          <w:jc w:val="center"/>
        </w:trPr>
        <w:tc>
          <w:tcPr>
            <w:tcW w:w="559" w:type="dxa"/>
          </w:tcPr>
          <w:p w:rsidR="00A42A8C" w:rsidRPr="003B3244" w:rsidRDefault="00A42A8C" w:rsidP="003B3244">
            <w:pPr>
              <w:pStyle w:val="TableParagraph"/>
              <w:spacing w:before="2"/>
              <w:ind w:left="107"/>
              <w:rPr>
                <w:b/>
                <w:lang w:val="sr-Latn-CS"/>
              </w:rPr>
            </w:pPr>
            <w:r w:rsidRPr="003B3244">
              <w:rPr>
                <w:b/>
                <w:lang w:val="sr-Latn-CS"/>
              </w:rPr>
              <w:t>5</w:t>
            </w:r>
          </w:p>
        </w:tc>
        <w:tc>
          <w:tcPr>
            <w:tcW w:w="5743" w:type="dxa"/>
          </w:tcPr>
          <w:p w:rsidR="00A42A8C" w:rsidRPr="00DB65DC" w:rsidRDefault="00A42A8C" w:rsidP="00EF0E9D">
            <w:pPr>
              <w:pStyle w:val="TableParagraph"/>
              <w:spacing w:before="1" w:line="252" w:lineRule="exact"/>
              <w:ind w:left="107" w:right="633"/>
              <w:rPr>
                <w:lang w:val="sr-Latn-CS"/>
              </w:rPr>
            </w:pPr>
            <w:r w:rsidRPr="00DB65DC">
              <w:rPr>
                <w:lang w:val="sr-Latn-CS"/>
              </w:rPr>
              <w:t>Ako je potprojekat deo planirane nove infrastrukture, molimo navedite detaljan opis, koje i kako.</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627140" w:rsidTr="00184B63">
        <w:trPr>
          <w:trHeight w:val="253"/>
          <w:jc w:val="center"/>
        </w:trPr>
        <w:tc>
          <w:tcPr>
            <w:tcW w:w="559" w:type="dxa"/>
          </w:tcPr>
          <w:p w:rsidR="00A42A8C" w:rsidRPr="003B3244" w:rsidRDefault="00A42A8C" w:rsidP="003B3244">
            <w:pPr>
              <w:pStyle w:val="TableParagraph"/>
              <w:spacing w:line="234" w:lineRule="exact"/>
              <w:ind w:left="107"/>
              <w:rPr>
                <w:lang w:val="sr-Latn-CS"/>
              </w:rPr>
            </w:pPr>
            <w:r w:rsidRPr="003B3244">
              <w:rPr>
                <w:lang w:val="sr-Latn-CS"/>
              </w:rPr>
              <w:t>6</w:t>
            </w:r>
          </w:p>
        </w:tc>
        <w:tc>
          <w:tcPr>
            <w:tcW w:w="5743" w:type="dxa"/>
          </w:tcPr>
          <w:p w:rsidR="00A42A8C" w:rsidRPr="00DB65DC" w:rsidRDefault="00A42A8C" w:rsidP="00EF0E9D">
            <w:pPr>
              <w:pStyle w:val="TableParagraph"/>
              <w:spacing w:line="234" w:lineRule="exact"/>
              <w:ind w:left="107"/>
              <w:rPr>
                <w:lang w:val="sr-Latn-CS"/>
              </w:rPr>
            </w:pPr>
            <w:r w:rsidRPr="00DB65DC">
              <w:rPr>
                <w:lang w:val="sr-Latn-CS"/>
              </w:rPr>
              <w:t>Da li se odeljak (po</w:t>
            </w:r>
            <w:r>
              <w:rPr>
                <w:lang w:val="sr-Latn-CS"/>
              </w:rPr>
              <w:t>t</w:t>
            </w:r>
            <w:r w:rsidRPr="00DB65DC">
              <w:rPr>
                <w:lang w:val="sr-Latn-CS"/>
              </w:rPr>
              <w:t>projekat) nalazi u zaštićenom području?</w:t>
            </w:r>
          </w:p>
        </w:tc>
        <w:tc>
          <w:tcPr>
            <w:tcW w:w="950" w:type="dxa"/>
          </w:tcPr>
          <w:p w:rsidR="00A42A8C" w:rsidRPr="003B3244" w:rsidRDefault="00A42A8C" w:rsidP="003B3244">
            <w:pPr>
              <w:pStyle w:val="TableParagraph"/>
              <w:rPr>
                <w:sz w:val="18"/>
                <w:lang w:val="sr-Latn-CS"/>
              </w:rPr>
            </w:pPr>
          </w:p>
        </w:tc>
        <w:tc>
          <w:tcPr>
            <w:tcW w:w="945" w:type="dxa"/>
          </w:tcPr>
          <w:p w:rsidR="00A42A8C" w:rsidRPr="003B3244" w:rsidRDefault="00A42A8C" w:rsidP="003B3244">
            <w:pPr>
              <w:pStyle w:val="TableParagraph"/>
              <w:rPr>
                <w:sz w:val="18"/>
                <w:lang w:val="sr-Latn-CS"/>
              </w:rPr>
            </w:pPr>
          </w:p>
        </w:tc>
        <w:tc>
          <w:tcPr>
            <w:tcW w:w="2402" w:type="dxa"/>
          </w:tcPr>
          <w:p w:rsidR="00A42A8C" w:rsidRPr="003B3244" w:rsidRDefault="00A42A8C" w:rsidP="003B3244">
            <w:pPr>
              <w:pStyle w:val="TableParagraph"/>
              <w:rPr>
                <w:sz w:val="18"/>
                <w:lang w:val="sr-Latn-CS"/>
              </w:rPr>
            </w:pPr>
          </w:p>
        </w:tc>
      </w:tr>
      <w:tr w:rsidR="00A42A8C" w:rsidRPr="00627140" w:rsidTr="00184B63">
        <w:trPr>
          <w:trHeight w:val="506"/>
          <w:jc w:val="center"/>
        </w:trPr>
        <w:tc>
          <w:tcPr>
            <w:tcW w:w="559" w:type="dxa"/>
          </w:tcPr>
          <w:p w:rsidR="00A42A8C" w:rsidRPr="003B3244" w:rsidRDefault="00A42A8C" w:rsidP="003B3244">
            <w:pPr>
              <w:pStyle w:val="TableParagraph"/>
              <w:spacing w:line="248" w:lineRule="exact"/>
              <w:ind w:left="107"/>
              <w:rPr>
                <w:lang w:val="sr-Latn-CS"/>
              </w:rPr>
            </w:pPr>
            <w:r w:rsidRPr="003B3244">
              <w:rPr>
                <w:lang w:val="sr-Latn-CS"/>
              </w:rPr>
              <w:t>7</w:t>
            </w:r>
          </w:p>
        </w:tc>
        <w:tc>
          <w:tcPr>
            <w:tcW w:w="5743" w:type="dxa"/>
          </w:tcPr>
          <w:p w:rsidR="00A42A8C" w:rsidRPr="00DB65DC" w:rsidRDefault="00A42A8C" w:rsidP="006A2BAA">
            <w:pPr>
              <w:pStyle w:val="TableParagraph"/>
              <w:spacing w:line="239" w:lineRule="exact"/>
              <w:ind w:left="107"/>
              <w:rPr>
                <w:lang w:val="sr-Latn-CS"/>
              </w:rPr>
            </w:pPr>
            <w:r w:rsidRPr="00DB65DC">
              <w:rPr>
                <w:lang w:val="sr-Latn-CS"/>
              </w:rPr>
              <w:t xml:space="preserve">Da li </w:t>
            </w:r>
            <w:r w:rsidR="006A2BAA">
              <w:rPr>
                <w:lang w:val="sr-Latn-CS"/>
              </w:rPr>
              <w:t xml:space="preserve">bilo koje </w:t>
            </w:r>
            <w:r w:rsidRPr="00DB65DC">
              <w:rPr>
                <w:lang w:val="sr-Latn-CS"/>
              </w:rPr>
              <w:t>zaštićene vrste koriste područje u bilo koje doba godine (da li je to ZP ili ne)?</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3B3244" w:rsidTr="00184B63">
        <w:trPr>
          <w:trHeight w:val="251"/>
          <w:jc w:val="center"/>
        </w:trPr>
        <w:tc>
          <w:tcPr>
            <w:tcW w:w="559" w:type="dxa"/>
          </w:tcPr>
          <w:p w:rsidR="00A42A8C" w:rsidRPr="003B3244" w:rsidRDefault="00A42A8C" w:rsidP="003B3244">
            <w:pPr>
              <w:pStyle w:val="TableParagraph"/>
              <w:spacing w:line="232" w:lineRule="exact"/>
              <w:ind w:left="107"/>
              <w:rPr>
                <w:lang w:val="sr-Latn-CS"/>
              </w:rPr>
            </w:pPr>
            <w:r w:rsidRPr="003B3244">
              <w:rPr>
                <w:lang w:val="sr-Latn-CS"/>
              </w:rPr>
              <w:t>8</w:t>
            </w:r>
          </w:p>
        </w:tc>
        <w:tc>
          <w:tcPr>
            <w:tcW w:w="5743" w:type="dxa"/>
          </w:tcPr>
          <w:p w:rsidR="00A42A8C" w:rsidRPr="00DB65DC" w:rsidRDefault="00A42A8C" w:rsidP="00EF0E9D">
            <w:pPr>
              <w:pStyle w:val="TableParagraph"/>
              <w:spacing w:line="232" w:lineRule="exact"/>
              <w:ind w:left="107"/>
              <w:rPr>
                <w:lang w:val="sr-Latn-CS"/>
              </w:rPr>
            </w:pPr>
            <w:r w:rsidRPr="00DB65DC">
              <w:rPr>
                <w:lang w:val="sr-Latn-CS"/>
              </w:rPr>
              <w:t>Koja vrsta zaštićenog područja</w:t>
            </w:r>
            <w:r w:rsidR="006A2BAA">
              <w:rPr>
                <w:lang w:val="sr-Latn-CS"/>
              </w:rPr>
              <w:t xml:space="preserve"> </w:t>
            </w:r>
            <w:r w:rsidR="006A2BAA" w:rsidRPr="002C442E">
              <w:rPr>
                <w:lang w:val="sr-Latn-CS"/>
              </w:rPr>
              <w:t>(PA)</w:t>
            </w:r>
            <w:r w:rsidRPr="002C442E">
              <w:rPr>
                <w:lang w:val="sr-Latn-CS"/>
              </w:rPr>
              <w:t>?</w:t>
            </w:r>
            <w:r w:rsidRPr="00DB65DC">
              <w:rPr>
                <w:lang w:val="sr-Latn-CS"/>
              </w:rPr>
              <w:t xml:space="preserve"> (nivo i razlog zaštite)</w:t>
            </w:r>
          </w:p>
        </w:tc>
        <w:tc>
          <w:tcPr>
            <w:tcW w:w="950" w:type="dxa"/>
          </w:tcPr>
          <w:p w:rsidR="00A42A8C" w:rsidRPr="003B3244" w:rsidRDefault="00A42A8C" w:rsidP="003B3244">
            <w:pPr>
              <w:pStyle w:val="TableParagraph"/>
              <w:rPr>
                <w:sz w:val="18"/>
                <w:lang w:val="sr-Latn-CS"/>
              </w:rPr>
            </w:pPr>
          </w:p>
        </w:tc>
        <w:tc>
          <w:tcPr>
            <w:tcW w:w="945" w:type="dxa"/>
          </w:tcPr>
          <w:p w:rsidR="00A42A8C" w:rsidRPr="003B3244" w:rsidRDefault="00A42A8C" w:rsidP="003B3244">
            <w:pPr>
              <w:pStyle w:val="TableParagraph"/>
              <w:rPr>
                <w:sz w:val="18"/>
                <w:lang w:val="sr-Latn-CS"/>
              </w:rPr>
            </w:pPr>
          </w:p>
        </w:tc>
        <w:tc>
          <w:tcPr>
            <w:tcW w:w="2402" w:type="dxa"/>
          </w:tcPr>
          <w:p w:rsidR="00A42A8C" w:rsidRPr="003B3244" w:rsidRDefault="00A42A8C" w:rsidP="003B3244">
            <w:pPr>
              <w:pStyle w:val="TableParagraph"/>
              <w:rPr>
                <w:sz w:val="18"/>
                <w:lang w:val="sr-Latn-CS"/>
              </w:rPr>
            </w:pPr>
          </w:p>
        </w:tc>
      </w:tr>
      <w:tr w:rsidR="00A42A8C" w:rsidRPr="00627140" w:rsidTr="00184B63">
        <w:trPr>
          <w:trHeight w:val="506"/>
          <w:jc w:val="center"/>
        </w:trPr>
        <w:tc>
          <w:tcPr>
            <w:tcW w:w="559" w:type="dxa"/>
          </w:tcPr>
          <w:p w:rsidR="00A42A8C" w:rsidRPr="003B3244" w:rsidRDefault="00A42A8C" w:rsidP="003B3244">
            <w:pPr>
              <w:pStyle w:val="TableParagraph"/>
              <w:spacing w:line="250" w:lineRule="exact"/>
              <w:ind w:left="107"/>
              <w:rPr>
                <w:lang w:val="sr-Latn-CS"/>
              </w:rPr>
            </w:pPr>
            <w:r w:rsidRPr="003B3244">
              <w:rPr>
                <w:lang w:val="sr-Latn-CS"/>
              </w:rPr>
              <w:t>9</w:t>
            </w:r>
          </w:p>
        </w:tc>
        <w:tc>
          <w:tcPr>
            <w:tcW w:w="5743" w:type="dxa"/>
          </w:tcPr>
          <w:p w:rsidR="00A42A8C" w:rsidRPr="00DB65DC" w:rsidRDefault="00A42A8C" w:rsidP="00EF0E9D">
            <w:pPr>
              <w:pStyle w:val="TableParagraph"/>
              <w:spacing w:before="1" w:line="252" w:lineRule="exact"/>
              <w:ind w:left="107" w:right="1287"/>
              <w:rPr>
                <w:lang w:val="sr-Latn-CS"/>
              </w:rPr>
            </w:pPr>
            <w:r w:rsidRPr="00DB65DC">
              <w:rPr>
                <w:lang w:val="sr-Latn-CS"/>
              </w:rPr>
              <w:t>Da li se potprojekat nalazi u ili potencijalno utiče na arheološko ili kulturno nasleđe?</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3B3244" w:rsidTr="00184B63">
        <w:trPr>
          <w:trHeight w:val="1518"/>
          <w:jc w:val="center"/>
        </w:trPr>
        <w:tc>
          <w:tcPr>
            <w:tcW w:w="559" w:type="dxa"/>
          </w:tcPr>
          <w:p w:rsidR="00A42A8C" w:rsidRPr="003B3244" w:rsidRDefault="00A42A8C" w:rsidP="003B3244">
            <w:pPr>
              <w:pStyle w:val="TableParagraph"/>
              <w:spacing w:line="250" w:lineRule="exact"/>
              <w:ind w:left="107"/>
              <w:rPr>
                <w:lang w:val="sr-Latn-CS"/>
              </w:rPr>
            </w:pPr>
            <w:r w:rsidRPr="003B3244">
              <w:rPr>
                <w:lang w:val="sr-Latn-CS"/>
              </w:rPr>
              <w:t>10</w:t>
            </w:r>
          </w:p>
        </w:tc>
        <w:tc>
          <w:tcPr>
            <w:tcW w:w="5743" w:type="dxa"/>
          </w:tcPr>
          <w:p w:rsidR="00A42A8C" w:rsidRPr="00DB65DC" w:rsidRDefault="00A42A8C" w:rsidP="00EF0E9D">
            <w:pPr>
              <w:pStyle w:val="TableParagraph"/>
              <w:spacing w:line="250" w:lineRule="exact"/>
              <w:ind w:left="90" w:right="2997"/>
              <w:jc w:val="center"/>
              <w:rPr>
                <w:lang w:val="sr-Latn-CS"/>
              </w:rPr>
            </w:pPr>
            <w:r w:rsidRPr="00DB65DC">
              <w:rPr>
                <w:lang w:val="sr-Latn-CS"/>
              </w:rPr>
              <w:t>Da li je priroda lokacije:</w:t>
            </w:r>
          </w:p>
          <w:p w:rsidR="00A42A8C" w:rsidRPr="00DB65DC" w:rsidRDefault="00A42A8C" w:rsidP="00EF0E9D">
            <w:pPr>
              <w:pStyle w:val="TableParagraph"/>
              <w:numPr>
                <w:ilvl w:val="0"/>
                <w:numId w:val="2"/>
              </w:numPr>
              <w:tabs>
                <w:tab w:val="left" w:pos="827"/>
                <w:tab w:val="left" w:pos="828"/>
              </w:tabs>
              <w:spacing w:line="252" w:lineRule="exact"/>
              <w:rPr>
                <w:lang w:val="sr-Latn-CS"/>
              </w:rPr>
            </w:pPr>
            <w:r w:rsidRPr="00DB65DC">
              <w:rPr>
                <w:lang w:val="sr-Latn-CS"/>
              </w:rPr>
              <w:t>Primorska,</w:t>
            </w:r>
          </w:p>
          <w:p w:rsidR="00A42A8C" w:rsidRPr="00DB65DC" w:rsidRDefault="00A42A8C" w:rsidP="00EF0E9D">
            <w:pPr>
              <w:pStyle w:val="TableParagraph"/>
              <w:numPr>
                <w:ilvl w:val="0"/>
                <w:numId w:val="2"/>
              </w:numPr>
              <w:tabs>
                <w:tab w:val="left" w:pos="827"/>
                <w:tab w:val="left" w:pos="828"/>
              </w:tabs>
              <w:spacing w:line="252" w:lineRule="exact"/>
              <w:rPr>
                <w:lang w:val="sr-Latn-CS"/>
              </w:rPr>
            </w:pPr>
            <w:r w:rsidRPr="00DB65DC">
              <w:rPr>
                <w:lang w:val="sr-Latn-CS"/>
              </w:rPr>
              <w:t>Urbana,</w:t>
            </w:r>
          </w:p>
          <w:p w:rsidR="00A42A8C" w:rsidRPr="00DB65DC" w:rsidRDefault="00A42A8C" w:rsidP="00EF0E9D">
            <w:pPr>
              <w:pStyle w:val="TableParagraph"/>
              <w:numPr>
                <w:ilvl w:val="0"/>
                <w:numId w:val="2"/>
              </w:numPr>
              <w:tabs>
                <w:tab w:val="left" w:pos="827"/>
                <w:tab w:val="left" w:pos="828"/>
              </w:tabs>
              <w:spacing w:before="1" w:line="252" w:lineRule="exact"/>
              <w:rPr>
                <w:lang w:val="sr-Latn-CS"/>
              </w:rPr>
            </w:pPr>
            <w:r w:rsidRPr="00DB65DC">
              <w:rPr>
                <w:lang w:val="sr-Latn-CS"/>
              </w:rPr>
              <w:t>Poljoprivredna,</w:t>
            </w:r>
          </w:p>
          <w:p w:rsidR="00A42A8C" w:rsidRPr="00DB65DC" w:rsidRDefault="00A42A8C" w:rsidP="00EF0E9D">
            <w:pPr>
              <w:pStyle w:val="TableParagraph"/>
              <w:numPr>
                <w:ilvl w:val="0"/>
                <w:numId w:val="2"/>
              </w:numPr>
              <w:tabs>
                <w:tab w:val="left" w:pos="827"/>
                <w:tab w:val="left" w:pos="828"/>
              </w:tabs>
              <w:spacing w:line="252" w:lineRule="exact"/>
              <w:rPr>
                <w:lang w:val="sr-Latn-CS"/>
              </w:rPr>
            </w:pPr>
            <w:r w:rsidRPr="00DB65DC">
              <w:rPr>
                <w:lang w:val="sr-Latn-CS"/>
              </w:rPr>
              <w:t>Industrijska,</w:t>
            </w:r>
          </w:p>
          <w:p w:rsidR="00A42A8C" w:rsidRPr="00DB65DC" w:rsidRDefault="00A42A8C" w:rsidP="00EF0E9D">
            <w:pPr>
              <w:pStyle w:val="TableParagraph"/>
              <w:numPr>
                <w:ilvl w:val="0"/>
                <w:numId w:val="2"/>
              </w:numPr>
              <w:tabs>
                <w:tab w:val="left" w:pos="827"/>
                <w:tab w:val="left" w:pos="828"/>
              </w:tabs>
              <w:spacing w:before="2" w:line="237" w:lineRule="exact"/>
              <w:rPr>
                <w:lang w:val="sr-Latn-CS"/>
              </w:rPr>
            </w:pPr>
            <w:r w:rsidRPr="00DB65DC">
              <w:rPr>
                <w:lang w:val="sr-Latn-CS"/>
              </w:rPr>
              <w:t xml:space="preserve">Ostale </w:t>
            </w:r>
            <w:r>
              <w:rPr>
                <w:lang w:val="sr-Latn-CS"/>
              </w:rPr>
              <w:t>karakteristike</w:t>
            </w:r>
            <w:r w:rsidRPr="00DB65DC">
              <w:rPr>
                <w:lang w:val="sr-Latn-CS"/>
              </w:rPr>
              <w:t xml:space="preserve"> - molimo navedite u koloni</w:t>
            </w:r>
          </w:p>
          <w:p w:rsidR="00A42A8C" w:rsidRPr="00DB65DC" w:rsidRDefault="00A42A8C" w:rsidP="00EF0E9D">
            <w:pPr>
              <w:pStyle w:val="TableParagraph"/>
              <w:tabs>
                <w:tab w:val="left" w:pos="827"/>
                <w:tab w:val="left" w:pos="828"/>
              </w:tabs>
              <w:spacing w:before="2" w:line="237" w:lineRule="exact"/>
              <w:ind w:left="828"/>
              <w:rPr>
                <w:lang w:val="sr-Latn-CS"/>
              </w:rPr>
            </w:pPr>
            <w:r w:rsidRPr="00DB65DC">
              <w:rPr>
                <w:lang w:val="sr-Latn-CS"/>
              </w:rPr>
              <w:t>„Napomene“?</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627140" w:rsidTr="00184B63">
        <w:trPr>
          <w:trHeight w:val="253"/>
          <w:jc w:val="center"/>
        </w:trPr>
        <w:tc>
          <w:tcPr>
            <w:tcW w:w="559" w:type="dxa"/>
          </w:tcPr>
          <w:p w:rsidR="00A42A8C" w:rsidRPr="003B3244" w:rsidRDefault="00A42A8C" w:rsidP="003B3244">
            <w:pPr>
              <w:pStyle w:val="TableParagraph"/>
              <w:spacing w:line="234" w:lineRule="exact"/>
              <w:ind w:left="107"/>
              <w:rPr>
                <w:lang w:val="sr-Latn-CS"/>
              </w:rPr>
            </w:pPr>
            <w:r w:rsidRPr="003B3244">
              <w:rPr>
                <w:lang w:val="sr-Latn-CS"/>
              </w:rPr>
              <w:t>11</w:t>
            </w:r>
          </w:p>
        </w:tc>
        <w:tc>
          <w:tcPr>
            <w:tcW w:w="5743" w:type="dxa"/>
          </w:tcPr>
          <w:p w:rsidR="00A42A8C" w:rsidRPr="00DB65DC" w:rsidRDefault="006A2BAA" w:rsidP="006A2BAA">
            <w:pPr>
              <w:pStyle w:val="TableParagraph"/>
              <w:spacing w:line="234" w:lineRule="exact"/>
              <w:ind w:left="107"/>
              <w:rPr>
                <w:lang w:val="sr-Latn-CS"/>
              </w:rPr>
            </w:pPr>
            <w:r>
              <w:rPr>
                <w:lang w:val="sr-Latn-CS"/>
              </w:rPr>
              <w:t xml:space="preserve">Da li postoji pravo na </w:t>
            </w:r>
            <w:r w:rsidR="00A42A8C" w:rsidRPr="00DB65DC">
              <w:rPr>
                <w:lang w:val="sr-Latn-CS"/>
              </w:rPr>
              <w:t xml:space="preserve"> izdavanje ili potreba za </w:t>
            </w:r>
            <w:r w:rsidRPr="006A2BAA">
              <w:rPr>
                <w:lang w:val="sr-Latn-CS"/>
              </w:rPr>
              <w:t>kupovinom zemljišta?</w:t>
            </w:r>
          </w:p>
        </w:tc>
        <w:tc>
          <w:tcPr>
            <w:tcW w:w="950" w:type="dxa"/>
          </w:tcPr>
          <w:p w:rsidR="00A42A8C" w:rsidRPr="003B3244" w:rsidRDefault="00A42A8C" w:rsidP="003B3244">
            <w:pPr>
              <w:pStyle w:val="TableParagraph"/>
              <w:rPr>
                <w:sz w:val="18"/>
                <w:lang w:val="sr-Latn-CS"/>
              </w:rPr>
            </w:pPr>
          </w:p>
        </w:tc>
        <w:tc>
          <w:tcPr>
            <w:tcW w:w="945" w:type="dxa"/>
          </w:tcPr>
          <w:p w:rsidR="00A42A8C" w:rsidRPr="003B3244" w:rsidRDefault="00A42A8C" w:rsidP="003B3244">
            <w:pPr>
              <w:pStyle w:val="TableParagraph"/>
              <w:rPr>
                <w:sz w:val="18"/>
                <w:lang w:val="sr-Latn-CS"/>
              </w:rPr>
            </w:pPr>
          </w:p>
        </w:tc>
        <w:tc>
          <w:tcPr>
            <w:tcW w:w="2402" w:type="dxa"/>
          </w:tcPr>
          <w:p w:rsidR="00A42A8C" w:rsidRPr="003B3244" w:rsidRDefault="00A42A8C" w:rsidP="003B3244">
            <w:pPr>
              <w:pStyle w:val="TableParagraph"/>
              <w:rPr>
                <w:sz w:val="18"/>
                <w:lang w:val="sr-Latn-CS"/>
              </w:rPr>
            </w:pPr>
          </w:p>
        </w:tc>
      </w:tr>
      <w:tr w:rsidR="00A42A8C" w:rsidRPr="00627140" w:rsidTr="00184B63">
        <w:trPr>
          <w:trHeight w:val="506"/>
          <w:jc w:val="center"/>
        </w:trPr>
        <w:tc>
          <w:tcPr>
            <w:tcW w:w="559" w:type="dxa"/>
          </w:tcPr>
          <w:p w:rsidR="00A42A8C" w:rsidRPr="003B3244" w:rsidRDefault="00A42A8C" w:rsidP="003B3244">
            <w:pPr>
              <w:pStyle w:val="TableParagraph"/>
              <w:spacing w:line="248" w:lineRule="exact"/>
              <w:ind w:left="107"/>
              <w:rPr>
                <w:lang w:val="sr-Latn-CS"/>
              </w:rPr>
            </w:pPr>
            <w:r w:rsidRPr="003B3244">
              <w:rPr>
                <w:lang w:val="sr-Latn-CS"/>
              </w:rPr>
              <w:t>12</w:t>
            </w:r>
          </w:p>
        </w:tc>
        <w:tc>
          <w:tcPr>
            <w:tcW w:w="5743" w:type="dxa"/>
          </w:tcPr>
          <w:p w:rsidR="00A42A8C" w:rsidRPr="00DB65DC" w:rsidRDefault="00A42A8C" w:rsidP="00EF0E9D">
            <w:pPr>
              <w:pStyle w:val="TableParagraph"/>
              <w:spacing w:line="239" w:lineRule="exact"/>
              <w:ind w:left="107"/>
              <w:rPr>
                <w:lang w:val="sr-Latn-CS"/>
              </w:rPr>
            </w:pPr>
            <w:r w:rsidRPr="00DB65DC">
              <w:rPr>
                <w:lang w:val="sr-Latn-CS"/>
              </w:rPr>
              <w:t>Da li potprojekat zahteva ekološke dozvole, PUŽS ili drugu vrstu PŽS-a prema nacionalnom zakonodavstvu?</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627140" w:rsidTr="00184B63">
        <w:trPr>
          <w:trHeight w:val="506"/>
          <w:jc w:val="center"/>
        </w:trPr>
        <w:tc>
          <w:tcPr>
            <w:tcW w:w="559" w:type="dxa"/>
          </w:tcPr>
          <w:p w:rsidR="00A42A8C" w:rsidRPr="003B3244" w:rsidRDefault="00A42A8C" w:rsidP="003B3244">
            <w:pPr>
              <w:pStyle w:val="TableParagraph"/>
              <w:spacing w:line="248" w:lineRule="exact"/>
              <w:ind w:left="107"/>
              <w:rPr>
                <w:lang w:val="sr-Latn-CS"/>
              </w:rPr>
            </w:pPr>
            <w:r w:rsidRPr="003B3244">
              <w:rPr>
                <w:lang w:val="sr-Latn-CS"/>
              </w:rPr>
              <w:t>13</w:t>
            </w:r>
          </w:p>
        </w:tc>
        <w:tc>
          <w:tcPr>
            <w:tcW w:w="5743" w:type="dxa"/>
          </w:tcPr>
          <w:p w:rsidR="00A42A8C" w:rsidRPr="00DB65DC" w:rsidRDefault="00A42A8C" w:rsidP="00EF0E9D">
            <w:pPr>
              <w:pStyle w:val="TableParagraph"/>
              <w:spacing w:line="239" w:lineRule="exact"/>
              <w:ind w:left="107"/>
              <w:rPr>
                <w:lang w:val="sr-Latn-CS"/>
              </w:rPr>
            </w:pPr>
            <w:r w:rsidRPr="00DB65DC">
              <w:rPr>
                <w:lang w:val="sr-Latn-CS"/>
              </w:rPr>
              <w:t>Da li potprojekat zahteva konkretne javne konsultacije prema nacionalnom zakonodavstvu?</w:t>
            </w: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A42A8C" w:rsidRPr="00627140" w:rsidTr="00184B63">
        <w:trPr>
          <w:trHeight w:val="506"/>
          <w:jc w:val="center"/>
        </w:trPr>
        <w:tc>
          <w:tcPr>
            <w:tcW w:w="559" w:type="dxa"/>
          </w:tcPr>
          <w:p w:rsidR="00A42A8C" w:rsidRPr="003B3244" w:rsidRDefault="00A42A8C" w:rsidP="003B3244">
            <w:pPr>
              <w:pStyle w:val="TableParagraph"/>
              <w:spacing w:line="248" w:lineRule="exact"/>
              <w:ind w:left="107"/>
              <w:rPr>
                <w:lang w:val="sr-Latn-CS"/>
              </w:rPr>
            </w:pPr>
            <w:r w:rsidRPr="003B3244">
              <w:rPr>
                <w:lang w:val="sr-Latn-CS"/>
              </w:rPr>
              <w:t>14</w:t>
            </w:r>
          </w:p>
        </w:tc>
        <w:tc>
          <w:tcPr>
            <w:tcW w:w="5743" w:type="dxa"/>
          </w:tcPr>
          <w:p w:rsidR="00A42A8C" w:rsidRPr="00DB65DC" w:rsidRDefault="00A42A8C" w:rsidP="00EF0E9D">
            <w:pPr>
              <w:pStyle w:val="TableParagraph"/>
              <w:spacing w:line="247" w:lineRule="exact"/>
              <w:ind w:left="107"/>
              <w:rPr>
                <w:lang w:val="sr-Latn-CS"/>
              </w:rPr>
            </w:pPr>
          </w:p>
          <w:p w:rsidR="00A42A8C" w:rsidRDefault="00A42A8C" w:rsidP="00EF0E9D">
            <w:pPr>
              <w:pStyle w:val="TableParagraph"/>
              <w:spacing w:line="247" w:lineRule="exact"/>
              <w:ind w:left="107"/>
              <w:rPr>
                <w:lang w:val="sr-Latn-CS"/>
              </w:rPr>
            </w:pPr>
            <w:r w:rsidRPr="00DB65DC">
              <w:rPr>
                <w:lang w:val="sr-Latn-CS"/>
              </w:rPr>
              <w:t>Da li se stvaranje većih količina opasnog otpada (azbest, kompaktne fluorescentne sijalice, ostaci olovnih boja, oprema koja je kontaminirana naftom/gorivom, kao što su stari bojleri ili dizel rezervoari itd.) ili posebne vrste otpada (radioaktivni gromobrani) očekuju kao rezultat potprojekta?</w:t>
            </w:r>
          </w:p>
          <w:p w:rsidR="006A2BAA" w:rsidRPr="00DB65DC" w:rsidRDefault="006A2BAA" w:rsidP="00EF0E9D">
            <w:pPr>
              <w:pStyle w:val="TableParagraph"/>
              <w:spacing w:line="247" w:lineRule="exact"/>
              <w:ind w:left="107"/>
              <w:rPr>
                <w:lang w:val="sr-Latn-CS"/>
              </w:rPr>
            </w:pPr>
          </w:p>
        </w:tc>
        <w:tc>
          <w:tcPr>
            <w:tcW w:w="950" w:type="dxa"/>
          </w:tcPr>
          <w:p w:rsidR="00A42A8C" w:rsidRPr="003B3244" w:rsidRDefault="00A42A8C" w:rsidP="003B3244">
            <w:pPr>
              <w:pStyle w:val="TableParagraph"/>
              <w:rPr>
                <w:lang w:val="sr-Latn-CS"/>
              </w:rPr>
            </w:pPr>
          </w:p>
        </w:tc>
        <w:tc>
          <w:tcPr>
            <w:tcW w:w="945" w:type="dxa"/>
          </w:tcPr>
          <w:p w:rsidR="00A42A8C" w:rsidRPr="003B3244" w:rsidRDefault="00A42A8C" w:rsidP="003B3244">
            <w:pPr>
              <w:pStyle w:val="TableParagraph"/>
              <w:rPr>
                <w:lang w:val="sr-Latn-CS"/>
              </w:rPr>
            </w:pPr>
          </w:p>
        </w:tc>
        <w:tc>
          <w:tcPr>
            <w:tcW w:w="2402" w:type="dxa"/>
          </w:tcPr>
          <w:p w:rsidR="00A42A8C" w:rsidRPr="003B3244" w:rsidRDefault="00A42A8C" w:rsidP="003B3244">
            <w:pPr>
              <w:pStyle w:val="TableParagraph"/>
              <w:rPr>
                <w:lang w:val="sr-Latn-CS"/>
              </w:rPr>
            </w:pPr>
          </w:p>
        </w:tc>
      </w:tr>
      <w:tr w:rsidR="006A2BAA" w:rsidRPr="003B3244" w:rsidTr="00184B63">
        <w:trPr>
          <w:trHeight w:val="251"/>
          <w:jc w:val="center"/>
        </w:trPr>
        <w:tc>
          <w:tcPr>
            <w:tcW w:w="559" w:type="dxa"/>
          </w:tcPr>
          <w:p w:rsidR="006A2BAA" w:rsidRPr="003B3244" w:rsidRDefault="00A822C5" w:rsidP="003B3244">
            <w:pPr>
              <w:pStyle w:val="TableParagraph"/>
              <w:spacing w:line="232" w:lineRule="exact"/>
              <w:ind w:left="107"/>
              <w:rPr>
                <w:lang w:val="sr-Latn-CS"/>
              </w:rPr>
            </w:pPr>
            <w:r>
              <w:rPr>
                <w:lang w:val="sr-Latn-CS"/>
              </w:rPr>
              <w:t>15</w:t>
            </w:r>
          </w:p>
        </w:tc>
        <w:tc>
          <w:tcPr>
            <w:tcW w:w="5743" w:type="dxa"/>
          </w:tcPr>
          <w:p w:rsidR="006A2BAA" w:rsidRPr="00DB65DC" w:rsidRDefault="00A822C5" w:rsidP="00EF0E9D">
            <w:pPr>
              <w:pStyle w:val="TableParagraph"/>
              <w:spacing w:line="232" w:lineRule="exact"/>
              <w:ind w:left="107"/>
              <w:rPr>
                <w:lang w:val="sr-Latn-CS"/>
              </w:rPr>
            </w:pPr>
            <w:r w:rsidRPr="00A822C5">
              <w:rPr>
                <w:lang w:val="sr-Latn-CS"/>
              </w:rPr>
              <w:t>Hoće li nabaviti hemikalije?</w:t>
            </w:r>
          </w:p>
        </w:tc>
        <w:tc>
          <w:tcPr>
            <w:tcW w:w="950" w:type="dxa"/>
          </w:tcPr>
          <w:p w:rsidR="006A2BAA" w:rsidRPr="003B3244" w:rsidRDefault="006A2BAA" w:rsidP="003B3244">
            <w:pPr>
              <w:pStyle w:val="TableParagraph"/>
              <w:rPr>
                <w:sz w:val="18"/>
                <w:lang w:val="sr-Latn-CS"/>
              </w:rPr>
            </w:pPr>
          </w:p>
        </w:tc>
        <w:tc>
          <w:tcPr>
            <w:tcW w:w="945" w:type="dxa"/>
          </w:tcPr>
          <w:p w:rsidR="006A2BAA" w:rsidRPr="003B3244" w:rsidRDefault="006A2BAA" w:rsidP="003B3244">
            <w:pPr>
              <w:pStyle w:val="TableParagraph"/>
              <w:rPr>
                <w:sz w:val="18"/>
                <w:lang w:val="sr-Latn-CS"/>
              </w:rPr>
            </w:pPr>
          </w:p>
        </w:tc>
        <w:tc>
          <w:tcPr>
            <w:tcW w:w="2402" w:type="dxa"/>
          </w:tcPr>
          <w:p w:rsidR="006A2BAA" w:rsidRPr="003B3244" w:rsidRDefault="006A2BAA" w:rsidP="003B3244">
            <w:pPr>
              <w:pStyle w:val="TableParagraph"/>
              <w:rPr>
                <w:sz w:val="18"/>
                <w:lang w:val="sr-Latn-CS"/>
              </w:rPr>
            </w:pPr>
          </w:p>
        </w:tc>
      </w:tr>
      <w:tr w:rsidR="00A42A8C" w:rsidRPr="003B3244" w:rsidTr="00184B63">
        <w:trPr>
          <w:trHeight w:val="251"/>
          <w:jc w:val="center"/>
        </w:trPr>
        <w:tc>
          <w:tcPr>
            <w:tcW w:w="559" w:type="dxa"/>
          </w:tcPr>
          <w:p w:rsidR="00A42A8C" w:rsidRPr="003B3244" w:rsidRDefault="00A42A8C" w:rsidP="003B3244">
            <w:pPr>
              <w:pStyle w:val="TableParagraph"/>
              <w:spacing w:line="232" w:lineRule="exact"/>
              <w:ind w:left="107"/>
              <w:rPr>
                <w:lang w:val="sr-Latn-CS"/>
              </w:rPr>
            </w:pPr>
            <w:r w:rsidRPr="003B3244">
              <w:rPr>
                <w:lang w:val="sr-Latn-CS"/>
              </w:rPr>
              <w:t>14</w:t>
            </w:r>
          </w:p>
        </w:tc>
        <w:tc>
          <w:tcPr>
            <w:tcW w:w="5743" w:type="dxa"/>
          </w:tcPr>
          <w:p w:rsidR="00A42A8C" w:rsidRPr="00DB65DC" w:rsidRDefault="00A42A8C" w:rsidP="00EF0E9D">
            <w:pPr>
              <w:pStyle w:val="TableParagraph"/>
              <w:spacing w:line="232" w:lineRule="exact"/>
              <w:ind w:left="107"/>
              <w:rPr>
                <w:lang w:val="sr-Latn-CS"/>
              </w:rPr>
            </w:pPr>
            <w:r w:rsidRPr="00DB65DC">
              <w:rPr>
                <w:lang w:val="sr-Latn-CS"/>
              </w:rPr>
              <w:t>Ostale napomene/pitanja</w:t>
            </w:r>
          </w:p>
        </w:tc>
        <w:tc>
          <w:tcPr>
            <w:tcW w:w="950" w:type="dxa"/>
          </w:tcPr>
          <w:p w:rsidR="00A42A8C" w:rsidRPr="003B3244" w:rsidRDefault="00A42A8C" w:rsidP="003B3244">
            <w:pPr>
              <w:pStyle w:val="TableParagraph"/>
              <w:rPr>
                <w:sz w:val="18"/>
                <w:lang w:val="sr-Latn-CS"/>
              </w:rPr>
            </w:pPr>
          </w:p>
        </w:tc>
        <w:tc>
          <w:tcPr>
            <w:tcW w:w="945" w:type="dxa"/>
          </w:tcPr>
          <w:p w:rsidR="00A42A8C" w:rsidRPr="003B3244" w:rsidRDefault="00A42A8C" w:rsidP="003B3244">
            <w:pPr>
              <w:pStyle w:val="TableParagraph"/>
              <w:rPr>
                <w:sz w:val="18"/>
                <w:lang w:val="sr-Latn-CS"/>
              </w:rPr>
            </w:pPr>
          </w:p>
        </w:tc>
        <w:tc>
          <w:tcPr>
            <w:tcW w:w="2402" w:type="dxa"/>
          </w:tcPr>
          <w:p w:rsidR="00A42A8C" w:rsidRPr="003B3244" w:rsidRDefault="00A42A8C" w:rsidP="003B3244">
            <w:pPr>
              <w:pStyle w:val="TableParagraph"/>
              <w:rPr>
                <w:sz w:val="18"/>
                <w:lang w:val="sr-Latn-CS"/>
              </w:rPr>
            </w:pPr>
          </w:p>
        </w:tc>
      </w:tr>
    </w:tbl>
    <w:p w:rsidR="00175B16" w:rsidRDefault="00175B16" w:rsidP="00F3731A">
      <w:pPr>
        <w:rPr>
          <w:rFonts w:ascii="Times New Roman" w:hAnsi="Times New Roman" w:cs="Times New Roman"/>
          <w:sz w:val="18"/>
          <w:lang w:val="sr-Latn-CS"/>
        </w:rPr>
      </w:pPr>
    </w:p>
    <w:p w:rsidR="00175B16" w:rsidRPr="00175B16" w:rsidRDefault="00175B16" w:rsidP="00175B16">
      <w:pPr>
        <w:rPr>
          <w:rFonts w:ascii="Times New Roman" w:hAnsi="Times New Roman" w:cs="Times New Roman"/>
          <w:sz w:val="18"/>
          <w:lang w:val="sr-Latn-CS"/>
        </w:rPr>
      </w:pPr>
    </w:p>
    <w:p w:rsidR="00175B16" w:rsidRPr="00175B16" w:rsidRDefault="00175B16" w:rsidP="00175B16">
      <w:pPr>
        <w:rPr>
          <w:rFonts w:ascii="Times New Roman" w:hAnsi="Times New Roman" w:cs="Times New Roman"/>
          <w:sz w:val="18"/>
          <w:lang w:val="sr-Latn-CS"/>
        </w:rPr>
      </w:pPr>
    </w:p>
    <w:p w:rsidR="00175B16" w:rsidRPr="00175B16" w:rsidRDefault="00175B16" w:rsidP="00175B16">
      <w:pPr>
        <w:rPr>
          <w:rFonts w:ascii="Times New Roman" w:hAnsi="Times New Roman" w:cs="Times New Roman"/>
          <w:sz w:val="18"/>
          <w:lang w:val="sr-Latn-CS"/>
        </w:rPr>
      </w:pPr>
    </w:p>
    <w:p w:rsidR="00175B16" w:rsidRPr="00175B16" w:rsidRDefault="00175B16" w:rsidP="00175B16">
      <w:pPr>
        <w:rPr>
          <w:rFonts w:ascii="Times New Roman" w:hAnsi="Times New Roman" w:cs="Times New Roman"/>
          <w:sz w:val="18"/>
          <w:lang w:val="sr-Latn-CS"/>
        </w:rPr>
      </w:pPr>
    </w:p>
    <w:p w:rsidR="00175B16" w:rsidRPr="00175B16" w:rsidRDefault="00175B16" w:rsidP="00175B16">
      <w:pPr>
        <w:rPr>
          <w:rFonts w:ascii="Times New Roman" w:hAnsi="Times New Roman" w:cs="Times New Roman"/>
          <w:sz w:val="18"/>
          <w:lang w:val="sr-Latn-CS"/>
        </w:rPr>
      </w:pPr>
    </w:p>
    <w:p w:rsidR="00175B16" w:rsidRPr="00175B16" w:rsidRDefault="00175B16" w:rsidP="00175B16">
      <w:pPr>
        <w:rPr>
          <w:rFonts w:ascii="Times New Roman" w:hAnsi="Times New Roman" w:cs="Times New Roman"/>
          <w:sz w:val="18"/>
          <w:lang w:val="sr-Latn-CS"/>
        </w:rPr>
      </w:pPr>
    </w:p>
    <w:p w:rsidR="00175B16" w:rsidRDefault="00175B16" w:rsidP="00175B16">
      <w:pPr>
        <w:rPr>
          <w:rFonts w:ascii="Times New Roman" w:hAnsi="Times New Roman" w:cs="Times New Roman"/>
          <w:sz w:val="18"/>
          <w:lang w:val="sr-Latn-CS"/>
        </w:rPr>
      </w:pPr>
    </w:p>
    <w:p w:rsidR="00F3731A" w:rsidRPr="00175B16" w:rsidRDefault="00F3731A" w:rsidP="00175B16">
      <w:pPr>
        <w:rPr>
          <w:rFonts w:ascii="Times New Roman" w:hAnsi="Times New Roman" w:cs="Times New Roman"/>
          <w:sz w:val="18"/>
          <w:lang w:val="sr-Latn-CS"/>
        </w:rPr>
        <w:sectPr w:rsidR="00F3731A" w:rsidRPr="00175B16" w:rsidSect="00175B16">
          <w:footerReference w:type="default" r:id="rId13"/>
          <w:pgSz w:w="11910" w:h="16840"/>
          <w:pgMar w:top="720" w:right="720" w:bottom="720" w:left="720" w:header="0" w:footer="831" w:gutter="0"/>
          <w:cols w:space="720"/>
        </w:sectPr>
      </w:pPr>
    </w:p>
    <w:p w:rsidR="00F3731A" w:rsidRPr="003B3244" w:rsidRDefault="00A42A8C" w:rsidP="00F3731A">
      <w:pPr>
        <w:pStyle w:val="Heading2"/>
        <w:rPr>
          <w:lang w:val="sr-Latn-CS"/>
        </w:rPr>
      </w:pPr>
      <w:bookmarkStart w:id="67" w:name="_Toc531255645"/>
      <w:r w:rsidRPr="00A42A8C">
        <w:rPr>
          <w:lang w:val="sr-Latn-CS"/>
        </w:rPr>
        <w:lastRenderedPageBreak/>
        <w:t>ANEKS 3 – OBRAZAC KONTROLNE LISTE PLANA ZA PROCENU ŽIVOTNE SREDINE I DRUŠTVA</w:t>
      </w:r>
      <w:bookmarkEnd w:id="67"/>
    </w:p>
    <w:p w:rsidR="00F3731A" w:rsidRPr="003B3244" w:rsidRDefault="00F3731A" w:rsidP="00F3731A">
      <w:pPr>
        <w:pStyle w:val="Heading2"/>
        <w:rPr>
          <w:lang w:val="sr-Latn-CS"/>
        </w:rPr>
      </w:pPr>
    </w:p>
    <w:p w:rsidR="00F3731A" w:rsidRPr="003B3244" w:rsidRDefault="00A42A8C" w:rsidP="00F3731A">
      <w:pPr>
        <w:pStyle w:val="Heading2"/>
        <w:rPr>
          <w:lang w:val="sr-Latn-CS"/>
        </w:rPr>
      </w:pPr>
      <w:bookmarkStart w:id="68" w:name="_Toc531255646"/>
      <w:r w:rsidRPr="00A42A8C">
        <w:rPr>
          <w:lang w:val="sr-Latn-CS"/>
        </w:rPr>
        <w:t>Uvod</w:t>
      </w:r>
      <w:bookmarkEnd w:id="68"/>
    </w:p>
    <w:p w:rsidR="007C712A" w:rsidRPr="007C712A" w:rsidRDefault="00860B0B" w:rsidP="007C712A">
      <w:pPr>
        <w:spacing w:before="100" w:beforeAutospacing="1" w:after="100" w:afterAutospacing="1" w:line="240" w:lineRule="auto"/>
        <w:ind w:right="289"/>
        <w:jc w:val="both"/>
        <w:rPr>
          <w:rFonts w:ascii="Times New Roman" w:eastAsia="Calibri" w:hAnsi="Times New Roman" w:cs="Times New Roman"/>
          <w:lang w:val="sr-Latn-CS"/>
        </w:rPr>
      </w:pPr>
      <w:r w:rsidRPr="007C712A">
        <w:rPr>
          <w:rFonts w:ascii="Times New Roman" w:eastAsia="Calibri" w:hAnsi="Times New Roman" w:cs="Times New Roman"/>
          <w:lang w:val="sr-Latn-CS"/>
        </w:rPr>
        <w:t>Projekat će postići svoj razvojni cilj u vezi soci</w:t>
      </w:r>
      <w:r>
        <w:rPr>
          <w:rFonts w:ascii="Times New Roman" w:eastAsia="Calibri" w:hAnsi="Times New Roman" w:cs="Times New Roman"/>
          <w:lang w:val="sr-Latn-CS"/>
        </w:rPr>
        <w:t>o</w:t>
      </w:r>
      <w:r w:rsidRPr="007C712A">
        <w:rPr>
          <w:rFonts w:ascii="Times New Roman" w:eastAsia="Calibri" w:hAnsi="Times New Roman" w:cs="Times New Roman"/>
          <w:lang w:val="sr-Latn-CS"/>
        </w:rPr>
        <w:t>-ekonomske inkluzije najmanje 3.000 ugroženih mladih (uzrasta 15-29 godina) u ugroženim zajednicama na Kosovu kroz aktivnosti građanskog angažovanja</w:t>
      </w:r>
    </w:p>
    <w:p w:rsidR="007C712A" w:rsidRPr="007C712A" w:rsidRDefault="007C712A" w:rsidP="007C712A">
      <w:pPr>
        <w:spacing w:before="100" w:beforeAutospacing="1" w:after="100" w:afterAutospacing="1" w:line="240" w:lineRule="auto"/>
        <w:ind w:right="289"/>
        <w:jc w:val="both"/>
        <w:rPr>
          <w:rFonts w:ascii="Times New Roman" w:eastAsia="Calibri" w:hAnsi="Times New Roman" w:cs="Times New Roman"/>
          <w:lang w:val="sr-Latn-CS"/>
        </w:rPr>
      </w:pPr>
      <w:r w:rsidRPr="007C712A">
        <w:rPr>
          <w:rFonts w:ascii="Times New Roman" w:eastAsia="Calibri" w:hAnsi="Times New Roman" w:cs="Times New Roman"/>
          <w:lang w:val="sr-Latn-CS"/>
        </w:rPr>
        <w:t>Projekat će postići svoj socio-ekonomski razvojni cilj kroz tri komponente:</w:t>
      </w:r>
    </w:p>
    <w:p w:rsidR="007C712A" w:rsidRPr="007C712A" w:rsidRDefault="007C712A" w:rsidP="007C712A">
      <w:pPr>
        <w:widowControl w:val="0"/>
        <w:numPr>
          <w:ilvl w:val="0"/>
          <w:numId w:val="35"/>
        </w:numPr>
        <w:autoSpaceDE w:val="0"/>
        <w:autoSpaceDN w:val="0"/>
        <w:spacing w:before="100" w:beforeAutospacing="1" w:after="100" w:afterAutospacing="1" w:line="240" w:lineRule="auto"/>
        <w:ind w:right="289"/>
        <w:jc w:val="both"/>
        <w:rPr>
          <w:rFonts w:ascii="Times New Roman" w:eastAsia="Arial" w:hAnsi="Times New Roman" w:cs="Times New Roman"/>
          <w:lang w:val="sr-Latn-CS"/>
        </w:rPr>
      </w:pPr>
      <w:r w:rsidRPr="007C712A">
        <w:rPr>
          <w:rFonts w:ascii="Times New Roman" w:eastAsia="Arial" w:hAnsi="Times New Roman" w:cs="Times New Roman"/>
          <w:lang w:val="sr-Latn-CS"/>
        </w:rPr>
        <w:t>Razvoj zajednica usmeren na mlade;</w:t>
      </w:r>
    </w:p>
    <w:p w:rsidR="007C712A" w:rsidRPr="007C712A" w:rsidRDefault="007C712A" w:rsidP="007C712A">
      <w:pPr>
        <w:widowControl w:val="0"/>
        <w:numPr>
          <w:ilvl w:val="0"/>
          <w:numId w:val="35"/>
        </w:numPr>
        <w:autoSpaceDE w:val="0"/>
        <w:autoSpaceDN w:val="0"/>
        <w:spacing w:before="100" w:beforeAutospacing="1" w:after="100" w:afterAutospacing="1" w:line="240" w:lineRule="auto"/>
        <w:ind w:right="289"/>
        <w:jc w:val="both"/>
        <w:rPr>
          <w:rFonts w:ascii="Times New Roman" w:eastAsia="Arial" w:hAnsi="Times New Roman" w:cs="Times New Roman"/>
          <w:lang w:val="sr-Latn-CS"/>
        </w:rPr>
      </w:pPr>
      <w:r w:rsidRPr="007C712A">
        <w:rPr>
          <w:rFonts w:ascii="Times New Roman" w:eastAsia="Arial" w:hAnsi="Times New Roman" w:cs="Times New Roman"/>
          <w:lang w:val="sr-Latn-CS"/>
        </w:rPr>
        <w:t>Obuka mladih aktera;</w:t>
      </w:r>
    </w:p>
    <w:p w:rsidR="007C712A" w:rsidRPr="007C712A" w:rsidRDefault="007C712A" w:rsidP="007C712A">
      <w:pPr>
        <w:widowControl w:val="0"/>
        <w:numPr>
          <w:ilvl w:val="0"/>
          <w:numId w:val="35"/>
        </w:numPr>
        <w:autoSpaceDE w:val="0"/>
        <w:autoSpaceDN w:val="0"/>
        <w:spacing w:before="100" w:beforeAutospacing="1" w:after="100" w:afterAutospacing="1" w:line="240" w:lineRule="auto"/>
        <w:ind w:right="289"/>
        <w:jc w:val="both"/>
        <w:rPr>
          <w:rFonts w:ascii="Times New Roman" w:eastAsia="Arial" w:hAnsi="Times New Roman" w:cs="Times New Roman"/>
          <w:lang w:val="sr-Latn-CS"/>
        </w:rPr>
      </w:pPr>
      <w:r w:rsidRPr="007C712A">
        <w:rPr>
          <w:rFonts w:ascii="Times New Roman" w:eastAsia="Arial" w:hAnsi="Times New Roman" w:cs="Times New Roman"/>
          <w:lang w:val="sr-Latn-CS"/>
        </w:rPr>
        <w:t>Upravljanje projektima i administracija, PiE i širenje znanja.</w:t>
      </w:r>
    </w:p>
    <w:p w:rsidR="00F3731A" w:rsidRPr="003B3244" w:rsidRDefault="007C712A" w:rsidP="007C712A">
      <w:pPr>
        <w:spacing w:before="100" w:beforeAutospacing="1" w:after="100" w:afterAutospacing="1" w:line="240" w:lineRule="auto"/>
        <w:ind w:right="289"/>
        <w:jc w:val="both"/>
        <w:rPr>
          <w:rFonts w:ascii="Times New Roman" w:hAnsi="Times New Roman" w:cs="Times New Roman"/>
          <w:lang w:val="sr-Latn-CS"/>
        </w:rPr>
      </w:pPr>
      <w:r w:rsidRPr="007C712A">
        <w:rPr>
          <w:rFonts w:ascii="Times New Roman" w:eastAsia="Calibri" w:hAnsi="Times New Roman" w:cs="Times New Roman"/>
          <w:lang w:val="sr-Latn-CS"/>
        </w:rPr>
        <w:t xml:space="preserve">Pored mekih aktivnosti, kao što su pružanje obuke ugroženim grupama mladih aktera, neiskusnim NVO-ovima/pojedincima  kojima je potreban razvoj veština itd., za koje se ne očekuje da imaju negativan uticaj na životnu sredinu, aktivnosti u okviru 1. komponente Razvoj zajednice usmeren na mlade takođe predviđaju građevinske radove u malim razmerama, kao što su renoviranje, obnavljanje i slično. Ova kontrolna lista </w:t>
      </w:r>
      <w:r w:rsidR="000818B6">
        <w:rPr>
          <w:rFonts w:ascii="Times New Roman" w:eastAsia="Calibri" w:hAnsi="Times New Roman" w:cs="Times New Roman"/>
          <w:lang w:val="sr-Latn-CS"/>
        </w:rPr>
        <w:t>PUSŽS</w:t>
      </w:r>
      <w:r w:rsidRPr="007C712A">
        <w:rPr>
          <w:rFonts w:ascii="Times New Roman" w:eastAsia="Calibri" w:hAnsi="Times New Roman" w:cs="Times New Roman"/>
          <w:lang w:val="sr-Latn-CS"/>
        </w:rPr>
        <w:t>-a pruža zaštitne mere životne sredine i plan praćenja ovih radova koji rešavaju tipične i lokalizovane uticaje</w:t>
      </w:r>
      <w:r w:rsidR="00F3731A" w:rsidRPr="003B3244">
        <w:rPr>
          <w:rFonts w:ascii="Times New Roman" w:hAnsi="Times New Roman" w:cs="Times New Roman"/>
          <w:lang w:val="sr-Latn-CS"/>
        </w:rPr>
        <w:t xml:space="preserve">. </w:t>
      </w:r>
    </w:p>
    <w:p w:rsidR="00F3731A" w:rsidRPr="003B3244" w:rsidRDefault="007C712A" w:rsidP="00F3731A">
      <w:pPr>
        <w:pStyle w:val="Heading2"/>
        <w:rPr>
          <w:lang w:val="sr-Latn-CS"/>
        </w:rPr>
      </w:pPr>
      <w:bookmarkStart w:id="69" w:name="_Toc531255647"/>
      <w:r w:rsidRPr="007C712A">
        <w:rPr>
          <w:lang w:val="sr-Latn-CS"/>
        </w:rPr>
        <w:t>Potencijalni uticaji na životnu sredinu</w:t>
      </w:r>
      <w:bookmarkEnd w:id="69"/>
    </w:p>
    <w:p w:rsidR="00F3731A" w:rsidRPr="003B3244" w:rsidRDefault="00F3731A" w:rsidP="00F3731A">
      <w:pPr>
        <w:pStyle w:val="BodyText"/>
        <w:rPr>
          <w:rFonts w:cs="Times New Roman"/>
          <w:lang w:val="sr-Latn-CS"/>
        </w:rPr>
      </w:pPr>
    </w:p>
    <w:p w:rsidR="00F3731A" w:rsidRPr="003B3244" w:rsidRDefault="00EB6AB6" w:rsidP="00F3731A">
      <w:pPr>
        <w:spacing w:before="120"/>
        <w:jc w:val="both"/>
        <w:rPr>
          <w:rFonts w:ascii="Times New Roman" w:hAnsi="Times New Roman" w:cs="Times New Roman"/>
          <w:lang w:val="sr-Latn-CS"/>
        </w:rPr>
      </w:pPr>
      <w:r w:rsidRPr="00EB6AB6">
        <w:rPr>
          <w:rFonts w:ascii="Times New Roman" w:hAnsi="Times New Roman" w:cs="Times New Roman"/>
          <w:lang w:val="sr-Latn-CS"/>
        </w:rPr>
        <w:t>Stoga se očekuje da se ukupnim uticajima projekta na životnu sredinu može upravljati, kao i privremenim i lokalnim uticajem, budući da su povezani sa manjim građevinskim radovima ili radovima iskopavanja u malim razmerama uglavnom u urbanim područjima. Ovi uticaji najčešće uključuju, ali se ne ograničavaju na: a) prašinu i buku usled iskopavanja, rušenja i izgradnje; b) upravljanje građevinskim otpadom od rušenja c) emisija buke; d) rizike vezane za zdravlje i sigurnost na radu</w:t>
      </w:r>
      <w:r w:rsidR="00F3731A" w:rsidRPr="003B3244">
        <w:rPr>
          <w:rFonts w:ascii="Times New Roman" w:hAnsi="Times New Roman" w:cs="Times New Roman"/>
          <w:lang w:val="sr-Latn-CS"/>
        </w:rPr>
        <w:t>.</w:t>
      </w:r>
    </w:p>
    <w:p w:rsidR="00F3731A" w:rsidRPr="003B3244" w:rsidRDefault="0033295F" w:rsidP="00F3731A">
      <w:pPr>
        <w:pStyle w:val="Heading2"/>
        <w:rPr>
          <w:lang w:val="sr-Latn-CS"/>
        </w:rPr>
      </w:pPr>
      <w:bookmarkStart w:id="70" w:name="_Toc531255648"/>
      <w:r>
        <w:rPr>
          <w:lang w:val="sr-Latn-CS"/>
        </w:rPr>
        <w:t>Pod</w:t>
      </w:r>
      <w:r w:rsidR="00EB6AB6" w:rsidRPr="00EB6AB6">
        <w:rPr>
          <w:lang w:val="sr-Latn-CS"/>
        </w:rPr>
        <w:t>projektne aktivnosti i uticaji na životnu sredinu</w:t>
      </w:r>
      <w:bookmarkEnd w:id="70"/>
    </w:p>
    <w:p w:rsidR="00F3731A" w:rsidRPr="003B3244" w:rsidRDefault="00F3731A" w:rsidP="00F3731A">
      <w:pPr>
        <w:pStyle w:val="BodyText"/>
        <w:rPr>
          <w:rFonts w:cs="Times New Roman"/>
          <w:sz w:val="20"/>
          <w:lang w:val="sr-Latn-CS"/>
        </w:rPr>
      </w:pPr>
    </w:p>
    <w:p w:rsidR="00F3731A" w:rsidRPr="003B3244" w:rsidRDefault="00EB6AB6" w:rsidP="00F3731A">
      <w:pPr>
        <w:pStyle w:val="Heading3"/>
        <w:rPr>
          <w:lang w:val="sr-Latn-CS"/>
        </w:rPr>
      </w:pPr>
      <w:bookmarkStart w:id="71" w:name="_Toc531255649"/>
      <w:r w:rsidRPr="00EB6AB6">
        <w:rPr>
          <w:lang w:val="sr-Latn-CS"/>
        </w:rPr>
        <w:t xml:space="preserve">Kontrolna lista </w:t>
      </w:r>
      <w:r w:rsidR="000818B6">
        <w:rPr>
          <w:lang w:val="sr-Latn-CS"/>
        </w:rPr>
        <w:t>PUSŽS</w:t>
      </w:r>
      <w:r w:rsidRPr="00EB6AB6">
        <w:rPr>
          <w:lang w:val="sr-Latn-CS"/>
        </w:rPr>
        <w:t>-a</w:t>
      </w:r>
      <w:bookmarkEnd w:id="71"/>
    </w:p>
    <w:p w:rsidR="004E37BC" w:rsidRPr="004E37BC" w:rsidRDefault="004E37BC" w:rsidP="004E37BC">
      <w:pPr>
        <w:widowControl w:val="0"/>
        <w:autoSpaceDE w:val="0"/>
        <w:autoSpaceDN w:val="0"/>
        <w:spacing w:before="100" w:beforeAutospacing="1" w:after="100" w:afterAutospacing="1" w:line="240" w:lineRule="auto"/>
        <w:ind w:right="289"/>
        <w:jc w:val="both"/>
        <w:rPr>
          <w:rFonts w:ascii="Times New Roman" w:eastAsia="Arial" w:hAnsi="Times New Roman" w:cs="Times New Roman"/>
          <w:lang w:val="sr-Latn-CS"/>
        </w:rPr>
      </w:pPr>
      <w:r w:rsidRPr="004E37BC">
        <w:rPr>
          <w:rFonts w:ascii="Times New Roman" w:eastAsia="Arial" w:hAnsi="Times New Roman" w:cs="Times New Roman"/>
          <w:lang w:val="sr-Latn-CS"/>
        </w:rPr>
        <w:t xml:space="preserve">Kontrolna lista </w:t>
      </w:r>
      <w:r w:rsidR="000818B6">
        <w:rPr>
          <w:rFonts w:ascii="Times New Roman" w:eastAsia="Arial" w:hAnsi="Times New Roman" w:cs="Times New Roman"/>
          <w:lang w:val="sr-Latn-CS"/>
        </w:rPr>
        <w:t>PUSŽS</w:t>
      </w:r>
      <w:r w:rsidRPr="004E37BC">
        <w:rPr>
          <w:rFonts w:ascii="Times New Roman" w:eastAsia="Arial" w:hAnsi="Times New Roman" w:cs="Times New Roman"/>
          <w:lang w:val="sr-Latn-CS"/>
        </w:rPr>
        <w:t>-a se primenjuje za manje rehabilitacije ili male građevinske objekte. Pruža „pragmatičnu dobru praksu“ i dizajnirana je da bude korisna i kompatibilna sa zaštitnim merama SB-a. Obrazac kontrolne liste pokušava da pokrije tipične pristupe ublažavanju uobičajenih ugovora o građevinskim radovima sa lokalizovanim uticajima.</w:t>
      </w:r>
    </w:p>
    <w:p w:rsidR="004E37BC" w:rsidRPr="004E37BC" w:rsidRDefault="004E37BC" w:rsidP="004E37BC">
      <w:pPr>
        <w:spacing w:before="120"/>
        <w:jc w:val="both"/>
        <w:rPr>
          <w:rFonts w:ascii="Times New Roman" w:eastAsia="NSimSun" w:hAnsi="Times New Roman" w:cs="Times New Roman"/>
          <w:lang w:val="sr-Latn-CS"/>
        </w:rPr>
      </w:pPr>
      <w:r w:rsidRPr="004E37BC">
        <w:rPr>
          <w:rFonts w:ascii="Times New Roman" w:eastAsia="NSimSun" w:hAnsi="Times New Roman" w:cs="Times New Roman"/>
          <w:lang w:val="sr-Latn-CS"/>
        </w:rPr>
        <w:t xml:space="preserve">Kontrolna lista sadrži jedan uvodni deo i tri glavna dela: </w:t>
      </w:r>
    </w:p>
    <w:p w:rsidR="004E37BC" w:rsidRPr="004E37BC" w:rsidRDefault="004E37BC" w:rsidP="004E37BC">
      <w:pPr>
        <w:numPr>
          <w:ilvl w:val="0"/>
          <w:numId w:val="30"/>
        </w:numPr>
        <w:spacing w:before="120" w:after="0" w:line="240" w:lineRule="auto"/>
        <w:jc w:val="both"/>
        <w:rPr>
          <w:rFonts w:ascii="Times New Roman" w:eastAsia="NSimSun" w:hAnsi="Times New Roman" w:cs="Times New Roman"/>
          <w:lang w:val="sr-Latn-CS"/>
        </w:rPr>
      </w:pPr>
      <w:r w:rsidRPr="004E37BC">
        <w:rPr>
          <w:rFonts w:ascii="Times New Roman" w:eastAsia="NSimSun" w:hAnsi="Times New Roman" w:cs="Times New Roman"/>
          <w:lang w:val="sr-Latn-CS"/>
        </w:rPr>
        <w:t xml:space="preserve">Uvod ili predgovor u kojem je projekat predstavljen, kategorija životne sredine definisana i objašnjen je koncept kontrolne liste </w:t>
      </w:r>
      <w:r w:rsidR="000818B6">
        <w:rPr>
          <w:rFonts w:ascii="Times New Roman" w:eastAsia="NSimSun" w:hAnsi="Times New Roman" w:cs="Times New Roman"/>
          <w:lang w:val="sr-Latn-CS"/>
        </w:rPr>
        <w:t>PUSŽS</w:t>
      </w:r>
      <w:r w:rsidRPr="004E37BC">
        <w:rPr>
          <w:rFonts w:ascii="Times New Roman" w:eastAsia="NSimSun" w:hAnsi="Times New Roman" w:cs="Times New Roman"/>
          <w:lang w:val="sr-Latn-CS"/>
        </w:rPr>
        <w:t>-a.</w:t>
      </w:r>
    </w:p>
    <w:p w:rsidR="004E37BC" w:rsidRPr="004E37BC" w:rsidRDefault="004E37BC" w:rsidP="004E37BC">
      <w:pPr>
        <w:numPr>
          <w:ilvl w:val="0"/>
          <w:numId w:val="30"/>
        </w:numPr>
        <w:spacing w:before="120" w:after="0" w:line="240" w:lineRule="auto"/>
        <w:ind w:firstLine="0"/>
        <w:jc w:val="both"/>
        <w:rPr>
          <w:rFonts w:ascii="Times New Roman" w:eastAsia="NSimSun" w:hAnsi="Times New Roman" w:cs="Times New Roman"/>
          <w:lang w:val="sr-Latn-CS"/>
        </w:rPr>
      </w:pPr>
      <w:r w:rsidRPr="004E37BC">
        <w:rPr>
          <w:rFonts w:ascii="Times New Roman" w:eastAsia="NSimSun" w:hAnsi="Times New Roman" w:cs="Times New Roman"/>
          <w:b/>
          <w:lang w:val="sr-Latn-CS"/>
        </w:rPr>
        <w:t>1</w:t>
      </w:r>
      <w:r w:rsidRPr="004E37BC">
        <w:rPr>
          <w:rFonts w:ascii="Times New Roman" w:eastAsia="NSimSun" w:hAnsi="Times New Roman" w:cs="Times New Roman"/>
          <w:lang w:val="sr-Latn-CS"/>
        </w:rPr>
        <w:t xml:space="preserve"> </w:t>
      </w:r>
      <w:r w:rsidR="0033295F">
        <w:rPr>
          <w:rFonts w:ascii="Times New Roman" w:eastAsia="NSimSun" w:hAnsi="Times New Roman" w:cs="Times New Roman"/>
          <w:lang w:val="sr-Latn-CS"/>
        </w:rPr>
        <w:t xml:space="preserve">deo </w:t>
      </w:r>
      <w:r w:rsidRPr="004E37BC">
        <w:rPr>
          <w:rFonts w:ascii="Times New Roman" w:eastAsia="NSimSun" w:hAnsi="Times New Roman" w:cs="Times New Roman"/>
          <w:lang w:val="sr-Latn-CS"/>
        </w:rPr>
        <w:t>predstavlja opisni deo („</w:t>
      </w:r>
      <w:r w:rsidRPr="004E37BC">
        <w:rPr>
          <w:rFonts w:ascii="Times New Roman" w:eastAsia="NSimSun" w:hAnsi="Times New Roman" w:cs="Times New Roman"/>
          <w:i/>
          <w:lang w:val="sr-Latn-CS"/>
        </w:rPr>
        <w:t>pasoš lokacije</w:t>
      </w:r>
      <w:r w:rsidRPr="004E37BC">
        <w:rPr>
          <w:rFonts w:ascii="Times New Roman" w:eastAsia="NSimSun" w:hAnsi="Times New Roman" w:cs="Times New Roman"/>
          <w:lang w:val="sr-Latn-CS"/>
        </w:rPr>
        <w:t xml:space="preserve">“) koji sadrži specifičnosti projekta u pogledu fizičke lokacije, institucionalnih i zakonodavnih aspekata, opis projekta, uključujući potrebu za programom izgradnje kapaciteta i opis procesa javnih konsultacija. </w:t>
      </w:r>
    </w:p>
    <w:p w:rsidR="004E37BC" w:rsidRPr="004E37BC" w:rsidRDefault="004E37BC" w:rsidP="004E37BC">
      <w:pPr>
        <w:numPr>
          <w:ilvl w:val="0"/>
          <w:numId w:val="30"/>
        </w:numPr>
        <w:spacing w:before="120" w:after="0" w:line="240" w:lineRule="auto"/>
        <w:jc w:val="both"/>
        <w:rPr>
          <w:rFonts w:ascii="Times New Roman" w:eastAsia="NSimSun" w:hAnsi="Times New Roman" w:cs="Times New Roman"/>
          <w:lang w:val="sr-Latn-CS"/>
        </w:rPr>
      </w:pPr>
      <w:r w:rsidRPr="004E37BC">
        <w:rPr>
          <w:rFonts w:ascii="Times New Roman" w:eastAsia="NSimSun" w:hAnsi="Times New Roman" w:cs="Times New Roman"/>
          <w:b/>
          <w:lang w:val="sr-Latn-CS"/>
        </w:rPr>
        <w:t>2</w:t>
      </w:r>
      <w:r w:rsidR="0033295F">
        <w:rPr>
          <w:rFonts w:ascii="Times New Roman" w:eastAsia="NSimSun" w:hAnsi="Times New Roman" w:cs="Times New Roman"/>
          <w:b/>
          <w:lang w:val="sr-Latn-CS"/>
        </w:rPr>
        <w:t xml:space="preserve"> deo</w:t>
      </w:r>
      <w:r w:rsidRPr="004E37BC">
        <w:rPr>
          <w:rFonts w:ascii="Times New Roman" w:eastAsia="NSimSun" w:hAnsi="Times New Roman" w:cs="Times New Roman"/>
          <w:lang w:val="sr-Latn-CS"/>
        </w:rPr>
        <w:t xml:space="preserve"> uključuje ekološki i društveni skrining u jednostavnom Da/Ne obrascu, iz mere</w:t>
      </w:r>
    </w:p>
    <w:p w:rsidR="004E37BC" w:rsidRPr="004E37BC" w:rsidRDefault="004E37BC" w:rsidP="004E37BC">
      <w:pPr>
        <w:spacing w:before="120" w:after="0" w:line="240" w:lineRule="auto"/>
        <w:ind w:left="288"/>
        <w:jc w:val="both"/>
        <w:rPr>
          <w:rFonts w:ascii="Times New Roman" w:eastAsia="NSimSun" w:hAnsi="Times New Roman" w:cs="Times New Roman"/>
          <w:lang w:val="sr-Latn-CS"/>
        </w:rPr>
      </w:pPr>
      <w:r w:rsidRPr="004E37BC">
        <w:rPr>
          <w:rFonts w:ascii="Times New Roman" w:eastAsia="NSimSun" w:hAnsi="Times New Roman" w:cs="Times New Roman"/>
          <w:lang w:val="sr-Latn-CS"/>
        </w:rPr>
        <w:t xml:space="preserve">ublažavanja za svaku aktivnost. </w:t>
      </w:r>
    </w:p>
    <w:p w:rsidR="004E37BC" w:rsidRPr="004E37BC" w:rsidRDefault="004E37BC" w:rsidP="004E37BC">
      <w:pPr>
        <w:numPr>
          <w:ilvl w:val="0"/>
          <w:numId w:val="30"/>
        </w:numPr>
        <w:spacing w:before="120" w:after="0" w:line="240" w:lineRule="auto"/>
        <w:jc w:val="both"/>
        <w:rPr>
          <w:rFonts w:ascii="Times New Roman" w:eastAsia="NSimSun" w:hAnsi="Times New Roman" w:cs="Times New Roman"/>
          <w:lang w:val="sr-Latn-CS"/>
        </w:rPr>
      </w:pPr>
      <w:r w:rsidRPr="004E37BC">
        <w:rPr>
          <w:rFonts w:ascii="Times New Roman" w:eastAsia="NSimSun" w:hAnsi="Times New Roman" w:cs="Times New Roman"/>
          <w:b/>
          <w:lang w:val="sr-Latn-CS"/>
        </w:rPr>
        <w:lastRenderedPageBreak/>
        <w:t xml:space="preserve"> 3</w:t>
      </w:r>
      <w:r w:rsidRPr="004E37BC">
        <w:rPr>
          <w:rFonts w:ascii="Times New Roman" w:eastAsia="NSimSun" w:hAnsi="Times New Roman" w:cs="Times New Roman"/>
          <w:lang w:val="sr-Latn-CS"/>
        </w:rPr>
        <w:t xml:space="preserve"> </w:t>
      </w:r>
      <w:r w:rsidR="0033295F">
        <w:rPr>
          <w:rFonts w:ascii="Times New Roman" w:eastAsia="NSimSun" w:hAnsi="Times New Roman" w:cs="Times New Roman"/>
          <w:lang w:val="sr-Latn-CS"/>
        </w:rPr>
        <w:t xml:space="preserve">deo </w:t>
      </w:r>
      <w:r w:rsidRPr="004E37BC">
        <w:rPr>
          <w:rFonts w:ascii="Times New Roman" w:eastAsia="NSimSun" w:hAnsi="Times New Roman" w:cs="Times New Roman"/>
          <w:lang w:val="sr-Latn-CS"/>
        </w:rPr>
        <w:t xml:space="preserve">je plan praćenja aktivnosti tokom sprovođenja i izgradnje u okviru </w:t>
      </w:r>
      <w:r w:rsidR="00860B0B" w:rsidRPr="004E37BC">
        <w:rPr>
          <w:rFonts w:ascii="Times New Roman" w:eastAsia="NSimSun" w:hAnsi="Times New Roman" w:cs="Times New Roman"/>
          <w:lang w:val="sr-Latn-CS"/>
        </w:rPr>
        <w:t>projekta</w:t>
      </w:r>
      <w:r w:rsidRPr="004E37BC">
        <w:rPr>
          <w:rFonts w:ascii="Times New Roman" w:eastAsia="NSimSun" w:hAnsi="Times New Roman" w:cs="Times New Roman"/>
          <w:lang w:val="sr-Latn-CS"/>
        </w:rPr>
        <w:t xml:space="preserve">. Zadržava isti obrazac koji je potreban za standardne </w:t>
      </w:r>
      <w:r w:rsidR="000818B6">
        <w:rPr>
          <w:rFonts w:ascii="Times New Roman" w:eastAsia="NSimSun" w:hAnsi="Times New Roman" w:cs="Times New Roman"/>
          <w:lang w:val="sr-Latn-CS"/>
        </w:rPr>
        <w:t>PUSŽS</w:t>
      </w:r>
      <w:r w:rsidRPr="004E37BC">
        <w:rPr>
          <w:rFonts w:ascii="Times New Roman" w:eastAsia="NSimSun" w:hAnsi="Times New Roman" w:cs="Times New Roman"/>
          <w:lang w:val="sr-Latn-CS"/>
        </w:rPr>
        <w:t>-ove Svetske banke. Namera ove kontrolne liste je da deo 2 i 3 budu uključeni kao tenderska dokumentacija za izvođače radova.</w:t>
      </w:r>
    </w:p>
    <w:p w:rsidR="00F3731A" w:rsidRPr="003B3244" w:rsidRDefault="004E37BC" w:rsidP="004E37BC">
      <w:pPr>
        <w:spacing w:before="120"/>
        <w:jc w:val="both"/>
        <w:rPr>
          <w:rFonts w:ascii="Times New Roman" w:eastAsia="NSimSun" w:hAnsi="Times New Roman" w:cs="Times New Roman"/>
          <w:lang w:val="sr-Latn-CS"/>
        </w:rPr>
      </w:pPr>
      <w:r w:rsidRPr="004E37BC">
        <w:rPr>
          <w:rFonts w:ascii="Times New Roman" w:eastAsia="NSimSun" w:hAnsi="Times New Roman" w:cs="Times New Roman"/>
          <w:lang w:val="sr-Latn-CS"/>
        </w:rPr>
        <w:t xml:space="preserve">Kontrolna lista </w:t>
      </w:r>
      <w:r w:rsidR="000818B6">
        <w:rPr>
          <w:rFonts w:ascii="Times New Roman" w:eastAsia="NSimSun" w:hAnsi="Times New Roman" w:cs="Times New Roman"/>
          <w:lang w:val="sr-Latn-CS"/>
        </w:rPr>
        <w:t>PUSŽS</w:t>
      </w:r>
      <w:r w:rsidRPr="004E37BC">
        <w:rPr>
          <w:rFonts w:ascii="Times New Roman" w:eastAsia="NSimSun" w:hAnsi="Times New Roman" w:cs="Times New Roman"/>
          <w:lang w:val="sr-Latn-CS"/>
        </w:rPr>
        <w:t xml:space="preserve">-a (delovi 1-3) će biti ažurirana i dopunjena za svaki potprojekat kako bi bila u skladu sa </w:t>
      </w:r>
      <w:r w:rsidR="000818B6">
        <w:rPr>
          <w:rFonts w:ascii="Times New Roman" w:eastAsia="NSimSun" w:hAnsi="Times New Roman" w:cs="Times New Roman"/>
          <w:lang w:val="sr-Latn-CS"/>
        </w:rPr>
        <w:t>OUSŽS</w:t>
      </w:r>
      <w:r w:rsidRPr="004E37BC">
        <w:rPr>
          <w:rFonts w:ascii="Times New Roman" w:eastAsia="NSimSun" w:hAnsi="Times New Roman" w:cs="Times New Roman"/>
          <w:lang w:val="sr-Latn-CS"/>
        </w:rPr>
        <w:t>-om</w:t>
      </w:r>
      <w:r w:rsidR="00F3731A" w:rsidRPr="003B3244">
        <w:rPr>
          <w:rFonts w:ascii="Times New Roman" w:eastAsia="NSimSun" w:hAnsi="Times New Roman" w:cs="Times New Roman"/>
          <w:lang w:val="sr-Latn-CS"/>
        </w:rPr>
        <w:t xml:space="preserve">. </w:t>
      </w:r>
    </w:p>
    <w:p w:rsidR="00F3731A" w:rsidRPr="003B3244" w:rsidRDefault="004E37BC" w:rsidP="00F3731A">
      <w:pPr>
        <w:pStyle w:val="Heading3"/>
        <w:rPr>
          <w:lang w:val="sr-Latn-CS"/>
        </w:rPr>
      </w:pPr>
      <w:bookmarkStart w:id="72" w:name="_Toc531255650"/>
      <w:r w:rsidRPr="004E37BC">
        <w:rPr>
          <w:lang w:val="sr-Latn-CS"/>
        </w:rPr>
        <w:t>Primena kontrolne liste EMP-a</w:t>
      </w:r>
      <w:bookmarkEnd w:id="72"/>
    </w:p>
    <w:p w:rsidR="00C1751A" w:rsidRPr="00C1751A" w:rsidRDefault="00C1751A" w:rsidP="00C1751A">
      <w:pPr>
        <w:spacing w:before="120"/>
        <w:jc w:val="both"/>
        <w:rPr>
          <w:rFonts w:ascii="Times New Roman" w:eastAsia="NSimSun" w:hAnsi="Times New Roman" w:cs="Times New Roman"/>
          <w:lang w:val="sr-Latn-CS"/>
        </w:rPr>
      </w:pPr>
      <w:r w:rsidRPr="00C1751A">
        <w:rPr>
          <w:rFonts w:ascii="Times New Roman" w:eastAsia="NSimSun" w:hAnsi="Times New Roman" w:cs="Times New Roman"/>
          <w:lang w:val="sr-Latn-CS"/>
        </w:rPr>
        <w:t xml:space="preserve">Proces projektovanja za predviđene građevinske radove u okviru projekta biće sproveden u tri faze: </w:t>
      </w:r>
    </w:p>
    <w:p w:rsidR="00C1751A" w:rsidRPr="00C1751A" w:rsidRDefault="00C1751A" w:rsidP="00C1751A">
      <w:pPr>
        <w:numPr>
          <w:ilvl w:val="0"/>
          <w:numId w:val="31"/>
        </w:numPr>
        <w:spacing w:before="120" w:after="0" w:line="240" w:lineRule="auto"/>
        <w:jc w:val="both"/>
        <w:rPr>
          <w:rFonts w:ascii="Times New Roman" w:eastAsia="NSimSun" w:hAnsi="Times New Roman" w:cs="Times New Roman"/>
          <w:lang w:val="sr-Latn-CS"/>
        </w:rPr>
      </w:pPr>
      <w:r w:rsidRPr="00C1751A">
        <w:rPr>
          <w:rFonts w:ascii="Times New Roman" w:eastAsia="NSimSun" w:hAnsi="Times New Roman" w:cs="Times New Roman"/>
          <w:i/>
          <w:lang w:val="sr-Latn-CS"/>
        </w:rPr>
        <w:t>Faza generalne identifikacije i određivanja opsega</w:t>
      </w:r>
      <w:r w:rsidRPr="00C1751A">
        <w:rPr>
          <w:rFonts w:ascii="Times New Roman" w:eastAsia="NSimSun" w:hAnsi="Times New Roman" w:cs="Times New Roman"/>
          <w:lang w:val="sr-Latn-CS"/>
        </w:rPr>
        <w:t xml:space="preserve">, u kojoj su odabrane lokacije ili objekti (npr. omladinski centri, itd.) za rehabilitaciju, i izrađen je okvirni program za potencijalne tipologije rada. U ovoj fazi su popunjeni delovi 1, 2 i 3 kontrolne liste </w:t>
      </w:r>
      <w:r w:rsidR="000818B6">
        <w:rPr>
          <w:rFonts w:ascii="Times New Roman" w:eastAsia="NSimSun" w:hAnsi="Times New Roman" w:cs="Times New Roman"/>
          <w:lang w:val="sr-Latn-CS"/>
        </w:rPr>
        <w:t>PUSŽS</w:t>
      </w:r>
      <w:r w:rsidRPr="00C1751A">
        <w:rPr>
          <w:rFonts w:ascii="Times New Roman" w:eastAsia="NSimSun" w:hAnsi="Times New Roman" w:cs="Times New Roman"/>
          <w:lang w:val="sr-Latn-CS"/>
        </w:rPr>
        <w:t xml:space="preserve">-a. Deo 2 kontrolne liste </w:t>
      </w:r>
      <w:r w:rsidR="000818B6">
        <w:rPr>
          <w:rFonts w:ascii="Times New Roman" w:eastAsia="NSimSun" w:hAnsi="Times New Roman" w:cs="Times New Roman"/>
          <w:lang w:val="sr-Latn-CS"/>
        </w:rPr>
        <w:t>PUSŽS</w:t>
      </w:r>
      <w:r w:rsidRPr="00C1751A">
        <w:rPr>
          <w:rFonts w:ascii="Times New Roman" w:eastAsia="NSimSun" w:hAnsi="Times New Roman" w:cs="Times New Roman"/>
          <w:lang w:val="sr-Latn-CS"/>
        </w:rPr>
        <w:t>-a se može koristiti za odabir  tipičnih aktivnosti sa „menija“ i povezivanje istih sa tipičnim problemima životne sredine i merama ublažavanja.</w:t>
      </w:r>
    </w:p>
    <w:p w:rsidR="00C1751A" w:rsidRPr="00C1751A" w:rsidRDefault="00C1751A" w:rsidP="00C1751A">
      <w:pPr>
        <w:numPr>
          <w:ilvl w:val="0"/>
          <w:numId w:val="31"/>
        </w:numPr>
        <w:spacing w:before="120" w:after="0" w:line="240" w:lineRule="auto"/>
        <w:jc w:val="both"/>
        <w:rPr>
          <w:rFonts w:ascii="Times New Roman" w:eastAsia="NSimSun" w:hAnsi="Times New Roman" w:cs="Times New Roman"/>
          <w:lang w:val="sr-Latn-CS"/>
        </w:rPr>
      </w:pPr>
      <w:r w:rsidRPr="00C1751A">
        <w:rPr>
          <w:rFonts w:ascii="Times New Roman" w:eastAsia="NSimSun" w:hAnsi="Times New Roman" w:cs="Times New Roman"/>
          <w:i/>
          <w:lang w:val="sr-Latn-CS"/>
        </w:rPr>
        <w:t>Detaljna faza projektovanja i izrade tendera</w:t>
      </w:r>
      <w:r w:rsidRPr="00C1751A">
        <w:rPr>
          <w:rFonts w:ascii="Times New Roman" w:eastAsia="NSimSun" w:hAnsi="Times New Roman" w:cs="Times New Roman"/>
          <w:lang w:val="sr-Latn-CS"/>
        </w:rPr>
        <w:t xml:space="preserve">, uključujući specifikacije i uslove. Kontrolna lista </w:t>
      </w:r>
      <w:r w:rsidR="000818B6">
        <w:rPr>
          <w:rFonts w:ascii="Times New Roman" w:eastAsia="NSimSun" w:hAnsi="Times New Roman" w:cs="Times New Roman"/>
          <w:lang w:val="sr-Latn-CS"/>
        </w:rPr>
        <w:t>PUSŽS</w:t>
      </w:r>
      <w:r w:rsidRPr="00C1751A">
        <w:rPr>
          <w:rFonts w:ascii="Times New Roman" w:eastAsia="NSimSun" w:hAnsi="Times New Roman" w:cs="Times New Roman"/>
          <w:lang w:val="sr-Latn-CS"/>
        </w:rPr>
        <w:t xml:space="preserve">-a je revidirana u skladu sa poznatim detaljima o dizajnu u ovoj fazi. Kao takva, kontrolna lista se prezentuje javnosti pre tenderske procedure. Ova faza uključuje i tender i dodelu ugovora o radovima. Celokupni popunjeni tabelarni </w:t>
      </w:r>
      <w:r w:rsidR="000818B6">
        <w:rPr>
          <w:rFonts w:ascii="Times New Roman" w:eastAsia="NSimSun" w:hAnsi="Times New Roman" w:cs="Times New Roman"/>
          <w:lang w:val="sr-Latn-CS"/>
        </w:rPr>
        <w:t>PUSŽS</w:t>
      </w:r>
      <w:r w:rsidRPr="00C1751A">
        <w:rPr>
          <w:rFonts w:ascii="Times New Roman" w:eastAsia="NSimSun" w:hAnsi="Times New Roman" w:cs="Times New Roman"/>
          <w:lang w:val="sr-Latn-CS"/>
        </w:rPr>
        <w:t xml:space="preserve"> (deo 1, 2 i 3) treba da bude dodatno priložen kao sastavni deo ugovora o radovima, kao i ugovora o nadzoru, analogno svim tehničkim i komercijalnim uslovima, koje takođe moraju da potpišu ugovorne strane.</w:t>
      </w:r>
    </w:p>
    <w:p w:rsidR="00F3731A" w:rsidRPr="003B3244" w:rsidRDefault="00C1751A" w:rsidP="00C1751A">
      <w:pPr>
        <w:numPr>
          <w:ilvl w:val="0"/>
          <w:numId w:val="31"/>
        </w:numPr>
        <w:spacing w:before="120" w:after="0" w:line="240" w:lineRule="auto"/>
        <w:jc w:val="both"/>
        <w:rPr>
          <w:rFonts w:ascii="Times New Roman" w:eastAsia="NSimSun" w:hAnsi="Times New Roman" w:cs="Times New Roman"/>
          <w:lang w:val="sr-Latn-CS"/>
        </w:rPr>
      </w:pPr>
      <w:r w:rsidRPr="00C1751A">
        <w:rPr>
          <w:rFonts w:ascii="Times New Roman" w:eastAsia="NSimSun" w:hAnsi="Times New Roman" w:cs="Times New Roman"/>
          <w:i/>
          <w:lang w:val="sr-Latn-CS"/>
        </w:rPr>
        <w:t>Tokom faze sprovođenja radova,</w:t>
      </w:r>
      <w:r w:rsidRPr="00C1751A">
        <w:rPr>
          <w:rFonts w:ascii="Times New Roman" w:eastAsia="NSimSun" w:hAnsi="Times New Roman" w:cs="Times New Roman"/>
          <w:lang w:val="sr-Latn-CS"/>
        </w:rPr>
        <w:t xml:space="preserve"> sertifikovani inspektor/nadzornik vrši proveru zaštite životne sredine na odgovarajućoj lokaciji, što uključuje i inženjera za nadzor lokacije i/ili konsultanta za zaštitu životne sredine u okviru JUP-a i relevantne inspekcijske službe Ministarstva životne sredine. Mere ublažavanja u delu 2 i plan praćenja u delu 3 su osnova za proveru usklađenosti izvođača radova sa potrebnim odredbama o životnoj sredini</w:t>
      </w:r>
      <w:r w:rsidR="00F3731A" w:rsidRPr="003B3244">
        <w:rPr>
          <w:rFonts w:ascii="Times New Roman" w:eastAsia="NSimSun" w:hAnsi="Times New Roman" w:cs="Times New Roman"/>
          <w:lang w:val="sr-Latn-CS"/>
        </w:rPr>
        <w:t>.</w:t>
      </w:r>
    </w:p>
    <w:p w:rsidR="0073525C" w:rsidRPr="003B3244" w:rsidRDefault="0073525C" w:rsidP="00F3731A">
      <w:pPr>
        <w:pStyle w:val="Heading2"/>
        <w:rPr>
          <w:rFonts w:eastAsia="NSimSun"/>
          <w:lang w:val="sr-Latn-CS"/>
        </w:rPr>
      </w:pPr>
    </w:p>
    <w:p w:rsidR="00F3731A" w:rsidRPr="003B3244" w:rsidRDefault="00C1751A" w:rsidP="00F3731A">
      <w:pPr>
        <w:pStyle w:val="Heading2"/>
        <w:rPr>
          <w:rFonts w:eastAsia="NSimSun"/>
          <w:lang w:val="sr-Latn-CS"/>
        </w:rPr>
      </w:pPr>
      <w:bookmarkStart w:id="73" w:name="_Toc531255651"/>
      <w:r w:rsidRPr="00C1751A">
        <w:rPr>
          <w:rFonts w:eastAsia="NSimSun"/>
          <w:lang w:val="sr-Latn-CS"/>
        </w:rPr>
        <w:t>Praćenje i izveštavanje</w:t>
      </w:r>
      <w:bookmarkEnd w:id="73"/>
    </w:p>
    <w:p w:rsidR="00EF352F" w:rsidRPr="00EF352F" w:rsidRDefault="00EF352F" w:rsidP="00EF352F">
      <w:pPr>
        <w:pStyle w:val="BodyText"/>
        <w:spacing w:before="100" w:beforeAutospacing="1" w:after="100" w:afterAutospacing="1"/>
        <w:ind w:right="289"/>
        <w:rPr>
          <w:rFonts w:cs="Times New Roman"/>
          <w:lang w:val="sr-Latn-CS"/>
        </w:rPr>
      </w:pPr>
      <w:r w:rsidRPr="00EF352F">
        <w:rPr>
          <w:rFonts w:cs="Times New Roman"/>
          <w:lang w:val="sr-Latn-CS"/>
        </w:rPr>
        <w:t xml:space="preserve">Za praćenje odgovarajućih zaštitnih mera izvođača radova, inženjer za nadzor gradilišta radi sa delom 3. kontrolne liste </w:t>
      </w:r>
      <w:r w:rsidR="000818B6">
        <w:rPr>
          <w:rFonts w:cs="Times New Roman"/>
          <w:lang w:val="sr-Latn-CS"/>
        </w:rPr>
        <w:t>PUSŽS</w:t>
      </w:r>
      <w:r w:rsidRPr="00EF352F">
        <w:rPr>
          <w:rFonts w:cs="Times New Roman"/>
          <w:lang w:val="sr-Latn-CS"/>
        </w:rPr>
        <w:t>-a, tj. sa planom p</w:t>
      </w:r>
      <w:r w:rsidR="0033295F">
        <w:rPr>
          <w:rFonts w:cs="Times New Roman"/>
          <w:lang w:val="sr-Latn-CS"/>
        </w:rPr>
        <w:t xml:space="preserve">raćenja. </w:t>
      </w:r>
      <w:r w:rsidRPr="00EF352F">
        <w:rPr>
          <w:rFonts w:cs="Times New Roman"/>
          <w:lang w:val="sr-Latn-CS"/>
        </w:rPr>
        <w:t>3</w:t>
      </w:r>
      <w:r w:rsidR="0033295F">
        <w:rPr>
          <w:rFonts w:cs="Times New Roman"/>
          <w:lang w:val="sr-Latn-CS"/>
        </w:rPr>
        <w:t xml:space="preserve"> deo</w:t>
      </w:r>
      <w:r w:rsidRPr="00EF352F">
        <w:rPr>
          <w:rFonts w:cs="Times New Roman"/>
          <w:lang w:val="sr-Latn-CS"/>
        </w:rPr>
        <w:t xml:space="preserve"> </w:t>
      </w:r>
      <w:r w:rsidR="0033295F" w:rsidRPr="0033295F">
        <w:rPr>
          <w:rFonts w:cs="Times New Roman"/>
          <w:lang w:val="sr-Latn-CS"/>
        </w:rPr>
        <w:t>je razvijen na konkretnom mestu od strane korisnika sredstava i neophodnim detaljima</w:t>
      </w:r>
      <w:r w:rsidRPr="00EF352F">
        <w:rPr>
          <w:rFonts w:cs="Times New Roman"/>
          <w:lang w:val="sr-Latn-CS"/>
        </w:rPr>
        <w:t xml:space="preserve">, definiše jasne mere ublažavanja i praćenja koje mogu biti uključene u ugovorima o radovima, koji odražavaju status prakse zaštite životne sredine na gradilištu i koje mogu biti razmotrene/izmerene/kvantifikovane/verifikovane od strane inspektora tokom građevinskih radova. </w:t>
      </w:r>
    </w:p>
    <w:p w:rsidR="00F3731A" w:rsidRPr="003B3244" w:rsidRDefault="00EF352F" w:rsidP="00EF352F">
      <w:pPr>
        <w:pStyle w:val="BodyText"/>
        <w:spacing w:before="100" w:beforeAutospacing="1" w:after="100" w:afterAutospacing="1"/>
        <w:ind w:right="289"/>
        <w:rPr>
          <w:rFonts w:cs="Times New Roman"/>
          <w:lang w:val="sr-Latn-CS"/>
        </w:rPr>
      </w:pPr>
      <w:r w:rsidRPr="00EF352F">
        <w:rPr>
          <w:rFonts w:cs="Times New Roman"/>
          <w:lang w:val="sr-Latn-CS"/>
        </w:rPr>
        <w:t>3</w:t>
      </w:r>
      <w:r w:rsidR="0033295F">
        <w:rPr>
          <w:rFonts w:cs="Times New Roman"/>
          <w:lang w:val="sr-Latn-CS"/>
        </w:rPr>
        <w:t xml:space="preserve"> deo</w:t>
      </w:r>
      <w:r w:rsidRPr="00EF352F">
        <w:rPr>
          <w:rFonts w:cs="Times New Roman"/>
          <w:lang w:val="sr-Latn-CS"/>
        </w:rPr>
        <w:t xml:space="preserve"> bi tako bio ažuriran i revidiran tokom procesa projektovanja kako bi praktično odražavao ključne kriterijume praćenja koji se mogu proveriti tokom i nakon radova za osiguranje usklađenosti i na kraju za plaćanje izvođača radova</w:t>
      </w:r>
      <w:r w:rsidR="00F3731A" w:rsidRPr="003B3244">
        <w:rPr>
          <w:rFonts w:cs="Times New Roman"/>
          <w:lang w:val="sr-Latn-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4462"/>
        <w:gridCol w:w="3244"/>
      </w:tblGrid>
      <w:tr w:rsidR="00F3731A" w:rsidRPr="003B3244" w:rsidTr="003B3244">
        <w:trPr>
          <w:jc w:val="center"/>
        </w:trPr>
        <w:tc>
          <w:tcPr>
            <w:tcW w:w="5000" w:type="pct"/>
            <w:gridSpan w:val="3"/>
            <w:tcBorders>
              <w:bottom w:val="dotted" w:sz="4" w:space="0" w:color="auto"/>
            </w:tcBorders>
            <w:shd w:val="clear" w:color="auto" w:fill="E6E6E6"/>
          </w:tcPr>
          <w:p w:rsidR="00F3731A" w:rsidRPr="003B3244" w:rsidRDefault="00471C7B" w:rsidP="003B3244">
            <w:pPr>
              <w:jc w:val="both"/>
              <w:rPr>
                <w:rFonts w:eastAsia="NSimSun"/>
                <w:b/>
                <w:lang w:val="sr-Latn-CS"/>
              </w:rPr>
            </w:pPr>
            <w:r w:rsidRPr="00471C7B">
              <w:rPr>
                <w:rFonts w:eastAsia="NSimSun"/>
                <w:b/>
                <w:lang w:val="sr-Latn-CS"/>
              </w:rPr>
              <w:t>DEO 1: INSTITUCIONALNI I ADMINISTRATIVNI</w:t>
            </w:r>
          </w:p>
        </w:tc>
      </w:tr>
      <w:tr w:rsidR="00471C7B" w:rsidRPr="003B3244" w:rsidTr="003B3244">
        <w:trPr>
          <w:trHeight w:val="278"/>
          <w:jc w:val="center"/>
        </w:trPr>
        <w:tc>
          <w:tcPr>
            <w:tcW w:w="1109" w:type="pct"/>
            <w:tcBorders>
              <w:top w:val="dotted" w:sz="4" w:space="0" w:color="auto"/>
              <w:bottom w:val="dotted" w:sz="4" w:space="0" w:color="auto"/>
            </w:tcBorders>
            <w:vAlign w:val="center"/>
          </w:tcPr>
          <w:p w:rsidR="00471C7B" w:rsidRPr="00677177" w:rsidRDefault="00471C7B" w:rsidP="00EF0E9D">
            <w:pPr>
              <w:jc w:val="both"/>
              <w:rPr>
                <w:rFonts w:eastAsia="NSimSun"/>
                <w:lang w:val="sr-Latn-CS"/>
              </w:rPr>
            </w:pPr>
            <w:r w:rsidRPr="00677177">
              <w:rPr>
                <w:rFonts w:eastAsia="NSimSun"/>
                <w:lang w:val="sr-Latn-CS"/>
              </w:rPr>
              <w:t>Država</w:t>
            </w:r>
          </w:p>
        </w:tc>
        <w:tc>
          <w:tcPr>
            <w:tcW w:w="3891" w:type="pct"/>
            <w:gridSpan w:val="2"/>
            <w:tcBorders>
              <w:top w:val="dotted" w:sz="4" w:space="0" w:color="auto"/>
              <w:bottom w:val="dotted" w:sz="4" w:space="0" w:color="auto"/>
            </w:tcBorders>
            <w:vAlign w:val="center"/>
          </w:tcPr>
          <w:p w:rsidR="00471C7B" w:rsidRPr="003B3244" w:rsidRDefault="00471C7B" w:rsidP="003B3244">
            <w:pPr>
              <w:jc w:val="both"/>
              <w:rPr>
                <w:rFonts w:eastAsia="NSimSun"/>
                <w:lang w:val="sr-Latn-CS"/>
              </w:rPr>
            </w:pPr>
          </w:p>
        </w:tc>
      </w:tr>
      <w:tr w:rsidR="00471C7B" w:rsidRPr="003B3244" w:rsidTr="003B3244">
        <w:trPr>
          <w:trHeight w:val="278"/>
          <w:jc w:val="center"/>
        </w:trPr>
        <w:tc>
          <w:tcPr>
            <w:tcW w:w="1109" w:type="pct"/>
            <w:tcBorders>
              <w:top w:val="dotted" w:sz="4" w:space="0" w:color="auto"/>
              <w:bottom w:val="dotted" w:sz="4" w:space="0" w:color="auto"/>
            </w:tcBorders>
            <w:vAlign w:val="center"/>
          </w:tcPr>
          <w:p w:rsidR="00471C7B" w:rsidRPr="00677177" w:rsidRDefault="00471C7B" w:rsidP="00EF0E9D">
            <w:pPr>
              <w:jc w:val="both"/>
              <w:rPr>
                <w:rFonts w:eastAsia="NSimSun"/>
                <w:lang w:val="sr-Latn-CS"/>
              </w:rPr>
            </w:pPr>
            <w:r w:rsidRPr="00677177">
              <w:rPr>
                <w:rFonts w:eastAsia="NSimSun"/>
                <w:lang w:val="sr-Latn-CS"/>
              </w:rPr>
              <w:t>Naziv projekta</w:t>
            </w:r>
          </w:p>
        </w:tc>
        <w:tc>
          <w:tcPr>
            <w:tcW w:w="3891" w:type="pct"/>
            <w:gridSpan w:val="2"/>
            <w:tcBorders>
              <w:top w:val="dotted" w:sz="4" w:space="0" w:color="auto"/>
              <w:bottom w:val="dotted" w:sz="4" w:space="0" w:color="auto"/>
            </w:tcBorders>
            <w:vAlign w:val="center"/>
          </w:tcPr>
          <w:p w:rsidR="00471C7B" w:rsidRPr="003B3244" w:rsidRDefault="00471C7B" w:rsidP="003B3244">
            <w:pPr>
              <w:jc w:val="both"/>
              <w:rPr>
                <w:rFonts w:eastAsia="NSimSun"/>
                <w:lang w:val="sr-Latn-CS"/>
              </w:rPr>
            </w:pPr>
          </w:p>
        </w:tc>
      </w:tr>
      <w:tr w:rsidR="00471C7B" w:rsidRPr="003B3244" w:rsidTr="003B3244">
        <w:trPr>
          <w:trHeight w:val="278"/>
          <w:jc w:val="center"/>
        </w:trPr>
        <w:tc>
          <w:tcPr>
            <w:tcW w:w="1109" w:type="pct"/>
            <w:tcBorders>
              <w:top w:val="dotted" w:sz="4" w:space="0" w:color="auto"/>
              <w:bottom w:val="dotted" w:sz="4" w:space="0" w:color="auto"/>
            </w:tcBorders>
            <w:vAlign w:val="center"/>
          </w:tcPr>
          <w:p w:rsidR="00471C7B" w:rsidRPr="00677177" w:rsidRDefault="00471C7B" w:rsidP="00EF0E9D">
            <w:pPr>
              <w:jc w:val="both"/>
              <w:rPr>
                <w:rFonts w:eastAsia="NSimSun"/>
                <w:lang w:val="sr-Latn-CS"/>
              </w:rPr>
            </w:pPr>
            <w:r>
              <w:rPr>
                <w:rFonts w:eastAsia="NSimSun"/>
                <w:lang w:val="sr-Latn-CS"/>
              </w:rPr>
              <w:t>Područje primene projekta i aktivnosti</w:t>
            </w:r>
          </w:p>
        </w:tc>
        <w:tc>
          <w:tcPr>
            <w:tcW w:w="3891" w:type="pct"/>
            <w:gridSpan w:val="2"/>
            <w:tcBorders>
              <w:top w:val="dotted" w:sz="4" w:space="0" w:color="auto"/>
              <w:bottom w:val="dotted" w:sz="4" w:space="0" w:color="auto"/>
            </w:tcBorders>
            <w:vAlign w:val="center"/>
          </w:tcPr>
          <w:p w:rsidR="00471C7B" w:rsidRPr="003B3244" w:rsidRDefault="00471C7B" w:rsidP="003B3244">
            <w:pPr>
              <w:jc w:val="both"/>
              <w:rPr>
                <w:rFonts w:eastAsia="NSimSun"/>
                <w:lang w:val="sr-Latn-CS"/>
              </w:rPr>
            </w:pPr>
          </w:p>
        </w:tc>
      </w:tr>
      <w:tr w:rsidR="00471C7B" w:rsidRPr="003B3244" w:rsidTr="003B3244">
        <w:trPr>
          <w:trHeight w:val="314"/>
          <w:jc w:val="center"/>
        </w:trPr>
        <w:tc>
          <w:tcPr>
            <w:tcW w:w="1109" w:type="pct"/>
            <w:vMerge w:val="restart"/>
            <w:tcBorders>
              <w:top w:val="dotted" w:sz="4" w:space="0" w:color="auto"/>
            </w:tcBorders>
            <w:vAlign w:val="center"/>
          </w:tcPr>
          <w:p w:rsidR="00471C7B" w:rsidRPr="00677177" w:rsidRDefault="00471C7B" w:rsidP="00EF0E9D">
            <w:pPr>
              <w:jc w:val="both"/>
              <w:rPr>
                <w:rFonts w:eastAsia="NSimSun"/>
                <w:lang w:val="sr-Latn-CS"/>
              </w:rPr>
            </w:pPr>
            <w:r w:rsidRPr="0088556A">
              <w:rPr>
                <w:rFonts w:eastAsia="NSimSun"/>
                <w:lang w:val="sr-Latn-CS"/>
              </w:rPr>
              <w:t xml:space="preserve">Institucionalni aranžmani </w:t>
            </w:r>
            <w:r w:rsidRPr="00677177">
              <w:rPr>
                <w:rFonts w:eastAsia="NSimSun"/>
                <w:lang w:val="sr-Latn-CS"/>
              </w:rPr>
              <w:t>(</w:t>
            </w:r>
            <w:r>
              <w:rPr>
                <w:rFonts w:eastAsia="NSimSun"/>
                <w:lang w:val="sr-Latn-CS"/>
              </w:rPr>
              <w:t>Ime i kontakt podaci</w:t>
            </w:r>
            <w:r w:rsidRPr="00677177">
              <w:rPr>
                <w:rFonts w:eastAsia="NSimSun"/>
                <w:lang w:val="sr-Latn-CS"/>
              </w:rPr>
              <w:t>)</w:t>
            </w:r>
          </w:p>
        </w:tc>
        <w:tc>
          <w:tcPr>
            <w:tcW w:w="3891" w:type="pct"/>
            <w:gridSpan w:val="2"/>
            <w:tcBorders>
              <w:top w:val="dotted" w:sz="4" w:space="0" w:color="auto"/>
              <w:bottom w:val="dotted" w:sz="4" w:space="0" w:color="auto"/>
            </w:tcBorders>
            <w:vAlign w:val="center"/>
          </w:tcPr>
          <w:p w:rsidR="00471C7B" w:rsidRPr="003B3244" w:rsidRDefault="00471C7B" w:rsidP="003B3244">
            <w:pPr>
              <w:jc w:val="both"/>
              <w:rPr>
                <w:rFonts w:eastAsia="NSimSun"/>
                <w:b/>
                <w:lang w:val="sr-Latn-CS"/>
              </w:rPr>
            </w:pPr>
            <w:r w:rsidRPr="00471C7B">
              <w:rPr>
                <w:rFonts w:eastAsia="NSimSun"/>
                <w:b/>
                <w:lang w:val="sr-Latn-CS"/>
              </w:rPr>
              <w:t>Upravljanje projektom</w:t>
            </w:r>
          </w:p>
        </w:tc>
      </w:tr>
      <w:tr w:rsidR="00471C7B" w:rsidRPr="003B3244" w:rsidTr="003B3244">
        <w:trPr>
          <w:trHeight w:val="945"/>
          <w:jc w:val="center"/>
        </w:trPr>
        <w:tc>
          <w:tcPr>
            <w:tcW w:w="1109" w:type="pct"/>
            <w:vMerge/>
            <w:tcBorders>
              <w:bottom w:val="dotted" w:sz="4" w:space="0" w:color="auto"/>
            </w:tcBorders>
            <w:vAlign w:val="center"/>
          </w:tcPr>
          <w:p w:rsidR="00471C7B" w:rsidRPr="003B3244" w:rsidRDefault="00471C7B" w:rsidP="003B3244">
            <w:pPr>
              <w:jc w:val="both"/>
              <w:rPr>
                <w:rFonts w:eastAsia="NSimSun"/>
                <w:lang w:val="sr-Latn-CS"/>
              </w:rPr>
            </w:pPr>
          </w:p>
        </w:tc>
        <w:tc>
          <w:tcPr>
            <w:tcW w:w="2253" w:type="pct"/>
            <w:tcBorders>
              <w:top w:val="dotted" w:sz="4" w:space="0" w:color="auto"/>
              <w:bottom w:val="dotted" w:sz="4" w:space="0" w:color="auto"/>
            </w:tcBorders>
            <w:vAlign w:val="center"/>
          </w:tcPr>
          <w:p w:rsidR="00471C7B" w:rsidRPr="003B3244" w:rsidRDefault="00471C7B" w:rsidP="003B3244">
            <w:pPr>
              <w:jc w:val="both"/>
              <w:rPr>
                <w:rFonts w:eastAsia="NSimSun"/>
                <w:lang w:val="sr-Latn-CS"/>
              </w:rPr>
            </w:pPr>
          </w:p>
        </w:tc>
        <w:tc>
          <w:tcPr>
            <w:tcW w:w="1638" w:type="pct"/>
            <w:tcBorders>
              <w:top w:val="dotted" w:sz="4" w:space="0" w:color="auto"/>
              <w:bottom w:val="dotted" w:sz="4" w:space="0" w:color="auto"/>
            </w:tcBorders>
            <w:vAlign w:val="center"/>
          </w:tcPr>
          <w:p w:rsidR="00471C7B" w:rsidRPr="003B3244" w:rsidRDefault="00471C7B" w:rsidP="003B3244">
            <w:pPr>
              <w:jc w:val="both"/>
              <w:rPr>
                <w:rFonts w:eastAsia="NSimSun"/>
                <w:lang w:val="sr-Latn-CS"/>
              </w:rPr>
            </w:pPr>
          </w:p>
          <w:p w:rsidR="00471C7B" w:rsidRPr="003B3244" w:rsidRDefault="00471C7B" w:rsidP="003B3244">
            <w:pPr>
              <w:jc w:val="both"/>
              <w:rPr>
                <w:rFonts w:eastAsia="NSimSun"/>
                <w:lang w:val="sr-Latn-CS"/>
              </w:rPr>
            </w:pPr>
          </w:p>
        </w:tc>
      </w:tr>
      <w:tr w:rsidR="00471C7B" w:rsidRPr="003B3244" w:rsidTr="003B3244">
        <w:trPr>
          <w:trHeight w:val="449"/>
          <w:jc w:val="center"/>
        </w:trPr>
        <w:tc>
          <w:tcPr>
            <w:tcW w:w="1109" w:type="pct"/>
            <w:vMerge w:val="restart"/>
            <w:tcBorders>
              <w:top w:val="dotted" w:sz="4" w:space="0" w:color="auto"/>
            </w:tcBorders>
            <w:vAlign w:val="center"/>
          </w:tcPr>
          <w:p w:rsidR="00471C7B" w:rsidRPr="00B25ADB" w:rsidRDefault="00471C7B" w:rsidP="00EF0E9D">
            <w:pPr>
              <w:jc w:val="both"/>
              <w:rPr>
                <w:rFonts w:eastAsia="NSimSun"/>
                <w:lang w:val="sr-Latn-CS"/>
              </w:rPr>
            </w:pPr>
            <w:r w:rsidRPr="00B25ADB">
              <w:rPr>
                <w:rFonts w:eastAsia="NSimSun"/>
                <w:lang w:val="sr-Latn-CS"/>
              </w:rPr>
              <w:t>Aranžmani sprovođenja</w:t>
            </w:r>
          </w:p>
          <w:p w:rsidR="00471C7B" w:rsidRPr="00B25ADB" w:rsidRDefault="00471C7B" w:rsidP="00EF0E9D">
            <w:pPr>
              <w:jc w:val="both"/>
              <w:rPr>
                <w:rFonts w:eastAsia="NSimSun"/>
                <w:lang w:val="sr-Latn-CS"/>
              </w:rPr>
            </w:pPr>
            <w:r w:rsidRPr="00B25ADB">
              <w:rPr>
                <w:rFonts w:eastAsia="NSimSun"/>
                <w:lang w:val="sr-Latn-CS"/>
              </w:rPr>
              <w:t xml:space="preserve">(Ime </w:t>
            </w:r>
            <w:r>
              <w:rPr>
                <w:rFonts w:eastAsia="NSimSun"/>
                <w:lang w:val="sr-Latn-CS"/>
              </w:rPr>
              <w:t>i</w:t>
            </w:r>
            <w:r w:rsidRPr="00B25ADB">
              <w:rPr>
                <w:rFonts w:eastAsia="NSimSun"/>
                <w:lang w:val="sr-Latn-CS"/>
              </w:rPr>
              <w:t xml:space="preserve"> </w:t>
            </w:r>
            <w:r>
              <w:rPr>
                <w:rFonts w:eastAsia="NSimSun"/>
                <w:lang w:val="sr-Latn-CS"/>
              </w:rPr>
              <w:t>kontakt podaci</w:t>
            </w:r>
            <w:r w:rsidRPr="00B25ADB">
              <w:rPr>
                <w:rFonts w:eastAsia="NSimSun"/>
                <w:lang w:val="sr-Latn-CS"/>
              </w:rPr>
              <w:t>)</w:t>
            </w:r>
          </w:p>
        </w:tc>
        <w:tc>
          <w:tcPr>
            <w:tcW w:w="3891" w:type="pct"/>
            <w:gridSpan w:val="2"/>
            <w:tcBorders>
              <w:top w:val="dotted" w:sz="4" w:space="0" w:color="auto"/>
              <w:bottom w:val="dotted" w:sz="4" w:space="0" w:color="auto"/>
            </w:tcBorders>
            <w:vAlign w:val="center"/>
          </w:tcPr>
          <w:p w:rsidR="00471C7B" w:rsidRPr="003B3244" w:rsidRDefault="00471C7B" w:rsidP="003B3244">
            <w:pPr>
              <w:jc w:val="both"/>
              <w:rPr>
                <w:rFonts w:eastAsia="NSimSun"/>
                <w:b/>
                <w:lang w:val="sr-Latn-CS"/>
              </w:rPr>
            </w:pPr>
            <w:r w:rsidRPr="00471C7B">
              <w:rPr>
                <w:rFonts w:eastAsia="NSimSun"/>
                <w:b/>
                <w:lang w:val="sr-Latn-CS"/>
              </w:rPr>
              <w:t>Nadzor</w:t>
            </w:r>
          </w:p>
        </w:tc>
      </w:tr>
      <w:tr w:rsidR="00F3731A" w:rsidRPr="003B3244" w:rsidTr="003B3244">
        <w:trPr>
          <w:trHeight w:val="1070"/>
          <w:jc w:val="center"/>
        </w:trPr>
        <w:tc>
          <w:tcPr>
            <w:tcW w:w="1109" w:type="pct"/>
            <w:vMerge/>
            <w:tcBorders>
              <w:bottom w:val="dotted" w:sz="4" w:space="0" w:color="auto"/>
            </w:tcBorders>
            <w:vAlign w:val="center"/>
          </w:tcPr>
          <w:p w:rsidR="00F3731A" w:rsidRPr="003B3244" w:rsidRDefault="00F3731A" w:rsidP="003B3244">
            <w:pPr>
              <w:jc w:val="both"/>
              <w:rPr>
                <w:rFonts w:eastAsia="NSimSun"/>
                <w:lang w:val="sr-Latn-CS"/>
              </w:rPr>
            </w:pPr>
          </w:p>
        </w:tc>
        <w:tc>
          <w:tcPr>
            <w:tcW w:w="2253" w:type="pct"/>
            <w:tcBorders>
              <w:top w:val="dotted" w:sz="4" w:space="0" w:color="auto"/>
              <w:bottom w:val="dotted" w:sz="4" w:space="0" w:color="auto"/>
            </w:tcBorders>
            <w:vAlign w:val="center"/>
          </w:tcPr>
          <w:p w:rsidR="00F3731A" w:rsidRPr="003B3244" w:rsidRDefault="00F3731A" w:rsidP="003B3244">
            <w:pPr>
              <w:jc w:val="both"/>
              <w:rPr>
                <w:rFonts w:eastAsia="NSimSun"/>
                <w:lang w:val="sr-Latn-CS"/>
              </w:rPr>
            </w:pPr>
          </w:p>
        </w:tc>
        <w:tc>
          <w:tcPr>
            <w:tcW w:w="1638" w:type="pct"/>
            <w:tcBorders>
              <w:top w:val="dotted" w:sz="4" w:space="0" w:color="auto"/>
              <w:bottom w:val="dotted" w:sz="4" w:space="0" w:color="auto"/>
            </w:tcBorders>
            <w:vAlign w:val="center"/>
          </w:tcPr>
          <w:p w:rsidR="00F3731A" w:rsidRPr="003B3244" w:rsidRDefault="00F3731A" w:rsidP="003B3244">
            <w:pPr>
              <w:jc w:val="both"/>
              <w:rPr>
                <w:rFonts w:eastAsia="NSimSun"/>
                <w:lang w:val="sr-Latn-CS"/>
              </w:rPr>
            </w:pPr>
          </w:p>
        </w:tc>
      </w:tr>
      <w:tr w:rsidR="00F3731A" w:rsidRPr="003B3244" w:rsidTr="003B3244">
        <w:trPr>
          <w:jc w:val="center"/>
        </w:trPr>
        <w:tc>
          <w:tcPr>
            <w:tcW w:w="5000" w:type="pct"/>
            <w:gridSpan w:val="3"/>
            <w:tcBorders>
              <w:top w:val="dotted" w:sz="4" w:space="0" w:color="auto"/>
              <w:bottom w:val="dotted" w:sz="4" w:space="0" w:color="auto"/>
            </w:tcBorders>
            <w:shd w:val="clear" w:color="auto" w:fill="E6E6E6"/>
          </w:tcPr>
          <w:p w:rsidR="00F3731A" w:rsidRPr="003B3244" w:rsidRDefault="00471C7B" w:rsidP="003B3244">
            <w:pPr>
              <w:jc w:val="both"/>
              <w:rPr>
                <w:rFonts w:eastAsia="NSimSun"/>
                <w:b/>
                <w:lang w:val="sr-Latn-CS"/>
              </w:rPr>
            </w:pPr>
            <w:r w:rsidRPr="00471C7B">
              <w:rPr>
                <w:rFonts w:eastAsia="NSimSun"/>
                <w:b/>
                <w:lang w:val="sr-Latn-CS"/>
              </w:rPr>
              <w:t>OPIS LOKACIJE</w:t>
            </w:r>
          </w:p>
        </w:tc>
      </w:tr>
      <w:tr w:rsidR="00F9615B" w:rsidRPr="003B3244" w:rsidTr="003B3244">
        <w:trPr>
          <w:jc w:val="center"/>
        </w:trPr>
        <w:tc>
          <w:tcPr>
            <w:tcW w:w="1109" w:type="pct"/>
            <w:tcBorders>
              <w:top w:val="dotted" w:sz="4" w:space="0" w:color="auto"/>
              <w:bottom w:val="dotted" w:sz="4" w:space="0" w:color="auto"/>
            </w:tcBorders>
          </w:tcPr>
          <w:p w:rsidR="00F9615B" w:rsidRPr="00B25ADB" w:rsidRDefault="00F9615B" w:rsidP="00EF0E9D">
            <w:pPr>
              <w:jc w:val="both"/>
              <w:rPr>
                <w:rFonts w:eastAsia="NSimSun"/>
                <w:lang w:val="sr-Latn-CS"/>
              </w:rPr>
            </w:pPr>
            <w:r>
              <w:rPr>
                <w:rFonts w:eastAsia="NSimSun"/>
                <w:lang w:val="sr-Latn-CS"/>
              </w:rPr>
              <w:t>Naziv lokacije</w:t>
            </w:r>
          </w:p>
        </w:tc>
        <w:tc>
          <w:tcPr>
            <w:tcW w:w="3891" w:type="pct"/>
            <w:gridSpan w:val="2"/>
            <w:tcBorders>
              <w:top w:val="dotted" w:sz="4" w:space="0" w:color="auto"/>
              <w:bottom w:val="dotted" w:sz="4" w:space="0" w:color="auto"/>
            </w:tcBorders>
          </w:tcPr>
          <w:p w:rsidR="00F9615B" w:rsidRPr="003B3244" w:rsidRDefault="00F9615B" w:rsidP="003B3244">
            <w:pPr>
              <w:jc w:val="both"/>
              <w:rPr>
                <w:rFonts w:eastAsia="NSimSun"/>
                <w:b/>
                <w:lang w:val="sr-Latn-CS"/>
              </w:rPr>
            </w:pPr>
          </w:p>
        </w:tc>
      </w:tr>
      <w:tr w:rsidR="00F9615B" w:rsidRPr="00627140" w:rsidTr="003B3244">
        <w:trPr>
          <w:jc w:val="center"/>
        </w:trPr>
        <w:tc>
          <w:tcPr>
            <w:tcW w:w="1109" w:type="pct"/>
            <w:tcBorders>
              <w:top w:val="dotted" w:sz="4" w:space="0" w:color="auto"/>
              <w:bottom w:val="dotted" w:sz="4" w:space="0" w:color="auto"/>
            </w:tcBorders>
          </w:tcPr>
          <w:p w:rsidR="00F9615B" w:rsidRPr="00B25ADB" w:rsidRDefault="00F9615B" w:rsidP="00EF0E9D">
            <w:pPr>
              <w:jc w:val="both"/>
              <w:rPr>
                <w:rFonts w:eastAsia="NSimSun"/>
                <w:lang w:val="sr-Latn-CS"/>
              </w:rPr>
            </w:pPr>
            <w:r>
              <w:rPr>
                <w:rFonts w:eastAsia="NSimSun"/>
                <w:lang w:val="sr-Latn-CS"/>
              </w:rPr>
              <w:t>Opis lokacije</w:t>
            </w:r>
          </w:p>
        </w:tc>
        <w:tc>
          <w:tcPr>
            <w:tcW w:w="2253" w:type="pct"/>
            <w:tcBorders>
              <w:top w:val="dotted" w:sz="4" w:space="0" w:color="auto"/>
              <w:bottom w:val="dotted" w:sz="4" w:space="0" w:color="auto"/>
            </w:tcBorders>
          </w:tcPr>
          <w:p w:rsidR="00F9615B" w:rsidRPr="003B3244" w:rsidRDefault="00F9615B" w:rsidP="003B3244">
            <w:pPr>
              <w:jc w:val="both"/>
              <w:rPr>
                <w:rFonts w:eastAsia="NSimSun"/>
                <w:lang w:val="sr-Latn-CS"/>
              </w:rPr>
            </w:pPr>
          </w:p>
        </w:tc>
        <w:tc>
          <w:tcPr>
            <w:tcW w:w="1638" w:type="pct"/>
            <w:tcBorders>
              <w:top w:val="dotted" w:sz="4" w:space="0" w:color="auto"/>
              <w:bottom w:val="dotted" w:sz="4" w:space="0" w:color="auto"/>
            </w:tcBorders>
          </w:tcPr>
          <w:p w:rsidR="00F9615B" w:rsidRPr="003B3244" w:rsidRDefault="00F9615B" w:rsidP="003B3244">
            <w:pPr>
              <w:jc w:val="both"/>
              <w:rPr>
                <w:rFonts w:eastAsia="NSimSun"/>
                <w:lang w:val="sr-Latn-CS"/>
              </w:rPr>
            </w:pPr>
            <w:r w:rsidRPr="00F9615B">
              <w:rPr>
                <w:rFonts w:eastAsia="NSimSun"/>
                <w:lang w:val="sr-Latn-CS"/>
              </w:rPr>
              <w:t>Aneks 1: Informacije o lokaciji (brojke sa lokacije) [ ]D  [ ] N</w:t>
            </w:r>
          </w:p>
        </w:tc>
      </w:tr>
      <w:tr w:rsidR="00F9615B" w:rsidRPr="003B3244" w:rsidTr="003B3244">
        <w:trPr>
          <w:jc w:val="center"/>
        </w:trPr>
        <w:tc>
          <w:tcPr>
            <w:tcW w:w="1109" w:type="pct"/>
            <w:tcBorders>
              <w:top w:val="dotted" w:sz="4" w:space="0" w:color="auto"/>
              <w:bottom w:val="dotted" w:sz="4" w:space="0" w:color="auto"/>
            </w:tcBorders>
          </w:tcPr>
          <w:p w:rsidR="00F9615B" w:rsidRPr="00B25ADB" w:rsidRDefault="00F9615B" w:rsidP="00EF0E9D">
            <w:pPr>
              <w:jc w:val="both"/>
              <w:rPr>
                <w:rFonts w:eastAsia="NSimSun"/>
                <w:lang w:val="sr-Latn-CS"/>
              </w:rPr>
            </w:pPr>
            <w:r w:rsidRPr="00600CA0">
              <w:rPr>
                <w:rFonts w:eastAsia="NSimSun"/>
                <w:lang w:val="sr-Latn-CS"/>
              </w:rPr>
              <w:t>Ko je vlasnik zemljišta</w:t>
            </w:r>
            <w:r w:rsidRPr="00B25ADB">
              <w:rPr>
                <w:rFonts w:eastAsia="NSimSun"/>
                <w:lang w:val="sr-Latn-CS"/>
              </w:rPr>
              <w:t>?</w:t>
            </w:r>
          </w:p>
        </w:tc>
        <w:tc>
          <w:tcPr>
            <w:tcW w:w="3891" w:type="pct"/>
            <w:gridSpan w:val="2"/>
            <w:tcBorders>
              <w:top w:val="dotted" w:sz="4" w:space="0" w:color="auto"/>
              <w:bottom w:val="dotted" w:sz="4" w:space="0" w:color="auto"/>
            </w:tcBorders>
            <w:vAlign w:val="center"/>
          </w:tcPr>
          <w:p w:rsidR="00F9615B" w:rsidRPr="003B3244" w:rsidRDefault="00F9615B" w:rsidP="003B3244">
            <w:pPr>
              <w:jc w:val="both"/>
              <w:rPr>
                <w:rFonts w:eastAsia="NSimSun"/>
                <w:lang w:val="sr-Latn-CS"/>
              </w:rPr>
            </w:pPr>
          </w:p>
        </w:tc>
      </w:tr>
      <w:tr w:rsidR="00F9615B" w:rsidRPr="003B3244" w:rsidTr="003B3244">
        <w:trPr>
          <w:jc w:val="center"/>
        </w:trPr>
        <w:tc>
          <w:tcPr>
            <w:tcW w:w="1109" w:type="pct"/>
            <w:tcBorders>
              <w:top w:val="dotted" w:sz="4" w:space="0" w:color="auto"/>
              <w:bottom w:val="dotted" w:sz="4" w:space="0" w:color="auto"/>
            </w:tcBorders>
          </w:tcPr>
          <w:p w:rsidR="00F9615B" w:rsidRPr="00B25ADB" w:rsidRDefault="00F9615B" w:rsidP="00EF0E9D">
            <w:pPr>
              <w:jc w:val="both"/>
              <w:rPr>
                <w:rFonts w:eastAsia="NSimSun"/>
                <w:lang w:val="sr-Latn-CS"/>
              </w:rPr>
            </w:pPr>
            <w:r w:rsidRPr="00600CA0">
              <w:rPr>
                <w:rFonts w:eastAsia="NSimSun"/>
                <w:lang w:val="sr-Latn-CS"/>
              </w:rPr>
              <w:t>Geografski opis</w:t>
            </w:r>
          </w:p>
        </w:tc>
        <w:tc>
          <w:tcPr>
            <w:tcW w:w="3891" w:type="pct"/>
            <w:gridSpan w:val="2"/>
            <w:tcBorders>
              <w:top w:val="dotted" w:sz="4" w:space="0" w:color="auto"/>
              <w:bottom w:val="dotted" w:sz="4" w:space="0" w:color="auto"/>
            </w:tcBorders>
          </w:tcPr>
          <w:p w:rsidR="00F9615B" w:rsidRPr="003B3244" w:rsidRDefault="00F9615B" w:rsidP="003B3244">
            <w:pPr>
              <w:jc w:val="both"/>
              <w:rPr>
                <w:rFonts w:eastAsia="NSimSun"/>
                <w:lang w:val="sr-Latn-CS"/>
              </w:rPr>
            </w:pPr>
          </w:p>
        </w:tc>
      </w:tr>
      <w:tr w:rsidR="00F3731A" w:rsidRPr="003B3244" w:rsidTr="003B3244">
        <w:trPr>
          <w:trHeight w:val="170"/>
          <w:jc w:val="center"/>
        </w:trPr>
        <w:tc>
          <w:tcPr>
            <w:tcW w:w="5000" w:type="pct"/>
            <w:gridSpan w:val="3"/>
            <w:tcBorders>
              <w:top w:val="dotted" w:sz="4" w:space="0" w:color="auto"/>
              <w:bottom w:val="dotted" w:sz="4" w:space="0" w:color="auto"/>
            </w:tcBorders>
            <w:shd w:val="clear" w:color="auto" w:fill="E6E6E6"/>
          </w:tcPr>
          <w:p w:rsidR="00F3731A" w:rsidRPr="003B3244" w:rsidRDefault="00F9615B" w:rsidP="003B3244">
            <w:pPr>
              <w:jc w:val="both"/>
              <w:rPr>
                <w:rFonts w:eastAsia="NSimSun"/>
                <w:b/>
                <w:lang w:val="sr-Latn-CS"/>
              </w:rPr>
            </w:pPr>
            <w:r w:rsidRPr="00F9615B">
              <w:rPr>
                <w:rFonts w:eastAsia="NSimSun"/>
                <w:b/>
                <w:lang w:val="sr-Latn-CS"/>
              </w:rPr>
              <w:t>ZAKONODAVSTVO</w:t>
            </w:r>
          </w:p>
        </w:tc>
      </w:tr>
      <w:tr w:rsidR="00F3731A" w:rsidRPr="003B3244" w:rsidTr="003B3244">
        <w:trPr>
          <w:jc w:val="center"/>
        </w:trPr>
        <w:tc>
          <w:tcPr>
            <w:tcW w:w="1109" w:type="pct"/>
            <w:tcBorders>
              <w:top w:val="dotted" w:sz="4" w:space="0" w:color="auto"/>
              <w:bottom w:val="dotted" w:sz="4" w:space="0" w:color="auto"/>
            </w:tcBorders>
          </w:tcPr>
          <w:p w:rsidR="00F3731A" w:rsidRPr="003B3244" w:rsidRDefault="00F9615B" w:rsidP="003B3244">
            <w:pPr>
              <w:jc w:val="both"/>
              <w:rPr>
                <w:rFonts w:eastAsia="NSimSun"/>
                <w:lang w:val="sr-Latn-CS"/>
              </w:rPr>
            </w:pPr>
            <w:r w:rsidRPr="00F9615B">
              <w:rPr>
                <w:rFonts w:eastAsia="NSimSun"/>
                <w:lang w:val="sr-Latn-CS"/>
              </w:rPr>
              <w:t>Identifikovati nacionalno i lokalno zakonodavstvo i dozvole koje se odnose na aktivnost projekta</w:t>
            </w:r>
          </w:p>
        </w:tc>
        <w:tc>
          <w:tcPr>
            <w:tcW w:w="3891" w:type="pct"/>
            <w:gridSpan w:val="2"/>
            <w:tcBorders>
              <w:top w:val="dotted" w:sz="4" w:space="0" w:color="auto"/>
              <w:bottom w:val="dotted" w:sz="4" w:space="0" w:color="auto"/>
            </w:tcBorders>
          </w:tcPr>
          <w:p w:rsidR="00F3731A" w:rsidRPr="003B3244" w:rsidRDefault="00F3731A" w:rsidP="003B3244">
            <w:pPr>
              <w:jc w:val="both"/>
              <w:rPr>
                <w:rFonts w:eastAsia="NSimSun"/>
                <w:lang w:val="sr-Latn-CS"/>
              </w:rPr>
            </w:pPr>
          </w:p>
        </w:tc>
      </w:tr>
      <w:tr w:rsidR="00F3731A" w:rsidRPr="003B3244" w:rsidTr="003B3244">
        <w:trPr>
          <w:jc w:val="center"/>
        </w:trPr>
        <w:tc>
          <w:tcPr>
            <w:tcW w:w="5000" w:type="pct"/>
            <w:gridSpan w:val="3"/>
            <w:tcBorders>
              <w:top w:val="dotted" w:sz="4" w:space="0" w:color="auto"/>
              <w:bottom w:val="nil"/>
            </w:tcBorders>
            <w:shd w:val="clear" w:color="auto" w:fill="E6E6E6"/>
          </w:tcPr>
          <w:p w:rsidR="00F3731A" w:rsidRPr="003B3244" w:rsidRDefault="00F9615B" w:rsidP="003B3244">
            <w:pPr>
              <w:jc w:val="both"/>
              <w:rPr>
                <w:rFonts w:eastAsia="NSimSun"/>
                <w:b/>
                <w:lang w:val="sr-Latn-CS"/>
              </w:rPr>
            </w:pPr>
            <w:r w:rsidRPr="00F9615B">
              <w:rPr>
                <w:rFonts w:eastAsia="NSimSun"/>
                <w:b/>
                <w:lang w:val="sr-Latn-CS"/>
              </w:rPr>
              <w:t>JAVNA KONSULTACIJA</w:t>
            </w:r>
          </w:p>
        </w:tc>
      </w:tr>
      <w:tr w:rsidR="00F3731A" w:rsidRPr="003B3244" w:rsidTr="003B3244">
        <w:trPr>
          <w:jc w:val="center"/>
        </w:trPr>
        <w:tc>
          <w:tcPr>
            <w:tcW w:w="1109" w:type="pct"/>
            <w:tcBorders>
              <w:top w:val="nil"/>
              <w:bottom w:val="dotted" w:sz="4" w:space="0" w:color="auto"/>
            </w:tcBorders>
          </w:tcPr>
          <w:p w:rsidR="00F3731A" w:rsidRPr="003B3244" w:rsidRDefault="00F9615B" w:rsidP="003B3244">
            <w:pPr>
              <w:jc w:val="both"/>
              <w:rPr>
                <w:rFonts w:eastAsia="NSimSun"/>
                <w:lang w:val="sr-Latn-CS"/>
              </w:rPr>
            </w:pPr>
            <w:r w:rsidRPr="00F9615B">
              <w:rPr>
                <w:rFonts w:eastAsia="NSimSun"/>
                <w:lang w:val="sr-Latn-CS"/>
              </w:rPr>
              <w:t>Identifikovati kada/gde se odvijao proces javnih konsultacija</w:t>
            </w:r>
          </w:p>
        </w:tc>
        <w:tc>
          <w:tcPr>
            <w:tcW w:w="3891" w:type="pct"/>
            <w:gridSpan w:val="2"/>
            <w:tcBorders>
              <w:top w:val="nil"/>
              <w:bottom w:val="dotted" w:sz="4" w:space="0" w:color="auto"/>
            </w:tcBorders>
          </w:tcPr>
          <w:p w:rsidR="00F3731A" w:rsidRPr="003B3244" w:rsidRDefault="00F3731A" w:rsidP="003B3244">
            <w:pPr>
              <w:jc w:val="both"/>
              <w:rPr>
                <w:rFonts w:eastAsia="NSimSun"/>
                <w:lang w:val="sr-Latn-CS"/>
              </w:rPr>
            </w:pPr>
          </w:p>
        </w:tc>
      </w:tr>
      <w:tr w:rsidR="00F3731A" w:rsidRPr="003B3244" w:rsidTr="003B3244">
        <w:trPr>
          <w:jc w:val="center"/>
        </w:trPr>
        <w:tc>
          <w:tcPr>
            <w:tcW w:w="5000" w:type="pct"/>
            <w:gridSpan w:val="3"/>
            <w:tcBorders>
              <w:top w:val="dotted" w:sz="4" w:space="0" w:color="auto"/>
              <w:bottom w:val="nil"/>
            </w:tcBorders>
            <w:shd w:val="clear" w:color="auto" w:fill="E6E6E6"/>
          </w:tcPr>
          <w:p w:rsidR="00F3731A" w:rsidRPr="003B3244" w:rsidRDefault="00464487" w:rsidP="003B3244">
            <w:pPr>
              <w:jc w:val="both"/>
              <w:rPr>
                <w:rFonts w:eastAsia="NSimSun"/>
                <w:b/>
                <w:lang w:val="sr-Latn-CS"/>
              </w:rPr>
            </w:pPr>
            <w:r w:rsidRPr="00464487">
              <w:rPr>
                <w:rFonts w:eastAsia="NSimSun"/>
                <w:b/>
                <w:lang w:val="sr-Latn-CS"/>
              </w:rPr>
              <w:t>IZGRADNJA INSTITUCIONALNOG KAPACITETA</w:t>
            </w:r>
          </w:p>
        </w:tc>
      </w:tr>
      <w:tr w:rsidR="00464487" w:rsidRPr="00627140" w:rsidTr="003B3244">
        <w:trPr>
          <w:jc w:val="center"/>
        </w:trPr>
        <w:tc>
          <w:tcPr>
            <w:tcW w:w="1109" w:type="pct"/>
            <w:tcBorders>
              <w:top w:val="nil"/>
              <w:bottom w:val="nil"/>
            </w:tcBorders>
          </w:tcPr>
          <w:p w:rsidR="00464487" w:rsidRPr="00B25ADB" w:rsidRDefault="00464487" w:rsidP="00EF0E9D">
            <w:pPr>
              <w:jc w:val="both"/>
              <w:rPr>
                <w:rFonts w:eastAsia="NSimSun"/>
                <w:lang w:val="sr-Latn-CS"/>
              </w:rPr>
            </w:pPr>
            <w:r w:rsidRPr="00B83FC6">
              <w:rPr>
                <w:rFonts w:eastAsia="NSimSun"/>
                <w:lang w:val="sr-Latn-CS"/>
              </w:rPr>
              <w:t>Da li će doći do izgradnje kapaciteta</w:t>
            </w:r>
            <w:r w:rsidRPr="00B25ADB">
              <w:rPr>
                <w:rFonts w:eastAsia="NSimSun"/>
                <w:lang w:val="sr-Latn-CS"/>
              </w:rPr>
              <w:t>?</w:t>
            </w:r>
          </w:p>
        </w:tc>
        <w:tc>
          <w:tcPr>
            <w:tcW w:w="3891" w:type="pct"/>
            <w:gridSpan w:val="2"/>
            <w:tcBorders>
              <w:top w:val="nil"/>
              <w:bottom w:val="nil"/>
            </w:tcBorders>
          </w:tcPr>
          <w:p w:rsidR="00464487" w:rsidRPr="00B25ADB" w:rsidRDefault="00464487" w:rsidP="00EF0E9D">
            <w:pPr>
              <w:jc w:val="both"/>
              <w:rPr>
                <w:rFonts w:eastAsia="NSimSun"/>
                <w:lang w:val="sr-Latn-CS"/>
              </w:rPr>
            </w:pPr>
            <w:r w:rsidRPr="00B25ADB">
              <w:rPr>
                <w:rFonts w:eastAsia="NSimSun"/>
                <w:lang w:val="sr-Latn-CS"/>
              </w:rPr>
              <w:t xml:space="preserve">[ ] N </w:t>
            </w:r>
            <w:r>
              <w:rPr>
                <w:rFonts w:eastAsia="NSimSun"/>
                <w:lang w:val="sr-Latn-CS"/>
              </w:rPr>
              <w:t>ili [   ]D</w:t>
            </w:r>
            <w:r w:rsidRPr="00B25ADB">
              <w:rPr>
                <w:rFonts w:eastAsia="NSimSun"/>
                <w:lang w:val="sr-Latn-CS"/>
              </w:rPr>
              <w:t xml:space="preserve"> </w:t>
            </w:r>
            <w:r>
              <w:rPr>
                <w:rFonts w:eastAsia="NSimSun"/>
                <w:lang w:val="sr-Latn-CS"/>
              </w:rPr>
              <w:t>Ukoliko je odgovor da</w:t>
            </w:r>
            <w:r w:rsidRPr="00B25ADB">
              <w:rPr>
                <w:rFonts w:eastAsia="NSimSun"/>
                <w:lang w:val="sr-Latn-CS"/>
              </w:rPr>
              <w:t xml:space="preserve">, </w:t>
            </w:r>
            <w:r w:rsidRPr="00C34631">
              <w:rPr>
                <w:rFonts w:eastAsia="NSimSun"/>
                <w:lang w:val="sr-Latn-CS"/>
              </w:rPr>
              <w:t xml:space="preserve">Aneks 2 </w:t>
            </w:r>
            <w:r>
              <w:rPr>
                <w:rFonts w:eastAsia="NSimSun"/>
                <w:lang w:val="sr-Latn-CS"/>
              </w:rPr>
              <w:t>uključuje</w:t>
            </w:r>
            <w:r w:rsidRPr="00C34631">
              <w:rPr>
                <w:rFonts w:eastAsia="NSimSun"/>
                <w:lang w:val="sr-Latn-CS"/>
              </w:rPr>
              <w:t xml:space="preserve"> informacije o izgradnji kapaciteta</w:t>
            </w:r>
          </w:p>
        </w:tc>
      </w:tr>
      <w:tr w:rsidR="00F3731A" w:rsidRPr="00627140" w:rsidTr="003B3244">
        <w:trPr>
          <w:jc w:val="center"/>
        </w:trPr>
        <w:tc>
          <w:tcPr>
            <w:tcW w:w="1109" w:type="pct"/>
            <w:tcBorders>
              <w:top w:val="nil"/>
              <w:bottom w:val="dotted" w:sz="4" w:space="0" w:color="auto"/>
            </w:tcBorders>
          </w:tcPr>
          <w:p w:rsidR="00F3731A" w:rsidRPr="003B3244" w:rsidRDefault="00F3731A" w:rsidP="003B3244">
            <w:pPr>
              <w:jc w:val="both"/>
              <w:rPr>
                <w:rFonts w:eastAsia="NSimSun"/>
                <w:lang w:val="sr-Latn-CS"/>
              </w:rPr>
            </w:pPr>
          </w:p>
        </w:tc>
        <w:tc>
          <w:tcPr>
            <w:tcW w:w="3891" w:type="pct"/>
            <w:gridSpan w:val="2"/>
            <w:tcBorders>
              <w:top w:val="nil"/>
              <w:bottom w:val="dotted" w:sz="4" w:space="0" w:color="auto"/>
            </w:tcBorders>
          </w:tcPr>
          <w:p w:rsidR="00F3731A" w:rsidRPr="003B3244" w:rsidRDefault="00F3731A" w:rsidP="003B3244">
            <w:pPr>
              <w:jc w:val="both"/>
              <w:rPr>
                <w:rFonts w:eastAsia="NSimSun"/>
                <w:lang w:val="sr-Latn-CS"/>
              </w:rPr>
            </w:pPr>
          </w:p>
        </w:tc>
      </w:tr>
    </w:tbl>
    <w:p w:rsidR="00F3731A" w:rsidRPr="003B3244" w:rsidRDefault="00F3731A" w:rsidP="00F3731A">
      <w:pPr>
        <w:pBdr>
          <w:top w:val="dotted" w:sz="4" w:space="1" w:color="auto"/>
          <w:left w:val="dotted" w:sz="4" w:space="0" w:color="auto"/>
          <w:bottom w:val="dotted" w:sz="4" w:space="1" w:color="auto"/>
          <w:right w:val="dotted" w:sz="4" w:space="4" w:color="auto"/>
          <w:between w:val="dotted" w:sz="4" w:space="1" w:color="auto"/>
        </w:pBdr>
        <w:jc w:val="both"/>
        <w:rPr>
          <w:rFonts w:eastAsia="NSimSun"/>
          <w:b/>
          <w:lang w:val="sr-Latn-CS"/>
        </w:rPr>
      </w:pPr>
    </w:p>
    <w:p w:rsidR="00F3731A" w:rsidRPr="003B3244" w:rsidRDefault="00F3731A" w:rsidP="00F3731A">
      <w:pPr>
        <w:pStyle w:val="TableParagraph"/>
        <w:spacing w:line="253" w:lineRule="exact"/>
        <w:ind w:left="107"/>
        <w:rPr>
          <w:b/>
          <w:sz w:val="24"/>
          <w:highlight w:val="yellow"/>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9"/>
        <w:gridCol w:w="3564"/>
        <w:gridCol w:w="1823"/>
        <w:gridCol w:w="2596"/>
      </w:tblGrid>
      <w:tr w:rsidR="00F3731A" w:rsidRPr="003B3244" w:rsidTr="003B3244">
        <w:tc>
          <w:tcPr>
            <w:tcW w:w="5000" w:type="pct"/>
            <w:gridSpan w:val="4"/>
            <w:tcBorders>
              <w:bottom w:val="dotted" w:sz="4" w:space="0" w:color="auto"/>
            </w:tcBorders>
            <w:shd w:val="clear" w:color="auto" w:fill="E6E6E6"/>
            <w:vAlign w:val="center"/>
          </w:tcPr>
          <w:p w:rsidR="00F3731A" w:rsidRPr="003B3244" w:rsidRDefault="00464487" w:rsidP="003B3244">
            <w:pPr>
              <w:jc w:val="both"/>
              <w:rPr>
                <w:rFonts w:eastAsia="NSimSun"/>
                <w:b/>
                <w:lang w:val="sr-Latn-CS"/>
              </w:rPr>
            </w:pPr>
            <w:r w:rsidRPr="00464487">
              <w:rPr>
                <w:rFonts w:eastAsia="NSimSun"/>
                <w:b/>
                <w:lang w:val="sr-Latn-CS"/>
              </w:rPr>
              <w:t>DEO 2: SKRINING ŽIVOTNE SREDINE/DRUŠTVA</w:t>
            </w:r>
          </w:p>
        </w:tc>
      </w:tr>
      <w:tr w:rsidR="003C113B" w:rsidRPr="003B3244" w:rsidTr="003C113B">
        <w:trPr>
          <w:trHeight w:val="287"/>
        </w:trPr>
        <w:tc>
          <w:tcPr>
            <w:tcW w:w="947" w:type="pct"/>
            <w:vMerge w:val="restart"/>
            <w:tcBorders>
              <w:top w:val="dotted" w:sz="4" w:space="0" w:color="auto"/>
            </w:tcBorders>
          </w:tcPr>
          <w:p w:rsidR="003C113B" w:rsidRPr="003B3244" w:rsidRDefault="003C113B" w:rsidP="003B3244">
            <w:pPr>
              <w:jc w:val="both"/>
              <w:rPr>
                <w:rFonts w:eastAsia="NSimSun"/>
                <w:lang w:val="sr-Latn-CS"/>
              </w:rPr>
            </w:pPr>
            <w:r w:rsidRPr="003C113B">
              <w:rPr>
                <w:rFonts w:eastAsia="NSimSun"/>
                <w:lang w:val="sr-Latn-CS"/>
              </w:rPr>
              <w:t>Da li će aktivnosti na lokaciji uključiti/obuhvatiti bilo šta od sledećeg</w:t>
            </w:r>
            <w:r w:rsidRPr="003B3244">
              <w:rPr>
                <w:rFonts w:eastAsia="NSimSun"/>
                <w:lang w:val="sr-Latn-CS"/>
              </w:rPr>
              <w:t xml:space="preserve">: </w:t>
            </w:r>
          </w:p>
        </w:tc>
        <w:tc>
          <w:tcPr>
            <w:tcW w:w="1807" w:type="pct"/>
            <w:tcBorders>
              <w:bottom w:val="dotted" w:sz="4" w:space="0" w:color="auto"/>
              <w:right w:val="nil"/>
            </w:tcBorders>
          </w:tcPr>
          <w:p w:rsidR="003C113B" w:rsidRPr="00135E4A" w:rsidRDefault="003C113B" w:rsidP="00EF0E9D">
            <w:pPr>
              <w:jc w:val="both"/>
              <w:rPr>
                <w:rFonts w:eastAsia="NSimSun"/>
                <w:b/>
                <w:lang w:val="sr-Latn-CS"/>
              </w:rPr>
            </w:pPr>
            <w:r>
              <w:rPr>
                <w:rFonts w:eastAsia="NSimSun"/>
                <w:b/>
                <w:lang w:val="sr-Latn-CS"/>
              </w:rPr>
              <w:t>Ak</w:t>
            </w:r>
            <w:r w:rsidRPr="00135E4A">
              <w:rPr>
                <w:rFonts w:eastAsia="NSimSun"/>
                <w:b/>
                <w:lang w:val="sr-Latn-CS"/>
              </w:rPr>
              <w:t>tivnost</w:t>
            </w:r>
          </w:p>
        </w:tc>
        <w:tc>
          <w:tcPr>
            <w:tcW w:w="928" w:type="pct"/>
            <w:tcBorders>
              <w:left w:val="nil"/>
              <w:bottom w:val="dotted" w:sz="4" w:space="0" w:color="auto"/>
              <w:right w:val="nil"/>
            </w:tcBorders>
          </w:tcPr>
          <w:p w:rsidR="003C113B" w:rsidRPr="00135E4A" w:rsidRDefault="003C113B" w:rsidP="00EF0E9D">
            <w:pPr>
              <w:jc w:val="both"/>
              <w:rPr>
                <w:rFonts w:eastAsia="NSimSun"/>
                <w:b/>
                <w:lang w:val="sr-Latn-CS"/>
              </w:rPr>
            </w:pPr>
            <w:r w:rsidRPr="00135E4A">
              <w:rPr>
                <w:rFonts w:eastAsia="NSimSun"/>
                <w:b/>
                <w:lang w:val="sr-Latn-CS"/>
              </w:rPr>
              <w:t>Status</w:t>
            </w:r>
          </w:p>
        </w:tc>
        <w:tc>
          <w:tcPr>
            <w:tcW w:w="1317" w:type="pct"/>
            <w:tcBorders>
              <w:left w:val="nil"/>
              <w:bottom w:val="dotted" w:sz="4" w:space="0" w:color="auto"/>
            </w:tcBorders>
          </w:tcPr>
          <w:p w:rsidR="003C113B" w:rsidRPr="00135E4A" w:rsidRDefault="003C113B" w:rsidP="00EF0E9D">
            <w:pPr>
              <w:jc w:val="both"/>
              <w:rPr>
                <w:rFonts w:eastAsia="NSimSun"/>
                <w:b/>
                <w:lang w:val="sr-Latn-CS"/>
              </w:rPr>
            </w:pPr>
            <w:r w:rsidRPr="00135E4A">
              <w:rPr>
                <w:rFonts w:eastAsia="NSimSun"/>
                <w:b/>
                <w:lang w:val="sr-Latn-CS"/>
              </w:rPr>
              <w:t>Dodatne reference</w:t>
            </w:r>
          </w:p>
        </w:tc>
      </w:tr>
      <w:tr w:rsidR="003C113B" w:rsidRPr="00627140" w:rsidTr="003C113B">
        <w:trPr>
          <w:trHeight w:val="215"/>
        </w:trPr>
        <w:tc>
          <w:tcPr>
            <w:tcW w:w="947" w:type="pct"/>
            <w:vMerge/>
          </w:tcPr>
          <w:p w:rsidR="003C113B" w:rsidRPr="003B3244" w:rsidRDefault="003C113B" w:rsidP="003B3244">
            <w:pPr>
              <w:jc w:val="both"/>
              <w:rPr>
                <w:rFonts w:eastAsia="NSimSun"/>
                <w:lang w:val="sr-Latn-CS"/>
              </w:rPr>
            </w:pPr>
          </w:p>
        </w:tc>
        <w:tc>
          <w:tcPr>
            <w:tcW w:w="1807" w:type="pct"/>
            <w:tcBorders>
              <w:top w:val="dotted" w:sz="4" w:space="0" w:color="auto"/>
              <w:bottom w:val="dotted" w:sz="4" w:space="0" w:color="auto"/>
              <w:right w:val="nil"/>
            </w:tcBorders>
          </w:tcPr>
          <w:p w:rsidR="003C113B" w:rsidRPr="00135E4A" w:rsidRDefault="003C113B" w:rsidP="00EF0E9D">
            <w:pPr>
              <w:numPr>
                <w:ilvl w:val="0"/>
                <w:numId w:val="16"/>
              </w:numPr>
              <w:spacing w:after="120" w:line="240" w:lineRule="auto"/>
              <w:jc w:val="both"/>
              <w:rPr>
                <w:rFonts w:eastAsia="NSimSun"/>
                <w:color w:val="000000" w:themeColor="text1"/>
                <w:lang w:val="sr-Latn-CS"/>
              </w:rPr>
            </w:pPr>
            <w:r w:rsidRPr="00135E4A">
              <w:rPr>
                <w:rFonts w:eastAsia="NSimSun"/>
                <w:color w:val="000000" w:themeColor="text1"/>
                <w:lang w:val="sr-Latn-CS"/>
              </w:rPr>
              <w:t xml:space="preserve"> </w:t>
            </w:r>
            <w:r w:rsidRPr="009D7B0D">
              <w:rPr>
                <w:rFonts w:eastAsia="NSimSun"/>
                <w:color w:val="000000" w:themeColor="text1"/>
                <w:lang w:val="sr-Latn-CS"/>
              </w:rPr>
              <w:t xml:space="preserve">Opšti zahtevi za sve </w:t>
            </w:r>
            <w:r>
              <w:rPr>
                <w:rFonts w:eastAsia="NSimSun"/>
                <w:color w:val="000000" w:themeColor="text1"/>
                <w:lang w:val="sr-Latn-CS"/>
              </w:rPr>
              <w:t>radove</w:t>
            </w:r>
          </w:p>
        </w:tc>
        <w:tc>
          <w:tcPr>
            <w:tcW w:w="928" w:type="pct"/>
            <w:tcBorders>
              <w:top w:val="dotted" w:sz="4" w:space="0" w:color="auto"/>
              <w:left w:val="nil"/>
              <w:bottom w:val="dotted" w:sz="4" w:space="0" w:color="auto"/>
              <w:right w:val="nil"/>
            </w:tcBorders>
          </w:tcPr>
          <w:p w:rsidR="003C113B" w:rsidRPr="00135E4A" w:rsidRDefault="003C113B" w:rsidP="00EF0E9D">
            <w:pPr>
              <w:jc w:val="both"/>
              <w:rPr>
                <w:rFonts w:eastAsia="NSimSun"/>
                <w:color w:val="000000" w:themeColor="text1"/>
                <w:lang w:val="sr-Latn-CS"/>
              </w:rPr>
            </w:pPr>
            <w:r w:rsidRPr="00135E4A">
              <w:rPr>
                <w:rFonts w:eastAsia="NSimSun"/>
                <w:color w:val="000000" w:themeColor="text1"/>
                <w:lang w:val="sr-Latn-CS"/>
              </w:rPr>
              <w:t>[ ] Da  [] Ne</w:t>
            </w:r>
          </w:p>
        </w:tc>
        <w:tc>
          <w:tcPr>
            <w:tcW w:w="1317" w:type="pct"/>
            <w:tcBorders>
              <w:top w:val="dotted" w:sz="4" w:space="0" w:color="auto"/>
              <w:left w:val="nil"/>
              <w:bottom w:val="dotted" w:sz="4" w:space="0" w:color="auto"/>
            </w:tcBorders>
          </w:tcPr>
          <w:p w:rsidR="003C113B" w:rsidRPr="00135E4A" w:rsidRDefault="003C113B" w:rsidP="00EF0E9D">
            <w:pPr>
              <w:jc w:val="both"/>
              <w:rPr>
                <w:rFonts w:eastAsia="NSimSun"/>
                <w:color w:val="000000" w:themeColor="text1"/>
                <w:lang w:val="sr-Latn-CS"/>
              </w:rPr>
            </w:pPr>
            <w:r>
              <w:rPr>
                <w:rFonts w:eastAsia="NSimSun"/>
                <w:color w:val="000000" w:themeColor="text1"/>
                <w:lang w:val="sr-Latn-CS"/>
              </w:rPr>
              <w:t>Videti Odeljak</w:t>
            </w:r>
            <w:r w:rsidRPr="00135E4A">
              <w:rPr>
                <w:rFonts w:eastAsia="NSimSun"/>
                <w:color w:val="000000" w:themeColor="text1"/>
                <w:lang w:val="sr-Latn-CS"/>
              </w:rPr>
              <w:t xml:space="preserve">  </w:t>
            </w:r>
            <w:r w:rsidRPr="00135E4A">
              <w:rPr>
                <w:rFonts w:eastAsia="NSimSun"/>
                <w:b/>
                <w:color w:val="000000" w:themeColor="text1"/>
                <w:lang w:val="sr-Latn-CS"/>
              </w:rPr>
              <w:t>A</w:t>
            </w:r>
            <w:r w:rsidRPr="00135E4A">
              <w:rPr>
                <w:rFonts w:eastAsia="NSimSun"/>
                <w:color w:val="000000" w:themeColor="text1"/>
                <w:lang w:val="sr-Latn-CS"/>
              </w:rPr>
              <w:t xml:space="preserve"> </w:t>
            </w:r>
            <w:r>
              <w:rPr>
                <w:rFonts w:eastAsia="NSimSun"/>
                <w:color w:val="000000" w:themeColor="text1"/>
                <w:lang w:val="sr-Latn-CS"/>
              </w:rPr>
              <w:t>u daljem tekstu</w:t>
            </w:r>
          </w:p>
        </w:tc>
      </w:tr>
      <w:tr w:rsidR="003C113B" w:rsidRPr="00627140" w:rsidTr="003C113B">
        <w:trPr>
          <w:trHeight w:val="58"/>
        </w:trPr>
        <w:tc>
          <w:tcPr>
            <w:tcW w:w="947" w:type="pct"/>
            <w:vMerge/>
          </w:tcPr>
          <w:p w:rsidR="003C113B" w:rsidRPr="003B3244" w:rsidRDefault="003C113B" w:rsidP="003B3244">
            <w:pPr>
              <w:jc w:val="both"/>
              <w:rPr>
                <w:rFonts w:eastAsia="NSimSun"/>
                <w:lang w:val="sr-Latn-CS"/>
              </w:rPr>
            </w:pPr>
          </w:p>
        </w:tc>
        <w:tc>
          <w:tcPr>
            <w:tcW w:w="1807" w:type="pct"/>
            <w:tcBorders>
              <w:top w:val="dotted" w:sz="4" w:space="0" w:color="auto"/>
              <w:bottom w:val="dotted" w:sz="4" w:space="0" w:color="auto"/>
              <w:right w:val="nil"/>
            </w:tcBorders>
          </w:tcPr>
          <w:p w:rsidR="003C113B" w:rsidRPr="00135E4A" w:rsidRDefault="003C113B" w:rsidP="00EF0E9D">
            <w:pPr>
              <w:numPr>
                <w:ilvl w:val="0"/>
                <w:numId w:val="16"/>
              </w:numPr>
              <w:spacing w:after="120" w:line="240" w:lineRule="auto"/>
              <w:jc w:val="both"/>
              <w:rPr>
                <w:rFonts w:eastAsia="NSimSun"/>
                <w:color w:val="000000" w:themeColor="text1"/>
                <w:lang w:val="sr-Latn-CS"/>
              </w:rPr>
            </w:pPr>
            <w:r>
              <w:rPr>
                <w:rFonts w:eastAsia="NSimSun"/>
                <w:color w:val="000000" w:themeColor="text1"/>
                <w:lang w:val="sr-Latn-CS"/>
              </w:rPr>
              <w:t>Rehabilitacija objekata</w:t>
            </w:r>
            <w:r w:rsidRPr="00135E4A">
              <w:rPr>
                <w:rFonts w:eastAsia="NSimSun"/>
                <w:color w:val="000000" w:themeColor="text1"/>
                <w:lang w:val="sr-Latn-CS"/>
              </w:rPr>
              <w:t xml:space="preserve"> </w:t>
            </w:r>
          </w:p>
        </w:tc>
        <w:tc>
          <w:tcPr>
            <w:tcW w:w="928" w:type="pct"/>
            <w:tcBorders>
              <w:top w:val="dotted" w:sz="4" w:space="0" w:color="auto"/>
              <w:left w:val="nil"/>
              <w:bottom w:val="dotted" w:sz="4" w:space="0" w:color="auto"/>
              <w:right w:val="nil"/>
            </w:tcBorders>
          </w:tcPr>
          <w:p w:rsidR="003C113B" w:rsidRPr="00135E4A" w:rsidRDefault="003C113B" w:rsidP="00EF0E9D">
            <w:pPr>
              <w:jc w:val="both"/>
              <w:rPr>
                <w:rFonts w:eastAsia="NSimSun"/>
                <w:color w:val="000000" w:themeColor="text1"/>
                <w:lang w:val="sr-Latn-CS"/>
              </w:rPr>
            </w:pPr>
            <w:r w:rsidRPr="00135E4A">
              <w:rPr>
                <w:rFonts w:eastAsia="NSimSun"/>
                <w:color w:val="000000" w:themeColor="text1"/>
                <w:lang w:val="sr-Latn-CS"/>
              </w:rPr>
              <w:t xml:space="preserve">[ ] </w:t>
            </w:r>
            <w:r>
              <w:rPr>
                <w:rFonts w:eastAsia="NSimSun"/>
                <w:color w:val="000000" w:themeColor="text1"/>
                <w:lang w:val="sr-Latn-CS"/>
              </w:rPr>
              <w:t>Da</w:t>
            </w:r>
            <w:r w:rsidRPr="00135E4A">
              <w:rPr>
                <w:rFonts w:eastAsia="NSimSun"/>
                <w:color w:val="000000" w:themeColor="text1"/>
                <w:lang w:val="sr-Latn-CS"/>
              </w:rPr>
              <w:t xml:space="preserve">  [ ] N</w:t>
            </w:r>
            <w:r>
              <w:rPr>
                <w:rFonts w:eastAsia="NSimSun"/>
                <w:color w:val="000000" w:themeColor="text1"/>
                <w:lang w:val="sr-Latn-CS"/>
              </w:rPr>
              <w:t>e</w:t>
            </w:r>
          </w:p>
        </w:tc>
        <w:tc>
          <w:tcPr>
            <w:tcW w:w="1317" w:type="pct"/>
            <w:tcBorders>
              <w:top w:val="dotted" w:sz="4" w:space="0" w:color="auto"/>
              <w:left w:val="nil"/>
              <w:bottom w:val="dotted" w:sz="4" w:space="0" w:color="auto"/>
            </w:tcBorders>
          </w:tcPr>
          <w:p w:rsidR="003C113B" w:rsidRPr="00135E4A" w:rsidRDefault="003C113B" w:rsidP="00EF0E9D">
            <w:pPr>
              <w:jc w:val="both"/>
              <w:rPr>
                <w:rFonts w:eastAsia="NSimSun"/>
                <w:color w:val="000000" w:themeColor="text1"/>
                <w:lang w:val="sr-Latn-CS"/>
              </w:rPr>
            </w:pPr>
            <w:r>
              <w:rPr>
                <w:rFonts w:eastAsia="NSimSun"/>
                <w:color w:val="000000" w:themeColor="text1"/>
                <w:lang w:val="sr-Latn-CS"/>
              </w:rPr>
              <w:t>Videti Odeljak</w:t>
            </w:r>
            <w:r w:rsidRPr="00135E4A">
              <w:rPr>
                <w:rFonts w:eastAsia="NSimSun"/>
                <w:color w:val="000000" w:themeColor="text1"/>
                <w:lang w:val="sr-Latn-CS"/>
              </w:rPr>
              <w:t xml:space="preserve">  </w:t>
            </w:r>
            <w:r w:rsidRPr="00135E4A">
              <w:rPr>
                <w:rFonts w:eastAsia="NSimSun"/>
                <w:b/>
                <w:color w:val="000000" w:themeColor="text1"/>
                <w:lang w:val="sr-Latn-CS"/>
              </w:rPr>
              <w:t>A</w:t>
            </w:r>
            <w:r w:rsidRPr="00135E4A">
              <w:rPr>
                <w:rFonts w:eastAsia="NSimSun"/>
                <w:color w:val="000000" w:themeColor="text1"/>
                <w:lang w:val="sr-Latn-CS"/>
              </w:rPr>
              <w:t xml:space="preserve">, </w:t>
            </w:r>
            <w:r w:rsidRPr="00135E4A">
              <w:rPr>
                <w:rFonts w:eastAsia="NSimSun"/>
                <w:b/>
                <w:color w:val="000000" w:themeColor="text1"/>
                <w:lang w:val="sr-Latn-CS"/>
              </w:rPr>
              <w:t>B</w:t>
            </w:r>
            <w:r w:rsidRPr="00135E4A">
              <w:rPr>
                <w:rFonts w:eastAsia="NSimSun"/>
                <w:color w:val="000000" w:themeColor="text1"/>
                <w:lang w:val="sr-Latn-CS"/>
              </w:rPr>
              <w:t xml:space="preserve"> </w:t>
            </w:r>
            <w:r>
              <w:rPr>
                <w:rFonts w:eastAsia="NSimSun"/>
                <w:color w:val="000000" w:themeColor="text1"/>
                <w:lang w:val="sr-Latn-CS"/>
              </w:rPr>
              <w:t>u daljem tekstu</w:t>
            </w:r>
          </w:p>
        </w:tc>
      </w:tr>
      <w:tr w:rsidR="003C113B" w:rsidRPr="00627140" w:rsidTr="003C113B">
        <w:trPr>
          <w:trHeight w:val="58"/>
        </w:trPr>
        <w:tc>
          <w:tcPr>
            <w:tcW w:w="947" w:type="pct"/>
            <w:vMerge/>
          </w:tcPr>
          <w:p w:rsidR="003C113B" w:rsidRPr="003B3244" w:rsidRDefault="003C113B" w:rsidP="003B3244">
            <w:pPr>
              <w:jc w:val="both"/>
              <w:rPr>
                <w:rFonts w:eastAsia="NSimSun"/>
                <w:lang w:val="sr-Latn-CS"/>
              </w:rPr>
            </w:pPr>
          </w:p>
        </w:tc>
        <w:tc>
          <w:tcPr>
            <w:tcW w:w="1807" w:type="pct"/>
            <w:tcBorders>
              <w:top w:val="dotted" w:sz="4" w:space="0" w:color="auto"/>
              <w:bottom w:val="dotted" w:sz="4" w:space="0" w:color="auto"/>
              <w:right w:val="nil"/>
            </w:tcBorders>
          </w:tcPr>
          <w:p w:rsidR="003C113B" w:rsidRPr="00135E4A" w:rsidRDefault="003C113B" w:rsidP="00EF0E9D">
            <w:pPr>
              <w:numPr>
                <w:ilvl w:val="0"/>
                <w:numId w:val="16"/>
              </w:numPr>
              <w:spacing w:after="120" w:line="240" w:lineRule="auto"/>
              <w:jc w:val="both"/>
              <w:rPr>
                <w:rFonts w:eastAsia="NSimSun"/>
                <w:color w:val="000000" w:themeColor="text1"/>
                <w:lang w:val="sr-Latn-CS"/>
              </w:rPr>
            </w:pPr>
            <w:r w:rsidRPr="008C361F">
              <w:rPr>
                <w:rFonts w:eastAsia="NSimSun"/>
                <w:color w:val="000000" w:themeColor="text1"/>
                <w:lang w:val="sr-Latn-CS"/>
              </w:rPr>
              <w:t>Rehabilitacija parkova</w:t>
            </w:r>
          </w:p>
        </w:tc>
        <w:tc>
          <w:tcPr>
            <w:tcW w:w="928" w:type="pct"/>
            <w:tcBorders>
              <w:top w:val="dotted" w:sz="4" w:space="0" w:color="auto"/>
              <w:left w:val="nil"/>
              <w:bottom w:val="dotted" w:sz="4" w:space="0" w:color="auto"/>
              <w:right w:val="nil"/>
            </w:tcBorders>
          </w:tcPr>
          <w:p w:rsidR="003C113B" w:rsidRPr="00135E4A" w:rsidRDefault="003C113B" w:rsidP="00EF0E9D">
            <w:pPr>
              <w:jc w:val="both"/>
              <w:rPr>
                <w:rFonts w:eastAsia="NSimSun"/>
                <w:color w:val="000000" w:themeColor="text1"/>
                <w:lang w:val="sr-Latn-CS"/>
              </w:rPr>
            </w:pPr>
            <w:r w:rsidRPr="00135E4A">
              <w:rPr>
                <w:rFonts w:eastAsia="NSimSun"/>
                <w:color w:val="000000" w:themeColor="text1"/>
                <w:lang w:val="sr-Latn-CS"/>
              </w:rPr>
              <w:t xml:space="preserve">[ ] </w:t>
            </w:r>
            <w:r>
              <w:rPr>
                <w:rFonts w:eastAsia="NSimSun"/>
                <w:color w:val="000000" w:themeColor="text1"/>
                <w:lang w:val="sr-Latn-CS"/>
              </w:rPr>
              <w:t>Da</w:t>
            </w:r>
            <w:r w:rsidRPr="00135E4A">
              <w:rPr>
                <w:rFonts w:eastAsia="NSimSun"/>
                <w:color w:val="000000" w:themeColor="text1"/>
                <w:lang w:val="sr-Latn-CS"/>
              </w:rPr>
              <w:t xml:space="preserve">  [ ] N</w:t>
            </w:r>
            <w:r>
              <w:rPr>
                <w:rFonts w:eastAsia="NSimSun"/>
                <w:color w:val="000000" w:themeColor="text1"/>
                <w:lang w:val="sr-Latn-CS"/>
              </w:rPr>
              <w:t>e</w:t>
            </w:r>
          </w:p>
        </w:tc>
        <w:tc>
          <w:tcPr>
            <w:tcW w:w="1317" w:type="pct"/>
            <w:tcBorders>
              <w:top w:val="dotted" w:sz="4" w:space="0" w:color="auto"/>
              <w:left w:val="nil"/>
              <w:bottom w:val="dotted" w:sz="4" w:space="0" w:color="auto"/>
            </w:tcBorders>
          </w:tcPr>
          <w:p w:rsidR="003C113B" w:rsidRPr="00135E4A" w:rsidRDefault="003C113B" w:rsidP="00EF0E9D">
            <w:pPr>
              <w:jc w:val="both"/>
              <w:rPr>
                <w:rFonts w:eastAsia="NSimSun"/>
                <w:color w:val="000000" w:themeColor="text1"/>
                <w:lang w:val="sr-Latn-CS"/>
              </w:rPr>
            </w:pPr>
            <w:r>
              <w:rPr>
                <w:rFonts w:eastAsia="NSimSun"/>
                <w:color w:val="000000" w:themeColor="text1"/>
                <w:lang w:val="sr-Latn-CS"/>
              </w:rPr>
              <w:t>Videti Odeljak</w:t>
            </w:r>
            <w:r w:rsidRPr="00135E4A">
              <w:rPr>
                <w:rFonts w:eastAsia="NSimSun"/>
                <w:color w:val="000000" w:themeColor="text1"/>
                <w:lang w:val="sr-Latn-CS"/>
              </w:rPr>
              <w:t xml:space="preserve"> </w:t>
            </w:r>
            <w:r w:rsidRPr="00135E4A">
              <w:rPr>
                <w:rFonts w:eastAsia="NSimSun"/>
                <w:b/>
                <w:color w:val="000000" w:themeColor="text1"/>
                <w:lang w:val="sr-Latn-CS"/>
              </w:rPr>
              <w:t>A</w:t>
            </w:r>
            <w:r w:rsidRPr="00135E4A">
              <w:rPr>
                <w:rFonts w:eastAsia="NSimSun"/>
                <w:color w:val="000000" w:themeColor="text1"/>
                <w:lang w:val="sr-Latn-CS"/>
              </w:rPr>
              <w:t xml:space="preserve">, </w:t>
            </w:r>
            <w:r w:rsidRPr="00135E4A">
              <w:rPr>
                <w:rFonts w:eastAsia="NSimSun"/>
                <w:b/>
                <w:color w:val="000000" w:themeColor="text1"/>
                <w:lang w:val="sr-Latn-CS"/>
              </w:rPr>
              <w:t>C</w:t>
            </w:r>
            <w:r w:rsidRPr="00135E4A">
              <w:rPr>
                <w:rFonts w:eastAsia="NSimSun"/>
                <w:color w:val="000000" w:themeColor="text1"/>
                <w:lang w:val="sr-Latn-CS"/>
              </w:rPr>
              <w:t xml:space="preserve"> </w:t>
            </w:r>
            <w:r>
              <w:rPr>
                <w:rFonts w:eastAsia="NSimSun"/>
                <w:color w:val="000000" w:themeColor="text1"/>
                <w:lang w:val="sr-Latn-CS"/>
              </w:rPr>
              <w:t>u daljem tekstu</w:t>
            </w:r>
          </w:p>
        </w:tc>
      </w:tr>
      <w:tr w:rsidR="003C113B" w:rsidRPr="00627140" w:rsidTr="003C113B">
        <w:trPr>
          <w:trHeight w:val="58"/>
        </w:trPr>
        <w:tc>
          <w:tcPr>
            <w:tcW w:w="947" w:type="pct"/>
            <w:vMerge/>
          </w:tcPr>
          <w:p w:rsidR="003C113B" w:rsidRPr="003B3244" w:rsidRDefault="003C113B" w:rsidP="003B3244">
            <w:pPr>
              <w:jc w:val="both"/>
              <w:rPr>
                <w:rFonts w:eastAsia="NSimSun"/>
                <w:lang w:val="sr-Latn-CS"/>
              </w:rPr>
            </w:pPr>
          </w:p>
        </w:tc>
        <w:tc>
          <w:tcPr>
            <w:tcW w:w="1807" w:type="pct"/>
            <w:tcBorders>
              <w:top w:val="dotted" w:sz="4" w:space="0" w:color="auto"/>
              <w:bottom w:val="dotted" w:sz="4" w:space="0" w:color="auto"/>
              <w:right w:val="nil"/>
            </w:tcBorders>
          </w:tcPr>
          <w:p w:rsidR="003C113B" w:rsidRPr="00135E4A" w:rsidRDefault="003C113B" w:rsidP="00EF0E9D">
            <w:pPr>
              <w:numPr>
                <w:ilvl w:val="0"/>
                <w:numId w:val="16"/>
              </w:numPr>
              <w:spacing w:after="120" w:line="240" w:lineRule="auto"/>
              <w:jc w:val="both"/>
              <w:rPr>
                <w:rFonts w:eastAsia="NSimSun"/>
                <w:color w:val="000000" w:themeColor="text1"/>
                <w:lang w:val="sr-Latn-CS"/>
              </w:rPr>
            </w:pPr>
            <w:r>
              <w:rPr>
                <w:rFonts w:eastAsia="NSimSun"/>
                <w:color w:val="000000" w:themeColor="text1"/>
                <w:lang w:val="sr-Latn-CS"/>
              </w:rPr>
              <w:t>Nabavka hemikalija</w:t>
            </w:r>
            <w:r w:rsidRPr="00135E4A">
              <w:rPr>
                <w:rFonts w:eastAsia="NSimSun"/>
                <w:color w:val="000000" w:themeColor="text1"/>
                <w:lang w:val="sr-Latn-CS"/>
              </w:rPr>
              <w:t xml:space="preserve"> </w:t>
            </w:r>
          </w:p>
        </w:tc>
        <w:tc>
          <w:tcPr>
            <w:tcW w:w="928" w:type="pct"/>
            <w:tcBorders>
              <w:top w:val="dotted" w:sz="4" w:space="0" w:color="auto"/>
              <w:left w:val="nil"/>
              <w:bottom w:val="dotted" w:sz="4" w:space="0" w:color="auto"/>
              <w:right w:val="nil"/>
            </w:tcBorders>
          </w:tcPr>
          <w:p w:rsidR="003C113B" w:rsidRPr="00135E4A" w:rsidRDefault="003C113B" w:rsidP="00EF0E9D">
            <w:pPr>
              <w:jc w:val="both"/>
              <w:rPr>
                <w:rFonts w:eastAsia="NSimSun"/>
                <w:color w:val="000000" w:themeColor="text1"/>
                <w:lang w:val="sr-Latn-CS"/>
              </w:rPr>
            </w:pPr>
            <w:r w:rsidRPr="00135E4A">
              <w:rPr>
                <w:rFonts w:eastAsia="NSimSun"/>
                <w:color w:val="000000" w:themeColor="text1"/>
                <w:lang w:val="sr-Latn-CS"/>
              </w:rPr>
              <w:t xml:space="preserve">[ ] </w:t>
            </w:r>
            <w:r>
              <w:rPr>
                <w:rFonts w:eastAsia="NSimSun"/>
                <w:color w:val="000000" w:themeColor="text1"/>
                <w:lang w:val="sr-Latn-CS"/>
              </w:rPr>
              <w:t>Da</w:t>
            </w:r>
            <w:r w:rsidRPr="00135E4A">
              <w:rPr>
                <w:rFonts w:eastAsia="NSimSun"/>
                <w:color w:val="000000" w:themeColor="text1"/>
                <w:lang w:val="sr-Latn-CS"/>
              </w:rPr>
              <w:t xml:space="preserve">  [ ] N</w:t>
            </w:r>
            <w:r>
              <w:rPr>
                <w:rFonts w:eastAsia="NSimSun"/>
                <w:color w:val="000000" w:themeColor="text1"/>
                <w:lang w:val="sr-Latn-CS"/>
              </w:rPr>
              <w:t>e</w:t>
            </w:r>
          </w:p>
        </w:tc>
        <w:tc>
          <w:tcPr>
            <w:tcW w:w="1317" w:type="pct"/>
            <w:tcBorders>
              <w:top w:val="dotted" w:sz="4" w:space="0" w:color="auto"/>
              <w:left w:val="nil"/>
              <w:bottom w:val="dotted" w:sz="4" w:space="0" w:color="auto"/>
            </w:tcBorders>
          </w:tcPr>
          <w:p w:rsidR="003C113B" w:rsidRPr="00135E4A" w:rsidRDefault="003C113B" w:rsidP="00EF0E9D">
            <w:pPr>
              <w:jc w:val="both"/>
              <w:rPr>
                <w:rFonts w:eastAsia="NSimSun"/>
                <w:color w:val="000000" w:themeColor="text1"/>
                <w:lang w:val="sr-Latn-CS"/>
              </w:rPr>
            </w:pPr>
            <w:r>
              <w:rPr>
                <w:rFonts w:eastAsia="NSimSun"/>
                <w:color w:val="000000" w:themeColor="text1"/>
                <w:lang w:val="sr-Latn-CS"/>
              </w:rPr>
              <w:t>Videti Odeljak</w:t>
            </w:r>
            <w:r w:rsidRPr="00135E4A">
              <w:rPr>
                <w:rFonts w:eastAsia="NSimSun"/>
                <w:color w:val="000000" w:themeColor="text1"/>
                <w:lang w:val="sr-Latn-CS"/>
              </w:rPr>
              <w:t xml:space="preserve"> </w:t>
            </w:r>
            <w:r w:rsidRPr="00135E4A">
              <w:rPr>
                <w:rFonts w:eastAsia="NSimSun"/>
                <w:b/>
                <w:color w:val="000000" w:themeColor="text1"/>
                <w:lang w:val="sr-Latn-CS"/>
              </w:rPr>
              <w:t>A</w:t>
            </w:r>
            <w:r w:rsidRPr="00135E4A">
              <w:rPr>
                <w:rFonts w:eastAsia="NSimSun"/>
                <w:color w:val="000000" w:themeColor="text1"/>
                <w:lang w:val="sr-Latn-CS"/>
              </w:rPr>
              <w:t xml:space="preserve">, </w:t>
            </w:r>
            <w:r w:rsidRPr="00135E4A">
              <w:rPr>
                <w:rFonts w:eastAsia="NSimSun"/>
                <w:b/>
                <w:color w:val="000000" w:themeColor="text1"/>
                <w:lang w:val="sr-Latn-CS"/>
              </w:rPr>
              <w:t>D</w:t>
            </w:r>
            <w:r w:rsidRPr="00135E4A">
              <w:rPr>
                <w:rFonts w:eastAsia="NSimSun"/>
                <w:color w:val="000000" w:themeColor="text1"/>
                <w:lang w:val="sr-Latn-CS"/>
              </w:rPr>
              <w:t xml:space="preserve"> </w:t>
            </w:r>
            <w:r>
              <w:rPr>
                <w:rFonts w:eastAsia="NSimSun"/>
                <w:color w:val="000000" w:themeColor="text1"/>
                <w:lang w:val="sr-Latn-CS"/>
              </w:rPr>
              <w:t>u daljem tekstu</w:t>
            </w:r>
          </w:p>
        </w:tc>
      </w:tr>
    </w:tbl>
    <w:p w:rsidR="00F3731A" w:rsidRDefault="00F3731A" w:rsidP="00F3731A">
      <w:pPr>
        <w:jc w:val="both"/>
        <w:rPr>
          <w:lang w:val="sr-Latn-CS"/>
        </w:rPr>
      </w:pPr>
    </w:p>
    <w:p w:rsidR="00175B16" w:rsidRPr="003B3244" w:rsidRDefault="00175B16" w:rsidP="00F3731A">
      <w:pPr>
        <w:jc w:val="both"/>
        <w:rPr>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2050"/>
        <w:gridCol w:w="6377"/>
      </w:tblGrid>
      <w:tr w:rsidR="003C113B" w:rsidRPr="003B3244" w:rsidTr="003C113B">
        <w:trPr>
          <w:tblHeader/>
        </w:trPr>
        <w:tc>
          <w:tcPr>
            <w:tcW w:w="745" w:type="pct"/>
            <w:shd w:val="clear" w:color="auto" w:fill="E6E6E6"/>
          </w:tcPr>
          <w:p w:rsidR="003C113B" w:rsidRPr="00CB6A2C" w:rsidRDefault="003C113B" w:rsidP="00EF0E9D">
            <w:pPr>
              <w:jc w:val="both"/>
              <w:rPr>
                <w:rFonts w:eastAsia="NSimSun"/>
                <w:b/>
                <w:lang w:val="sr-Latn-CS"/>
              </w:rPr>
            </w:pPr>
            <w:r w:rsidRPr="00CB6A2C">
              <w:rPr>
                <w:rFonts w:eastAsia="NSimSun"/>
                <w:b/>
                <w:lang w:val="sr-Latn-CS"/>
              </w:rPr>
              <w:t>AKTIVNOST</w:t>
            </w:r>
          </w:p>
        </w:tc>
        <w:tc>
          <w:tcPr>
            <w:tcW w:w="1035" w:type="pct"/>
            <w:shd w:val="clear" w:color="auto" w:fill="E6E6E6"/>
          </w:tcPr>
          <w:p w:rsidR="003C113B" w:rsidRPr="00CB6A2C" w:rsidRDefault="003C113B" w:rsidP="00EF0E9D">
            <w:pPr>
              <w:jc w:val="both"/>
              <w:rPr>
                <w:rFonts w:eastAsia="NSimSun"/>
                <w:b/>
                <w:lang w:val="sr-Latn-CS"/>
              </w:rPr>
            </w:pPr>
            <w:r>
              <w:rPr>
                <w:rFonts w:eastAsia="NSimSun"/>
                <w:b/>
                <w:lang w:val="sr-Latn-CS"/>
              </w:rPr>
              <w:t>PARAMETA</w:t>
            </w:r>
            <w:r w:rsidRPr="00CB6A2C">
              <w:rPr>
                <w:rFonts w:eastAsia="NSimSun"/>
                <w:b/>
                <w:lang w:val="sr-Latn-CS"/>
              </w:rPr>
              <w:t>R</w:t>
            </w:r>
          </w:p>
        </w:tc>
        <w:tc>
          <w:tcPr>
            <w:tcW w:w="3220" w:type="pct"/>
            <w:tcBorders>
              <w:left w:val="nil"/>
            </w:tcBorders>
            <w:shd w:val="clear" w:color="auto" w:fill="E6E6E6"/>
          </w:tcPr>
          <w:p w:rsidR="003C113B" w:rsidRPr="00CB6A2C" w:rsidRDefault="003C113B" w:rsidP="00EF0E9D">
            <w:pPr>
              <w:jc w:val="both"/>
              <w:rPr>
                <w:rFonts w:eastAsia="NSimSun"/>
                <w:b/>
                <w:lang w:val="sr-Latn-CS"/>
              </w:rPr>
            </w:pPr>
            <w:r w:rsidRPr="00CB6A2C">
              <w:rPr>
                <w:rFonts w:eastAsia="NSimSun"/>
                <w:b/>
                <w:lang w:val="sr-Latn-CS"/>
              </w:rPr>
              <w:t>KONTROLNA LISTA MER</w:t>
            </w:r>
            <w:r>
              <w:rPr>
                <w:rFonts w:eastAsia="NSimSun"/>
                <w:b/>
                <w:lang w:val="sr-Latn-CS"/>
              </w:rPr>
              <w:t>A UBLAŽAVANJA</w:t>
            </w:r>
          </w:p>
        </w:tc>
      </w:tr>
      <w:tr w:rsidR="00AC7499" w:rsidRPr="00627140" w:rsidTr="003C113B">
        <w:tc>
          <w:tcPr>
            <w:tcW w:w="745" w:type="pct"/>
            <w:vMerge w:val="restart"/>
          </w:tcPr>
          <w:p w:rsidR="00AC7499" w:rsidRPr="00CB6A2C" w:rsidRDefault="00AC7499" w:rsidP="00EF0E9D">
            <w:pPr>
              <w:jc w:val="both"/>
              <w:rPr>
                <w:rFonts w:eastAsia="NSimSun"/>
                <w:b/>
                <w:color w:val="000000" w:themeColor="text1"/>
                <w:lang w:val="sr-Latn-CS"/>
              </w:rPr>
            </w:pPr>
            <w:r w:rsidRPr="00CB6A2C">
              <w:rPr>
                <w:rFonts w:eastAsia="NSimSun"/>
                <w:b/>
                <w:color w:val="000000" w:themeColor="text1"/>
                <w:lang w:val="sr-Latn-CS"/>
              </w:rPr>
              <w:t>A</w:t>
            </w:r>
            <w:r w:rsidRPr="00CB6A2C">
              <w:rPr>
                <w:rFonts w:eastAsia="NSimSun"/>
                <w:color w:val="000000" w:themeColor="text1"/>
                <w:lang w:val="sr-Latn-CS"/>
              </w:rPr>
              <w:t>. Opšti uslovi</w:t>
            </w:r>
          </w:p>
          <w:p w:rsidR="00AC7499" w:rsidRPr="00CB6A2C" w:rsidRDefault="00AC7499" w:rsidP="00EF0E9D">
            <w:pPr>
              <w:jc w:val="both"/>
              <w:rPr>
                <w:rFonts w:eastAsia="NSimSun"/>
                <w:b/>
                <w:color w:val="2E74B5"/>
                <w:lang w:val="sr-Latn-CS"/>
              </w:rPr>
            </w:pPr>
          </w:p>
        </w:tc>
        <w:tc>
          <w:tcPr>
            <w:tcW w:w="1035" w:type="pct"/>
            <w:tcBorders>
              <w:bottom w:val="dotted" w:sz="4" w:space="0" w:color="auto"/>
            </w:tcBorders>
          </w:tcPr>
          <w:p w:rsidR="00AC7499" w:rsidRPr="00CB6A2C" w:rsidRDefault="00AC7499" w:rsidP="00EF0E9D">
            <w:pPr>
              <w:rPr>
                <w:lang w:val="sr-Latn-CS"/>
              </w:rPr>
            </w:pPr>
            <w:r w:rsidRPr="00CB6A2C">
              <w:rPr>
                <w:rFonts w:eastAsia="NSimSun"/>
                <w:lang w:val="sr-Latn-CS"/>
              </w:rPr>
              <w:t>Obaveštenje i bezbednost radnika</w:t>
            </w:r>
          </w:p>
          <w:p w:rsidR="00AC7499" w:rsidRPr="00CB6A2C" w:rsidRDefault="00AC7499" w:rsidP="00EF0E9D">
            <w:pPr>
              <w:jc w:val="both"/>
              <w:rPr>
                <w:rFonts w:eastAsia="NSimSun"/>
                <w:color w:val="2E74B5"/>
                <w:lang w:val="sr-Latn-CS"/>
              </w:rPr>
            </w:pPr>
          </w:p>
        </w:tc>
        <w:tc>
          <w:tcPr>
            <w:tcW w:w="3220" w:type="pct"/>
          </w:tcPr>
          <w:p w:rsidR="00B934EF" w:rsidRPr="00B934EF" w:rsidRDefault="00B934EF" w:rsidP="00B934EF">
            <w:pPr>
              <w:numPr>
                <w:ilvl w:val="0"/>
                <w:numId w:val="19"/>
              </w:numPr>
              <w:spacing w:before="120" w:after="120"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Pružiti informacije lokalnom stanovništvu o obimu, vremenu početka i vremenu trajanja građevinskih aktivnosti pripremom obaveštenja koje će biti postavljeno na oglasnu tablu opštine i na veb stranici opštine i na druge načine, ukoliko je potrebno, kako bi se osiguralo da je lokalno stanovništvo dobro informisano;</w:t>
            </w:r>
          </w:p>
          <w:p w:rsidR="00B934EF" w:rsidRPr="00B934EF" w:rsidRDefault="00B934EF" w:rsidP="00B934EF">
            <w:pPr>
              <w:numPr>
                <w:ilvl w:val="0"/>
                <w:numId w:val="19"/>
              </w:numPr>
              <w:spacing w:after="120"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Lokalni građevinski objekat i inspekcije za zaštitu životne sredine/prirode obavešteni su o radovima pre početka istih;</w:t>
            </w:r>
          </w:p>
          <w:p w:rsidR="00B934EF" w:rsidRPr="00B934EF" w:rsidRDefault="00B934EF" w:rsidP="00B934EF">
            <w:pPr>
              <w:numPr>
                <w:ilvl w:val="0"/>
                <w:numId w:val="19"/>
              </w:numPr>
              <w:spacing w:after="200" w:line="240" w:lineRule="auto"/>
              <w:contextualSpacing/>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Sve potrebne dozvole/mišljenja/odobrenja dobijaju se pre početka radova (uključujući građevinske radove i ostalo);</w:t>
            </w:r>
          </w:p>
          <w:p w:rsidR="00B934EF" w:rsidRPr="00B934EF" w:rsidRDefault="00B934EF" w:rsidP="0083420C">
            <w:pPr>
              <w:numPr>
                <w:ilvl w:val="0"/>
                <w:numId w:val="19"/>
              </w:numPr>
              <w:spacing w:before="240"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Svi radovi će se odvijati na siguran i disciplinovan način;</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Lična zaštitna odeća i oprema radnika dostupni su u dovoljnim količinama i koriste se/nose se u svakom trenutku;</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Radnici moraju biti adekvatno obučeni, sertifikovani i iskusni za rad koji obavljaju (npr. za radove na visinama);</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Otvorene jame su pokrivene i jasno označene kada se na njima ne radi;</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Osigurati odgovarajuću oznaku i oglasnu tablu na mestu izvođenja radova rekonstrukcije</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Obeležiti mesta za privremeno skladištenje materijala za rekonstrukciju u blizini lokacije</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 xml:space="preserve">Obezbediti trake upozorenja, ograde i odgovarajuće znakove koji ukazuju na opasnost, ključna pravila i postupke koje treba pratiti. </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 xml:space="preserve">Zabraniti ulaz nezaposlenim licima unutar traka upozorenja i ograda kada/gde je to potrebno. </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 xml:space="preserve">Okolinu u blizini sportske dvorane treba održavati čistom </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lastRenderedPageBreak/>
              <w:t>Mašinama treba rukovati samo iskusno i adekvatno obučeno osoblje, čime se smanjuje rizik od nesreća;</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Svi radnici moraju biti upoznati sa opasnostima od požara i merama zaštite od požara i moraju biti obučeni za rukovanje protivpožarnim aparatima, hidrantima i drugim uređajima koji se koriste za gašenje požara</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 xml:space="preserve">Uređaji, oprema i aparati za gašenje požara trebaju uvek da budu funkcionalni da bi u slučaju potrebe mogli biti brzo i efikasno upotrebljeni. Kompleti za prvu pomoć trebaju biti dostupni na mestu radova i osoblju koje je obučeno kako da ih koristi. </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 xml:space="preserve">Postupci za hitne slučajeve (uključujući izlivanja, nesreće, itd.) dostupni su na sajtu. </w:t>
            </w:r>
          </w:p>
          <w:p w:rsidR="00B934EF" w:rsidRPr="00B934EF" w:rsidRDefault="00B934EF" w:rsidP="0083420C">
            <w:pPr>
              <w:numPr>
                <w:ilvl w:val="0"/>
                <w:numId w:val="19"/>
              </w:numPr>
              <w:spacing w:afterLines="60" w:after="144" w:line="240" w:lineRule="auto"/>
              <w:jc w:val="both"/>
              <w:rPr>
                <w:rFonts w:ascii="Times New Roman" w:eastAsia="Times New Roman" w:hAnsi="Times New Roman" w:cs="Times New Roman"/>
                <w:lang w:val="sr-Latn-CS"/>
              </w:rPr>
            </w:pPr>
            <w:r w:rsidRPr="00B934EF">
              <w:rPr>
                <w:rFonts w:ascii="Times New Roman" w:eastAsia="Times New Roman" w:hAnsi="Times New Roman" w:cs="Times New Roman"/>
                <w:lang w:val="sr-Latn-CS"/>
              </w:rPr>
              <w:t>Sanitarni objekti (toaleti) moraju biti obezbeđeni za radnike.</w:t>
            </w:r>
          </w:p>
          <w:p w:rsidR="00AC7499" w:rsidRPr="003B3244" w:rsidRDefault="00B934EF" w:rsidP="0083420C">
            <w:pPr>
              <w:pStyle w:val="ListParagraph"/>
              <w:widowControl/>
              <w:numPr>
                <w:ilvl w:val="0"/>
                <w:numId w:val="19"/>
              </w:numPr>
              <w:autoSpaceDE/>
              <w:autoSpaceDN/>
              <w:spacing w:before="0" w:afterLines="60" w:after="144"/>
              <w:jc w:val="both"/>
              <w:rPr>
                <w:rFonts w:eastAsia="NSimSun"/>
                <w:lang w:val="sr-Latn-CS"/>
              </w:rPr>
            </w:pPr>
            <w:r w:rsidRPr="00B934EF">
              <w:rPr>
                <w:rFonts w:ascii="Calibri" w:eastAsia="Calibri" w:hAnsi="Calibri"/>
                <w:lang w:val="sr-Latn-CS"/>
              </w:rPr>
              <w:t>Kupljena oprema će biti instalirana i korišćena u skladu sa svim merama bezbednosti koje propisuje proizvođač opreme i najbolje prakse</w:t>
            </w:r>
            <w:r w:rsidR="00AC7499" w:rsidRPr="003B3244">
              <w:rPr>
                <w:lang w:val="sr-Latn-CS"/>
              </w:rPr>
              <w:t xml:space="preserve">. </w:t>
            </w:r>
          </w:p>
        </w:tc>
      </w:tr>
      <w:tr w:rsidR="00F3731A" w:rsidRPr="00627140" w:rsidTr="003C113B">
        <w:tc>
          <w:tcPr>
            <w:tcW w:w="745" w:type="pct"/>
            <w:vMerge/>
          </w:tcPr>
          <w:p w:rsidR="00F3731A" w:rsidRPr="003B3244" w:rsidRDefault="00F3731A" w:rsidP="003B3244">
            <w:pPr>
              <w:jc w:val="both"/>
              <w:rPr>
                <w:rFonts w:eastAsia="NSimSun"/>
                <w:color w:val="2E74B5"/>
                <w:lang w:val="sr-Latn-CS"/>
              </w:rPr>
            </w:pPr>
          </w:p>
        </w:tc>
        <w:tc>
          <w:tcPr>
            <w:tcW w:w="1035" w:type="pct"/>
            <w:tcBorders>
              <w:bottom w:val="dotted" w:sz="4" w:space="0" w:color="auto"/>
            </w:tcBorders>
          </w:tcPr>
          <w:p w:rsidR="00F3731A" w:rsidRPr="003B3244" w:rsidRDefault="00860B0B" w:rsidP="003B3244">
            <w:pPr>
              <w:jc w:val="both"/>
              <w:rPr>
                <w:rFonts w:eastAsia="NSimSun"/>
                <w:color w:val="2E74B5"/>
                <w:lang w:val="sr-Latn-CS"/>
              </w:rPr>
            </w:pPr>
            <w:r>
              <w:rPr>
                <w:rFonts w:eastAsia="NSimSun"/>
                <w:lang w:val="sr-Latn-CS"/>
              </w:rPr>
              <w:t>Kvalitet vazduha</w:t>
            </w:r>
            <w:r w:rsidR="00F3731A" w:rsidRPr="003B3244">
              <w:rPr>
                <w:rFonts w:eastAsia="NSimSun"/>
                <w:lang w:val="sr-Latn-CS"/>
              </w:rPr>
              <w:t xml:space="preserve"> </w:t>
            </w:r>
          </w:p>
        </w:tc>
        <w:tc>
          <w:tcPr>
            <w:tcW w:w="3220" w:type="pct"/>
            <w:tcBorders>
              <w:bottom w:val="dotted" w:sz="4" w:space="0" w:color="auto"/>
            </w:tcBorders>
          </w:tcPr>
          <w:p w:rsidR="005E03DF" w:rsidRPr="005E03DF" w:rsidRDefault="005E03DF" w:rsidP="005E03DF">
            <w:pPr>
              <w:numPr>
                <w:ilvl w:val="0"/>
                <w:numId w:val="20"/>
              </w:numPr>
              <w:spacing w:before="240"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Gradilište, transportne rute i lokacije za rukovanje materijalima treba prskati vodom tokom suvih i vetrovitih dana.</w:t>
            </w:r>
          </w:p>
          <w:p w:rsidR="005E03DF" w:rsidRPr="005E03DF" w:rsidRDefault="005E03DF" w:rsidP="005E03DF">
            <w:pPr>
              <w:numPr>
                <w:ilvl w:val="0"/>
                <w:numId w:val="20"/>
              </w:numPr>
              <w:spacing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Građevinski materijal treba skladištiti na odgovarajućim pokrivenim mestima kako bi se smanjilo sakupljanje prašine</w:t>
            </w:r>
          </w:p>
          <w:p w:rsidR="005E03DF" w:rsidRPr="005E03DF" w:rsidRDefault="005E03DF" w:rsidP="005E03DF">
            <w:pPr>
              <w:numPr>
                <w:ilvl w:val="0"/>
                <w:numId w:val="20"/>
              </w:numPr>
              <w:spacing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 xml:space="preserve">Tereti na vozilu koji verovatno emituju prašinu moraju biti pokriveni. </w:t>
            </w:r>
          </w:p>
          <w:p w:rsidR="005E03DF" w:rsidRPr="005E03DF" w:rsidRDefault="005E03DF" w:rsidP="005E03DF">
            <w:pPr>
              <w:numPr>
                <w:ilvl w:val="0"/>
                <w:numId w:val="20"/>
              </w:numPr>
              <w:spacing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 xml:space="preserve">Ograničenje brzine vozila do lokacije za rekonstrukciju. </w:t>
            </w:r>
          </w:p>
          <w:p w:rsidR="005E03DF" w:rsidRPr="005E03DF" w:rsidRDefault="005E03DF" w:rsidP="005E03DF">
            <w:pPr>
              <w:numPr>
                <w:ilvl w:val="0"/>
                <w:numId w:val="20"/>
              </w:numPr>
              <w:spacing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 xml:space="preserve">Putevi se redovno čiste na kritičnim tačkama. </w:t>
            </w:r>
          </w:p>
          <w:p w:rsidR="005E03DF" w:rsidRPr="005E03DF" w:rsidRDefault="005E03DF" w:rsidP="005E03DF">
            <w:pPr>
              <w:numPr>
                <w:ilvl w:val="0"/>
                <w:numId w:val="20"/>
              </w:numPr>
              <w:spacing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Zalihe držati izdignutim od tla. Zaštititi ceradom/ogradom u slučaju vetrovitog vremena.</w:t>
            </w:r>
          </w:p>
          <w:p w:rsidR="005E03DF" w:rsidRPr="005E03DF" w:rsidRDefault="005E03DF" w:rsidP="005E03DF">
            <w:pPr>
              <w:numPr>
                <w:ilvl w:val="0"/>
                <w:numId w:val="20"/>
              </w:numPr>
              <w:spacing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 xml:space="preserve">Zalihe držati daleko od odvodnih cevi, prirodnih vodenih tokova i mesta koja su podložna eroziji zemljišta. </w:t>
            </w:r>
          </w:p>
          <w:p w:rsidR="005E03DF" w:rsidRPr="005E03DF" w:rsidRDefault="005E03DF" w:rsidP="005E03DF">
            <w:pPr>
              <w:numPr>
                <w:ilvl w:val="0"/>
                <w:numId w:val="20"/>
              </w:numPr>
              <w:spacing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Sva zemlja se pokriva kada se odnosi sa lokacije na mesto odlaganja.</w:t>
            </w:r>
          </w:p>
          <w:p w:rsidR="005E03DF" w:rsidRPr="005E03DF" w:rsidRDefault="005E03DF" w:rsidP="005E03DF">
            <w:pPr>
              <w:numPr>
                <w:ilvl w:val="0"/>
                <w:numId w:val="20"/>
              </w:numPr>
              <w:spacing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Osigurati da su sva transportna vozila i mašine opremljene odgovarajućom opremom za kontrolu emisija, koja se redovno održava i atestira.</w:t>
            </w:r>
          </w:p>
          <w:p w:rsidR="005E03DF" w:rsidRPr="005E03DF" w:rsidRDefault="005E03DF" w:rsidP="005E03DF">
            <w:pPr>
              <w:numPr>
                <w:ilvl w:val="0"/>
                <w:numId w:val="20"/>
              </w:numPr>
              <w:spacing w:after="60" w:line="240" w:lineRule="auto"/>
              <w:jc w:val="both"/>
              <w:rPr>
                <w:rFonts w:ascii="Times New Roman" w:eastAsia="Times New Roman" w:hAnsi="Times New Roman" w:cs="Times New Roman"/>
                <w:lang w:val="sr-Latn-CS"/>
              </w:rPr>
            </w:pPr>
            <w:r w:rsidRPr="005E03DF">
              <w:rPr>
                <w:rFonts w:ascii="Times New Roman" w:eastAsia="Times New Roman" w:hAnsi="Times New Roman" w:cs="Times New Roman"/>
                <w:lang w:val="sr-Latn-CS"/>
              </w:rPr>
              <w:t>Osigurati da sva vozila i mašine koriste benzin iz službenih izvora (licencirane benzinske pumpe) i da se koristi gorivo koje odredi proizvođač mašine i vozila.</w:t>
            </w:r>
          </w:p>
          <w:p w:rsidR="00F3731A" w:rsidRPr="003B3244" w:rsidRDefault="005E03DF" w:rsidP="005E03DF">
            <w:pPr>
              <w:pStyle w:val="ListParagraph"/>
              <w:widowControl/>
              <w:numPr>
                <w:ilvl w:val="0"/>
                <w:numId w:val="20"/>
              </w:numPr>
              <w:autoSpaceDE/>
              <w:autoSpaceDN/>
              <w:spacing w:before="0" w:after="60"/>
              <w:jc w:val="both"/>
              <w:rPr>
                <w:rFonts w:eastAsia="NSimSun"/>
                <w:lang w:val="sr-Latn-CS"/>
              </w:rPr>
            </w:pPr>
            <w:r w:rsidRPr="005E03DF">
              <w:rPr>
                <w:rFonts w:ascii="Calibri" w:eastAsia="Calibri" w:hAnsi="Calibri"/>
                <w:lang w:val="sr-Latn-CS"/>
              </w:rPr>
              <w:t>Na gradilištima neće biti prekomernog rada motora vozila u praznom hodu</w:t>
            </w:r>
            <w:r w:rsidR="00F3731A" w:rsidRPr="003B3244">
              <w:rPr>
                <w:lang w:val="sr-Latn-CS"/>
              </w:rPr>
              <w:t>.</w:t>
            </w:r>
          </w:p>
        </w:tc>
      </w:tr>
      <w:tr w:rsidR="00F3731A" w:rsidRPr="00627140" w:rsidTr="003C113B">
        <w:trPr>
          <w:trHeight w:val="520"/>
        </w:trPr>
        <w:tc>
          <w:tcPr>
            <w:tcW w:w="745" w:type="pct"/>
            <w:vMerge/>
          </w:tcPr>
          <w:p w:rsidR="00F3731A" w:rsidRPr="003B3244" w:rsidRDefault="00F3731A" w:rsidP="003B3244">
            <w:pPr>
              <w:jc w:val="both"/>
              <w:rPr>
                <w:rFonts w:eastAsia="NSimSun"/>
                <w:color w:val="2E74B5"/>
                <w:lang w:val="sr-Latn-CS"/>
              </w:rPr>
            </w:pPr>
          </w:p>
        </w:tc>
        <w:tc>
          <w:tcPr>
            <w:tcW w:w="1035" w:type="pct"/>
            <w:tcBorders>
              <w:top w:val="dotted" w:sz="4" w:space="0" w:color="auto"/>
              <w:bottom w:val="dotted" w:sz="4" w:space="0" w:color="auto"/>
            </w:tcBorders>
          </w:tcPr>
          <w:p w:rsidR="00F3731A" w:rsidRPr="003B3244" w:rsidRDefault="00A66CBE" w:rsidP="003B3244">
            <w:pPr>
              <w:jc w:val="both"/>
              <w:rPr>
                <w:rFonts w:eastAsia="NSimSun"/>
                <w:color w:val="2E74B5"/>
                <w:lang w:val="sr-Latn-CS"/>
              </w:rPr>
            </w:pPr>
            <w:r w:rsidRPr="00A66CBE">
              <w:rPr>
                <w:rFonts w:eastAsia="NSimSun"/>
                <w:lang w:val="sr-Latn-CS"/>
              </w:rPr>
              <w:t>Upravljanje transportom i materijalima</w:t>
            </w:r>
            <w:r w:rsidR="00F3731A" w:rsidRPr="003B3244">
              <w:rPr>
                <w:rFonts w:eastAsia="NSimSun"/>
                <w:lang w:val="sr-Latn-CS"/>
              </w:rPr>
              <w:t xml:space="preserve"> </w:t>
            </w:r>
          </w:p>
        </w:tc>
        <w:tc>
          <w:tcPr>
            <w:tcW w:w="3220" w:type="pct"/>
            <w:tcBorders>
              <w:top w:val="dotted" w:sz="4" w:space="0" w:color="auto"/>
              <w:bottom w:val="dotted" w:sz="4" w:space="0" w:color="auto"/>
            </w:tcBorders>
          </w:tcPr>
          <w:p w:rsidR="00E616AD" w:rsidRPr="00E616AD" w:rsidRDefault="00E616AD" w:rsidP="0083420C">
            <w:pPr>
              <w:numPr>
                <w:ilvl w:val="0"/>
                <w:numId w:val="29"/>
              </w:numPr>
              <w:spacing w:before="240" w:afterLines="60" w:after="144" w:line="240" w:lineRule="auto"/>
              <w:rPr>
                <w:rFonts w:ascii="Times New Roman" w:eastAsia="Times New Roman" w:hAnsi="Times New Roman" w:cs="Times New Roman"/>
                <w:lang w:val="sr-Latn-CS"/>
              </w:rPr>
            </w:pPr>
            <w:r w:rsidRPr="00E616AD">
              <w:rPr>
                <w:rFonts w:ascii="Times New Roman" w:eastAsia="Times New Roman" w:hAnsi="Times New Roman" w:cs="Times New Roman"/>
                <w:lang w:val="sr-Latn-CS"/>
              </w:rPr>
              <w:t xml:space="preserve">Krupni agregat od otpadnog betona koji se koristi pri popunjavanju rovova i u rehabilitaciji mora se prilagoditi zahtevima izdrživosti i gradacije. Agregat mora biti nov (da prethodno nije korišćen) i poželjno je da je lokalno proizveden. </w:t>
            </w:r>
          </w:p>
          <w:p w:rsidR="00F3731A" w:rsidRPr="003B3244" w:rsidRDefault="00E616AD" w:rsidP="0083420C">
            <w:pPr>
              <w:numPr>
                <w:ilvl w:val="0"/>
                <w:numId w:val="29"/>
              </w:numPr>
              <w:spacing w:afterLines="60" w:after="144" w:line="240" w:lineRule="auto"/>
              <w:jc w:val="both"/>
              <w:rPr>
                <w:rFonts w:eastAsia="NSimSun"/>
                <w:lang w:val="sr-Latn-CS"/>
              </w:rPr>
            </w:pPr>
            <w:r w:rsidRPr="00E616AD">
              <w:rPr>
                <w:rFonts w:ascii="Times New Roman" w:eastAsia="Times New Roman" w:hAnsi="Times New Roman" w:cs="Times New Roman"/>
                <w:lang w:val="sr-Latn-CS"/>
              </w:rPr>
              <w:t>Mineralni resursi (agregat, pesak, šljunak i sl.) nabavljaju se samo od licenciranih kompanija sa validnim koncesijama za iskopavanje/eksploataciju. Kompanije mogu dokazati da su S i Z mere i upravljanje životnom sredinom uvedene</w:t>
            </w:r>
            <w:r w:rsidR="00F3731A" w:rsidRPr="003B3244">
              <w:rPr>
                <w:rFonts w:ascii="Times New Roman" w:eastAsia="Times New Roman" w:hAnsi="Times New Roman" w:cs="Times New Roman"/>
                <w:lang w:val="sr-Latn-CS"/>
              </w:rPr>
              <w:t>.</w:t>
            </w:r>
          </w:p>
        </w:tc>
      </w:tr>
      <w:tr w:rsidR="00F3731A" w:rsidRPr="00627140" w:rsidTr="003C113B">
        <w:tc>
          <w:tcPr>
            <w:tcW w:w="745" w:type="pct"/>
            <w:vMerge/>
          </w:tcPr>
          <w:p w:rsidR="00F3731A" w:rsidRPr="003B3244" w:rsidRDefault="00F3731A" w:rsidP="003B3244">
            <w:pPr>
              <w:jc w:val="both"/>
              <w:rPr>
                <w:rFonts w:eastAsia="NSimSun"/>
                <w:color w:val="2E74B5"/>
                <w:lang w:val="sr-Latn-CS"/>
              </w:rPr>
            </w:pPr>
          </w:p>
        </w:tc>
        <w:tc>
          <w:tcPr>
            <w:tcW w:w="1035" w:type="pct"/>
            <w:tcBorders>
              <w:top w:val="dotted" w:sz="4" w:space="0" w:color="auto"/>
              <w:bottom w:val="dotted" w:sz="4" w:space="0" w:color="auto"/>
            </w:tcBorders>
          </w:tcPr>
          <w:p w:rsidR="00F3731A" w:rsidRPr="003B3244" w:rsidRDefault="00E616AD" w:rsidP="003B3244">
            <w:pPr>
              <w:jc w:val="both"/>
              <w:rPr>
                <w:rFonts w:eastAsia="NSimSun"/>
                <w:color w:val="2E74B5"/>
                <w:lang w:val="sr-Latn-CS"/>
              </w:rPr>
            </w:pPr>
            <w:r w:rsidRPr="00E616AD">
              <w:rPr>
                <w:rFonts w:eastAsia="NSimSun"/>
                <w:lang w:val="sr-Latn-CS"/>
              </w:rPr>
              <w:t>Buka</w:t>
            </w:r>
          </w:p>
        </w:tc>
        <w:tc>
          <w:tcPr>
            <w:tcW w:w="3220" w:type="pct"/>
            <w:tcBorders>
              <w:top w:val="dotted" w:sz="4" w:space="0" w:color="auto"/>
              <w:bottom w:val="dotted" w:sz="4" w:space="0" w:color="auto"/>
            </w:tcBorders>
          </w:tcPr>
          <w:p w:rsidR="00375E26" w:rsidRPr="00375E26" w:rsidRDefault="00375E26" w:rsidP="00375E26">
            <w:pPr>
              <w:numPr>
                <w:ilvl w:val="0"/>
                <w:numId w:val="21"/>
              </w:numPr>
              <w:spacing w:before="240" w:after="60" w:line="240" w:lineRule="auto"/>
              <w:jc w:val="both"/>
              <w:rPr>
                <w:rFonts w:ascii="Times New Roman" w:eastAsia="Times New Roman" w:hAnsi="Times New Roman" w:cs="Times New Roman"/>
                <w:lang w:val="sr-Latn-CS"/>
              </w:rPr>
            </w:pPr>
            <w:r w:rsidRPr="00375E26">
              <w:rPr>
                <w:rFonts w:ascii="Times New Roman" w:eastAsia="Times New Roman" w:hAnsi="Times New Roman" w:cs="Times New Roman"/>
                <w:lang w:val="sr-Latn-CS"/>
              </w:rPr>
              <w:t xml:space="preserve">Budući da je reč o urbano stambenom području </w:t>
            </w:r>
            <w:r w:rsidRPr="00375E26">
              <w:rPr>
                <w:rFonts w:ascii="Times New Roman" w:eastAsia="Times New Roman" w:hAnsi="Times New Roman" w:cs="Times New Roman"/>
                <w:u w:val="single"/>
                <w:lang w:val="sr-Latn-CS"/>
              </w:rPr>
              <w:t>(vožnja kroz grad do lokacije</w:t>
            </w:r>
            <w:r w:rsidRPr="00375E26">
              <w:rPr>
                <w:rFonts w:ascii="Times New Roman" w:eastAsia="Times New Roman" w:hAnsi="Times New Roman" w:cs="Times New Roman"/>
                <w:lang w:val="sr-Latn-CS"/>
              </w:rPr>
              <w:t>) nivo buke ne bi trebalo da prelazi 55dB tokom dana i večeri i 45dB tokom noći</w:t>
            </w:r>
          </w:p>
          <w:p w:rsidR="00375E26" w:rsidRPr="00375E26" w:rsidRDefault="00375E26" w:rsidP="00375E26">
            <w:pPr>
              <w:numPr>
                <w:ilvl w:val="0"/>
                <w:numId w:val="21"/>
              </w:numPr>
              <w:spacing w:after="60" w:line="240" w:lineRule="auto"/>
              <w:jc w:val="both"/>
              <w:rPr>
                <w:rFonts w:ascii="Times New Roman" w:eastAsia="Times New Roman" w:hAnsi="Times New Roman" w:cs="Times New Roman"/>
                <w:lang w:val="sr-Latn-CS"/>
              </w:rPr>
            </w:pPr>
            <w:r w:rsidRPr="00375E26">
              <w:rPr>
                <w:rFonts w:ascii="Times New Roman" w:eastAsia="Times New Roman" w:hAnsi="Times New Roman" w:cs="Times New Roman"/>
                <w:lang w:val="sr-Latn-CS"/>
              </w:rPr>
              <w:t>Građevinski radovi neće biti dozvoljeni tokom noći, a radovi na lokaciji su ograničeni na termin od 7.00 do 19.00 h (dogovoreno u dozvoli).</w:t>
            </w:r>
          </w:p>
          <w:p w:rsidR="00375E26" w:rsidRPr="00375E26" w:rsidRDefault="00375E26" w:rsidP="00375E26">
            <w:pPr>
              <w:numPr>
                <w:ilvl w:val="0"/>
                <w:numId w:val="21"/>
              </w:numPr>
              <w:spacing w:after="60" w:line="240" w:lineRule="auto"/>
              <w:jc w:val="both"/>
              <w:rPr>
                <w:rFonts w:ascii="Times New Roman" w:eastAsia="Times New Roman" w:hAnsi="Times New Roman" w:cs="Times New Roman"/>
                <w:lang w:val="sr-Latn-CS"/>
              </w:rPr>
            </w:pPr>
            <w:r w:rsidRPr="00375E26">
              <w:rPr>
                <w:rFonts w:ascii="Times New Roman" w:eastAsia="Times New Roman" w:hAnsi="Times New Roman" w:cs="Times New Roman"/>
                <w:lang w:val="sr-Latn-CS"/>
              </w:rPr>
              <w:t>Tokom rada, poklopci motora generatora, vazdušni kompresori i druga mehanička oprema sa pogonom, moraju biti zatvoreni,</w:t>
            </w:r>
            <w:r w:rsidR="0033295F">
              <w:rPr>
                <w:rFonts w:ascii="Times New Roman" w:eastAsia="Times New Roman" w:hAnsi="Times New Roman" w:cs="Times New Roman"/>
                <w:lang w:val="sr-Latn-CS"/>
              </w:rPr>
              <w:t xml:space="preserve"> </w:t>
            </w:r>
            <w:r w:rsidRPr="00375E26">
              <w:rPr>
                <w:rFonts w:ascii="Times New Roman" w:eastAsia="Times New Roman" w:hAnsi="Times New Roman" w:cs="Times New Roman"/>
                <w:lang w:val="sr-Latn-CS"/>
              </w:rPr>
              <w:t>a oprema postavljena što dalje od stambenih područja.</w:t>
            </w:r>
          </w:p>
          <w:p w:rsidR="00F3731A" w:rsidRPr="003B3244" w:rsidRDefault="00375E26" w:rsidP="00375E26">
            <w:pPr>
              <w:pStyle w:val="ListParagraph"/>
              <w:widowControl/>
              <w:numPr>
                <w:ilvl w:val="0"/>
                <w:numId w:val="21"/>
              </w:numPr>
              <w:autoSpaceDE/>
              <w:autoSpaceDN/>
              <w:spacing w:before="0" w:after="60"/>
              <w:jc w:val="both"/>
              <w:rPr>
                <w:rFonts w:eastAsia="NSimSun"/>
                <w:lang w:val="sr-Latn-CS"/>
              </w:rPr>
            </w:pPr>
            <w:r w:rsidRPr="00375E26">
              <w:rPr>
                <w:rFonts w:ascii="Calibri" w:eastAsia="Calibri" w:hAnsi="Calibri"/>
                <w:lang w:val="sr-Latn-CS"/>
              </w:rPr>
              <w:t>Pumpe i drugu mehaničku opremu treba efikasno održavati</w:t>
            </w:r>
            <w:r w:rsidR="00F3731A" w:rsidRPr="003B3244">
              <w:rPr>
                <w:lang w:val="sr-Latn-CS"/>
              </w:rPr>
              <w:t>.</w:t>
            </w:r>
          </w:p>
        </w:tc>
      </w:tr>
      <w:tr w:rsidR="00F3731A" w:rsidRPr="00627140" w:rsidTr="003C113B">
        <w:tc>
          <w:tcPr>
            <w:tcW w:w="745" w:type="pct"/>
            <w:vMerge/>
          </w:tcPr>
          <w:p w:rsidR="00F3731A" w:rsidRPr="003B3244" w:rsidRDefault="00F3731A" w:rsidP="003B3244">
            <w:pPr>
              <w:jc w:val="both"/>
              <w:rPr>
                <w:rFonts w:eastAsia="NSimSun"/>
                <w:color w:val="2E74B5"/>
                <w:lang w:val="sr-Latn-CS"/>
              </w:rPr>
            </w:pPr>
          </w:p>
        </w:tc>
        <w:tc>
          <w:tcPr>
            <w:tcW w:w="1035" w:type="pct"/>
            <w:tcBorders>
              <w:top w:val="dotted" w:sz="4" w:space="0" w:color="auto"/>
            </w:tcBorders>
          </w:tcPr>
          <w:p w:rsidR="00F3731A" w:rsidRPr="003B3244" w:rsidRDefault="00375E26" w:rsidP="003B3244">
            <w:pPr>
              <w:jc w:val="both"/>
              <w:rPr>
                <w:rFonts w:eastAsia="NSimSun"/>
                <w:color w:val="2E74B5"/>
                <w:lang w:val="sr-Latn-CS"/>
              </w:rPr>
            </w:pPr>
            <w:r w:rsidRPr="00375E26">
              <w:rPr>
                <w:rFonts w:eastAsia="NSimSun"/>
                <w:lang w:val="sr-Latn-CS"/>
              </w:rPr>
              <w:t>Kvalitet vode i zemljišta</w:t>
            </w:r>
            <w:r w:rsidR="00F3731A" w:rsidRPr="003B3244">
              <w:rPr>
                <w:rFonts w:eastAsia="NSimSun"/>
                <w:lang w:val="sr-Latn-CS"/>
              </w:rPr>
              <w:t xml:space="preserve"> </w:t>
            </w:r>
          </w:p>
        </w:tc>
        <w:tc>
          <w:tcPr>
            <w:tcW w:w="3220" w:type="pct"/>
            <w:tcBorders>
              <w:top w:val="dotted" w:sz="4" w:space="0" w:color="auto"/>
            </w:tcBorders>
          </w:tcPr>
          <w:p w:rsidR="00794C8F" w:rsidRPr="00794C8F" w:rsidRDefault="00F3731A" w:rsidP="0083420C">
            <w:pPr>
              <w:pStyle w:val="ListParagraph"/>
              <w:widowControl/>
              <w:numPr>
                <w:ilvl w:val="0"/>
                <w:numId w:val="22"/>
              </w:numPr>
              <w:autoSpaceDE/>
              <w:autoSpaceDN/>
              <w:spacing w:before="240" w:afterLines="60" w:after="144"/>
              <w:jc w:val="both"/>
              <w:rPr>
                <w:lang w:val="sr-Latn-CS"/>
              </w:rPr>
            </w:pPr>
            <w:r w:rsidRPr="003B3244">
              <w:rPr>
                <w:lang w:val="sr-Latn-CS"/>
              </w:rPr>
              <w:t xml:space="preserve"> </w:t>
            </w:r>
            <w:r w:rsidR="00794C8F" w:rsidRPr="00794C8F">
              <w:rPr>
                <w:lang w:val="sr-Latn-CS"/>
              </w:rPr>
              <w:t>Sprečiti opasnost izlivanje otpada (privremeno skladištenje otpada treba da bude zaštićeno od curenja i skladišta za opasni ili toksični otpad treba da budu opremljena sekundarnim sistemom za zadržavanje, npr. kontejnerima sa duplim zidovima ili zaštitom).</w:t>
            </w:r>
          </w:p>
          <w:p w:rsidR="00794C8F" w:rsidRPr="00794C8F" w:rsidRDefault="00794C8F" w:rsidP="0083420C">
            <w:pPr>
              <w:numPr>
                <w:ilvl w:val="0"/>
                <w:numId w:val="22"/>
              </w:numPr>
              <w:spacing w:afterLines="60" w:after="144" w:line="240" w:lineRule="auto"/>
              <w:jc w:val="both"/>
              <w:rPr>
                <w:rFonts w:ascii="Times New Roman" w:eastAsia="Times New Roman" w:hAnsi="Times New Roman" w:cs="Times New Roman"/>
                <w:lang w:val="sr-Latn-CS"/>
              </w:rPr>
            </w:pPr>
            <w:r w:rsidRPr="00794C8F">
              <w:rPr>
                <w:rFonts w:ascii="Times New Roman" w:eastAsia="Times New Roman" w:hAnsi="Times New Roman" w:cs="Times New Roman"/>
                <w:lang w:val="sr-Latn-CS"/>
              </w:rPr>
              <w:t xml:space="preserve">Ukoliko dođe do opasnog izlivanja, potrebno je isto ublažiti i ukloniti, očistiti lokaciju i pratiti postupke i mere za upravljanje opasnim otpadom. </w:t>
            </w:r>
          </w:p>
          <w:p w:rsidR="00794C8F" w:rsidRPr="00794C8F" w:rsidRDefault="00794C8F" w:rsidP="0083420C">
            <w:pPr>
              <w:numPr>
                <w:ilvl w:val="0"/>
                <w:numId w:val="22"/>
              </w:numPr>
              <w:spacing w:afterLines="60" w:after="144" w:line="240" w:lineRule="auto"/>
              <w:jc w:val="both"/>
              <w:rPr>
                <w:rFonts w:ascii="Times New Roman" w:eastAsia="Times New Roman" w:hAnsi="Times New Roman" w:cs="Times New Roman"/>
                <w:lang w:val="sr-Latn-CS"/>
              </w:rPr>
            </w:pPr>
            <w:r w:rsidRPr="00794C8F">
              <w:rPr>
                <w:rFonts w:ascii="Times New Roman" w:eastAsia="Times New Roman" w:hAnsi="Times New Roman" w:cs="Times New Roman"/>
                <w:lang w:val="sr-Latn-CS"/>
              </w:rPr>
              <w:t xml:space="preserve">U slučaju da bilo koja materija curi iz područja izvođenja radova koja je potencijalno kontaminirana opasnim supstancama, prikuplja se na licu mesta u rezervoar za privremeno prikupljanje i transportuje u adekvatno licencirano postrojenje za prečišćavanje otpadnih voda. </w:t>
            </w:r>
          </w:p>
          <w:p w:rsidR="00794C8F" w:rsidRPr="00794C8F" w:rsidRDefault="00794C8F" w:rsidP="0083420C">
            <w:pPr>
              <w:numPr>
                <w:ilvl w:val="0"/>
                <w:numId w:val="22"/>
              </w:numPr>
              <w:spacing w:afterLines="60" w:after="144" w:line="240" w:lineRule="auto"/>
              <w:jc w:val="both"/>
              <w:rPr>
                <w:rFonts w:ascii="Times New Roman" w:eastAsia="Times New Roman" w:hAnsi="Times New Roman" w:cs="Times New Roman"/>
                <w:lang w:val="sr-Latn-CS"/>
              </w:rPr>
            </w:pPr>
            <w:r w:rsidRPr="00794C8F">
              <w:rPr>
                <w:rFonts w:ascii="Times New Roman" w:eastAsia="Times New Roman" w:hAnsi="Times New Roman" w:cs="Times New Roman"/>
                <w:lang w:val="sr-Latn-CS"/>
              </w:rPr>
              <w:t xml:space="preserve">Instalirati/obezbediti i održavati odgovarajuće sanitarije za radnike. Otpadne vode iz ovih izvora treba transportovati do odgovarajućih postrojenja za prečišćavanje otpadnih voda. </w:t>
            </w:r>
          </w:p>
          <w:p w:rsidR="00794C8F" w:rsidRPr="00794C8F" w:rsidRDefault="00794C8F" w:rsidP="0083420C">
            <w:pPr>
              <w:numPr>
                <w:ilvl w:val="0"/>
                <w:numId w:val="22"/>
              </w:numPr>
              <w:spacing w:afterLines="60" w:after="144" w:line="240" w:lineRule="auto"/>
              <w:jc w:val="both"/>
              <w:rPr>
                <w:rFonts w:ascii="Times New Roman" w:eastAsia="Times New Roman" w:hAnsi="Times New Roman" w:cs="Times New Roman"/>
                <w:lang w:val="sr-Latn-CS"/>
              </w:rPr>
            </w:pPr>
            <w:r w:rsidRPr="00794C8F">
              <w:rPr>
                <w:rFonts w:ascii="Times New Roman" w:eastAsia="Times New Roman" w:hAnsi="Times New Roman" w:cs="Times New Roman"/>
                <w:lang w:val="sr-Latn-CS"/>
              </w:rPr>
              <w:t xml:space="preserve">Sprečiti opasno izlivanje iz rezervoara  (obavezni sekundarni sistem zadržavanja, npr. kontejneri sa duplim zidovima ili zaštitom), građevinske opreme i vozila (redovno održavanje i pregled rezervoara za naftu i gas, mašine i vozila se mogu parkirati (upravljati) samo na asfaltiranim i betonskim površinama sistemom za sakupljanje ocednih voda.  </w:t>
            </w:r>
          </w:p>
          <w:p w:rsidR="00794C8F" w:rsidRPr="00794C8F" w:rsidRDefault="00794C8F" w:rsidP="0083420C">
            <w:pPr>
              <w:numPr>
                <w:ilvl w:val="0"/>
                <w:numId w:val="22"/>
              </w:numPr>
              <w:spacing w:afterLines="60" w:after="144" w:line="240" w:lineRule="auto"/>
              <w:jc w:val="both"/>
              <w:rPr>
                <w:rFonts w:ascii="Times New Roman" w:eastAsia="Times New Roman" w:hAnsi="Times New Roman" w:cs="Times New Roman"/>
                <w:lang w:val="sr-Latn-CS"/>
              </w:rPr>
            </w:pPr>
            <w:r w:rsidRPr="00794C8F">
              <w:rPr>
                <w:rFonts w:ascii="Times New Roman" w:eastAsia="Times New Roman" w:hAnsi="Times New Roman" w:cs="Times New Roman"/>
                <w:lang w:val="sr-Latn-CS"/>
              </w:rPr>
              <w:lastRenderedPageBreak/>
              <w:t>Izlazne ventile na radnom mestu uz mogućnost punjenja sa zadržanim materijama treba filtrirati pre izlivanja u prirodne tokove.</w:t>
            </w:r>
          </w:p>
          <w:p w:rsidR="00F3731A" w:rsidRPr="003B3244" w:rsidRDefault="00794C8F" w:rsidP="0083420C">
            <w:pPr>
              <w:pStyle w:val="ListParagraph"/>
              <w:widowControl/>
              <w:numPr>
                <w:ilvl w:val="0"/>
                <w:numId w:val="22"/>
              </w:numPr>
              <w:autoSpaceDE/>
              <w:autoSpaceDN/>
              <w:spacing w:before="0" w:afterLines="60" w:after="144"/>
              <w:jc w:val="both"/>
              <w:rPr>
                <w:rFonts w:eastAsia="NSimSun"/>
                <w:lang w:val="sr-Latn-CS"/>
              </w:rPr>
            </w:pPr>
            <w:r w:rsidRPr="00794C8F">
              <w:rPr>
                <w:rFonts w:ascii="Calibri" w:eastAsia="Calibri" w:hAnsi="Calibri"/>
                <w:lang w:val="sr-Latn-CS"/>
              </w:rPr>
              <w:t>Voda i ostale komponente u mešavini betona moraju biti čiste i bez štetnih hemikalija</w:t>
            </w:r>
            <w:r w:rsidR="00F3731A" w:rsidRPr="003B3244">
              <w:rPr>
                <w:lang w:val="sr-Latn-CS"/>
              </w:rPr>
              <w:t xml:space="preserve">. </w:t>
            </w:r>
          </w:p>
        </w:tc>
      </w:tr>
      <w:tr w:rsidR="00F3731A" w:rsidRPr="00627140" w:rsidTr="003C113B">
        <w:trPr>
          <w:trHeight w:val="520"/>
        </w:trPr>
        <w:tc>
          <w:tcPr>
            <w:tcW w:w="745" w:type="pct"/>
            <w:vMerge/>
          </w:tcPr>
          <w:p w:rsidR="00F3731A" w:rsidRPr="003B3244" w:rsidRDefault="00F3731A" w:rsidP="003B3244">
            <w:pPr>
              <w:jc w:val="both"/>
              <w:rPr>
                <w:rFonts w:eastAsia="NSimSun"/>
                <w:color w:val="2E74B5"/>
                <w:lang w:val="sr-Latn-CS"/>
              </w:rPr>
            </w:pPr>
          </w:p>
        </w:tc>
        <w:tc>
          <w:tcPr>
            <w:tcW w:w="1035" w:type="pct"/>
            <w:tcBorders>
              <w:top w:val="dotted" w:sz="4" w:space="0" w:color="auto"/>
            </w:tcBorders>
          </w:tcPr>
          <w:p w:rsidR="00F3731A" w:rsidRPr="003B3244" w:rsidRDefault="0083420C" w:rsidP="003B3244">
            <w:pPr>
              <w:jc w:val="both"/>
              <w:rPr>
                <w:rFonts w:eastAsia="NSimSun"/>
                <w:color w:val="2E74B5"/>
                <w:lang w:val="sr-Latn-CS"/>
              </w:rPr>
            </w:pPr>
            <w:r w:rsidRPr="0083420C">
              <w:rPr>
                <w:rFonts w:eastAsia="NSimSun"/>
                <w:lang w:val="sr-Latn-CS"/>
              </w:rPr>
              <w:t>Upravljanje otpadom</w:t>
            </w:r>
          </w:p>
        </w:tc>
        <w:tc>
          <w:tcPr>
            <w:tcW w:w="3220" w:type="pct"/>
          </w:tcPr>
          <w:p w:rsidR="00F3731A" w:rsidRPr="003B3244" w:rsidRDefault="0083420C" w:rsidP="003B3244">
            <w:pPr>
              <w:jc w:val="both"/>
              <w:rPr>
                <w:lang w:val="sr-Latn-CS"/>
              </w:rPr>
            </w:pPr>
            <w:r w:rsidRPr="0083420C">
              <w:rPr>
                <w:lang w:val="sr-Latn-CS"/>
              </w:rPr>
              <w:t>Primenjuje se dobra praksa upravljanja otpadom, uključujući</w:t>
            </w:r>
            <w:r w:rsidR="00F3731A" w:rsidRPr="003B3244">
              <w:rPr>
                <w:lang w:val="sr-Latn-CS"/>
              </w:rPr>
              <w:t>:</w:t>
            </w:r>
          </w:p>
          <w:p w:rsidR="00A65283" w:rsidRPr="00A65283" w:rsidRDefault="00A65283" w:rsidP="00A65283">
            <w:pPr>
              <w:widowControl w:val="0"/>
              <w:numPr>
                <w:ilvl w:val="0"/>
                <w:numId w:val="23"/>
              </w:numPr>
              <w:autoSpaceDE w:val="0"/>
              <w:autoSpaceDN w:val="0"/>
              <w:spacing w:before="240" w:afterLines="60" w:after="144" w:line="240" w:lineRule="auto"/>
              <w:jc w:val="both"/>
              <w:rPr>
                <w:rFonts w:ascii="Times New Roman" w:eastAsia="Times New Roman" w:hAnsi="Times New Roman" w:cs="Times New Roman"/>
                <w:lang w:val="sr-Latn-CS"/>
              </w:rPr>
            </w:pPr>
            <w:r w:rsidRPr="00A65283">
              <w:rPr>
                <w:rFonts w:ascii="Times New Roman" w:eastAsia="Times New Roman" w:hAnsi="Times New Roman" w:cs="Times New Roman"/>
                <w:lang w:val="sr-Latn-CS"/>
              </w:rPr>
              <w:t>Identifikaciju različitih vrsta otpada koji se mogu generisati na lokaciji rekonstrukcije i njegovu klasifikaciju prema Zakonu br. 04/L-060 (Zakon o otpadu)</w:t>
            </w:r>
          </w:p>
          <w:p w:rsidR="00A65283" w:rsidRPr="00A65283" w:rsidRDefault="00A65283" w:rsidP="00A65283">
            <w:pPr>
              <w:numPr>
                <w:ilvl w:val="0"/>
                <w:numId w:val="23"/>
              </w:numPr>
              <w:spacing w:afterLines="60" w:after="144" w:line="240" w:lineRule="auto"/>
              <w:rPr>
                <w:rFonts w:ascii="Times New Roman" w:eastAsia="Times New Roman" w:hAnsi="Times New Roman" w:cs="Times New Roman"/>
                <w:lang w:val="sr-Latn-CS"/>
              </w:rPr>
            </w:pPr>
            <w:r w:rsidRPr="00A65283">
              <w:rPr>
                <w:rFonts w:ascii="Times New Roman" w:eastAsia="Times New Roman" w:hAnsi="Times New Roman" w:cs="Times New Roman"/>
                <w:lang w:val="sr-Latn-CS"/>
              </w:rPr>
              <w:t xml:space="preserve">Kontejnere za svaku identifikovanu kategoriju otpada obezbeđenih u dovoljnim količinama i odgovarajuće postavljenih. </w:t>
            </w:r>
          </w:p>
          <w:p w:rsidR="00A65283" w:rsidRPr="00A65283" w:rsidRDefault="00A65283" w:rsidP="0033295F">
            <w:pPr>
              <w:numPr>
                <w:ilvl w:val="0"/>
                <w:numId w:val="23"/>
              </w:numPr>
              <w:spacing w:afterLines="60" w:after="144" w:line="240" w:lineRule="auto"/>
              <w:rPr>
                <w:rFonts w:ascii="Times New Roman" w:eastAsia="Times New Roman" w:hAnsi="Times New Roman" w:cs="Times New Roman"/>
                <w:lang w:val="sr-Latn-CS"/>
              </w:rPr>
            </w:pPr>
            <w:r w:rsidRPr="00A65283">
              <w:rPr>
                <w:rFonts w:ascii="Times New Roman" w:eastAsia="Times New Roman" w:hAnsi="Times New Roman" w:cs="Times New Roman"/>
                <w:lang w:val="sr-Latn-CS"/>
              </w:rPr>
              <w:t>Putevi za sakupljanje i odlaganje otpada i licencirane deponije/postrojenja za preradu, biće identifikovani za sve vrste otpada koje se očekuju od rušenja i građevinskih aktivnosti.</w:t>
            </w:r>
            <w:r w:rsidR="0033295F" w:rsidRPr="00F52652">
              <w:rPr>
                <w:lang w:val="sr-Latn-CS"/>
              </w:rPr>
              <w:t xml:space="preserve"> </w:t>
            </w:r>
            <w:r w:rsidR="0033295F" w:rsidRPr="0033295F">
              <w:rPr>
                <w:rFonts w:ascii="Times New Roman" w:eastAsia="Times New Roman" w:hAnsi="Times New Roman" w:cs="Times New Roman"/>
                <w:lang w:val="sr-Latn-CS"/>
              </w:rPr>
              <w:t>Za upravljanje opasnim otpadom</w:t>
            </w:r>
            <w:r w:rsidR="001E57CF">
              <w:rPr>
                <w:rFonts w:ascii="Times New Roman" w:eastAsia="Times New Roman" w:hAnsi="Times New Roman" w:cs="Times New Roman"/>
                <w:lang w:val="sr-Latn-CS"/>
              </w:rPr>
              <w:t xml:space="preserve"> se traže i prate uputstva / sm</w:t>
            </w:r>
            <w:r w:rsidR="0033295F" w:rsidRPr="0033295F">
              <w:rPr>
                <w:rFonts w:ascii="Times New Roman" w:eastAsia="Times New Roman" w:hAnsi="Times New Roman" w:cs="Times New Roman"/>
                <w:lang w:val="sr-Latn-CS"/>
              </w:rPr>
              <w:t>ernice Ministarstva zaštite životne sredine i prostornog planiranja.</w:t>
            </w:r>
          </w:p>
          <w:p w:rsidR="00A65283" w:rsidRPr="00A65283" w:rsidRDefault="00A65283" w:rsidP="00A65283">
            <w:pPr>
              <w:numPr>
                <w:ilvl w:val="0"/>
                <w:numId w:val="23"/>
              </w:numPr>
              <w:spacing w:afterLines="60" w:after="144" w:line="240" w:lineRule="auto"/>
              <w:rPr>
                <w:rFonts w:ascii="Times New Roman" w:eastAsia="Times New Roman" w:hAnsi="Times New Roman" w:cs="Times New Roman"/>
                <w:lang w:val="sr-Latn-CS"/>
              </w:rPr>
            </w:pPr>
            <w:r w:rsidRPr="00A65283">
              <w:rPr>
                <w:rFonts w:ascii="Times New Roman" w:eastAsia="Times New Roman" w:hAnsi="Times New Roman" w:cs="Times New Roman"/>
                <w:lang w:val="sr-Latn-CS"/>
              </w:rPr>
              <w:t>Mineralni (prirodni) otpad od izgradnje i rušenja biće odvojen od opšteg, organskog, tečnog i hemijskog otpada sortiranjem na licu mesta i privremenim skladištenjem u odgovarajućim kontejnerima. U zavisnosti od njegovog porekla i sadržaja, mineralni otpad će se ponovo primeniti na prvobitnoj lokaciji ili ponovo upotrebiti.</w:t>
            </w:r>
          </w:p>
          <w:p w:rsidR="00A65283" w:rsidRPr="00A65283" w:rsidRDefault="00A65283" w:rsidP="00A65283">
            <w:pPr>
              <w:numPr>
                <w:ilvl w:val="0"/>
                <w:numId w:val="23"/>
              </w:numPr>
              <w:spacing w:afterLines="60" w:after="144" w:line="240" w:lineRule="auto"/>
              <w:rPr>
                <w:rFonts w:ascii="Times New Roman" w:eastAsia="Times New Roman" w:hAnsi="Times New Roman" w:cs="Times New Roman"/>
                <w:lang w:val="sr-Latn-CS"/>
              </w:rPr>
            </w:pPr>
            <w:r w:rsidRPr="00A65283">
              <w:rPr>
                <w:rFonts w:ascii="Times New Roman" w:eastAsia="Times New Roman" w:hAnsi="Times New Roman" w:cs="Times New Roman"/>
                <w:lang w:val="sr-Latn-CS"/>
              </w:rPr>
              <w:t>Sav građevinski otpad će propisno sakupljati i odlagati licencirani priklupljači uz transfer do licenciranih deponija (ili licenciranih postrojenja za preradu otpada).</w:t>
            </w:r>
          </w:p>
          <w:p w:rsidR="00A65283" w:rsidRPr="00A65283" w:rsidRDefault="00A65283" w:rsidP="00A65283">
            <w:pPr>
              <w:numPr>
                <w:ilvl w:val="0"/>
                <w:numId w:val="23"/>
              </w:numPr>
              <w:spacing w:afterLines="60" w:after="144" w:line="240" w:lineRule="auto"/>
              <w:rPr>
                <w:rFonts w:ascii="Times New Roman" w:eastAsia="Times New Roman" w:hAnsi="Times New Roman" w:cs="Times New Roman"/>
                <w:lang w:val="sr-Latn-CS"/>
              </w:rPr>
            </w:pPr>
            <w:r w:rsidRPr="00A65283">
              <w:rPr>
                <w:rFonts w:ascii="Times New Roman" w:eastAsia="Times New Roman" w:hAnsi="Times New Roman" w:cs="Times New Roman"/>
                <w:lang w:val="sr-Latn-CS"/>
              </w:rPr>
              <w:t>Evidencije o odlaganju otpada redovno će se ažurirati i čuvati kao dokaz pravilnog upravljanja, kako je i predviđeno.</w:t>
            </w:r>
          </w:p>
          <w:p w:rsidR="00A65283" w:rsidRPr="00A65283" w:rsidRDefault="00A65283" w:rsidP="00A65283">
            <w:pPr>
              <w:numPr>
                <w:ilvl w:val="0"/>
                <w:numId w:val="23"/>
              </w:numPr>
              <w:spacing w:afterLines="60" w:after="144" w:line="240" w:lineRule="auto"/>
              <w:rPr>
                <w:rFonts w:ascii="Times New Roman" w:eastAsia="Times New Roman" w:hAnsi="Times New Roman" w:cs="Times New Roman"/>
                <w:lang w:val="sr-Latn-CS"/>
              </w:rPr>
            </w:pPr>
            <w:r w:rsidRPr="00A65283">
              <w:rPr>
                <w:rFonts w:ascii="Times New Roman" w:eastAsia="Times New Roman" w:hAnsi="Times New Roman" w:cs="Times New Roman"/>
                <w:lang w:val="sr-Latn-CS"/>
              </w:rPr>
              <w:t>Kad god je to izvodljivo, izvođač radova će ponovo upotrebiti i reciklirati odgovarajuće i održive materijale. Odlaganje svake vrste otpada (uključujući organski otpad) ili otpadnih voda u okolnu prirodu ili vodna tela, strogo je zabranjeno.</w:t>
            </w:r>
          </w:p>
          <w:p w:rsidR="00A65283" w:rsidRPr="00A65283" w:rsidRDefault="00A65283" w:rsidP="00A65283">
            <w:pPr>
              <w:numPr>
                <w:ilvl w:val="0"/>
                <w:numId w:val="23"/>
              </w:numPr>
              <w:spacing w:afterLines="60" w:after="144" w:line="240" w:lineRule="auto"/>
              <w:jc w:val="both"/>
              <w:rPr>
                <w:rFonts w:ascii="Times New Roman" w:eastAsia="Times New Roman" w:hAnsi="Times New Roman" w:cs="Times New Roman"/>
                <w:lang w:val="sr-Latn-CS"/>
              </w:rPr>
            </w:pPr>
            <w:r w:rsidRPr="00A65283">
              <w:rPr>
                <w:rFonts w:ascii="Times New Roman" w:eastAsia="Times New Roman" w:hAnsi="Times New Roman" w:cs="Times New Roman"/>
                <w:lang w:val="sr-Latn-CS"/>
              </w:rPr>
              <w:t>Prikupljanje, transport i konačno odlaganje/preradu komunalnog otpada od strane licencirane kompanije;</w:t>
            </w:r>
          </w:p>
          <w:p w:rsidR="00A65283" w:rsidRPr="00A65283" w:rsidRDefault="00A65283" w:rsidP="00A65283">
            <w:pPr>
              <w:numPr>
                <w:ilvl w:val="0"/>
                <w:numId w:val="23"/>
              </w:numPr>
              <w:spacing w:afterLines="60" w:after="144" w:line="240" w:lineRule="auto"/>
              <w:jc w:val="both"/>
              <w:rPr>
                <w:rFonts w:ascii="Times New Roman" w:eastAsia="Times New Roman" w:hAnsi="Times New Roman" w:cs="Times New Roman"/>
                <w:lang w:val="sr-Latn-CS"/>
              </w:rPr>
            </w:pPr>
            <w:r w:rsidRPr="00A65283">
              <w:rPr>
                <w:rFonts w:ascii="Times New Roman" w:eastAsia="Times New Roman" w:hAnsi="Times New Roman" w:cs="Times New Roman"/>
                <w:lang w:val="sr-Latn-CS"/>
              </w:rPr>
              <w:t>Građevinski otpad  treba odmah ukloniti sa lokacije i ukoliko je moguće, ponovo ga upotrebiti;</w:t>
            </w:r>
          </w:p>
          <w:p w:rsidR="00A65283" w:rsidRPr="00A65283" w:rsidRDefault="00A65283" w:rsidP="00A65283">
            <w:pPr>
              <w:numPr>
                <w:ilvl w:val="0"/>
                <w:numId w:val="23"/>
              </w:numPr>
              <w:spacing w:afterLines="60" w:after="144" w:line="240" w:lineRule="auto"/>
              <w:jc w:val="both"/>
              <w:rPr>
                <w:rFonts w:ascii="Times New Roman" w:eastAsia="NSimSun" w:hAnsi="Times New Roman" w:cs="Times New Roman"/>
                <w:lang w:val="sr-Latn-CS"/>
              </w:rPr>
            </w:pPr>
            <w:r w:rsidRPr="00A65283">
              <w:rPr>
                <w:rFonts w:ascii="Times New Roman" w:eastAsia="Times New Roman" w:hAnsi="Times New Roman" w:cs="Times New Roman"/>
                <w:lang w:val="sr-Latn-CS"/>
              </w:rPr>
              <w:t>Spaljivanje svog otpada na lokaciji ili nelicenciranih biljaka i lokacija je zabranjeno.</w:t>
            </w:r>
          </w:p>
          <w:p w:rsidR="00A65283" w:rsidRPr="00A65283" w:rsidRDefault="00A65283" w:rsidP="00A65283">
            <w:pPr>
              <w:numPr>
                <w:ilvl w:val="0"/>
                <w:numId w:val="23"/>
              </w:numPr>
              <w:spacing w:afterLines="60" w:after="144" w:line="240" w:lineRule="auto"/>
              <w:jc w:val="both"/>
              <w:rPr>
                <w:rFonts w:ascii="Times New Roman" w:eastAsia="NSimSun" w:hAnsi="Times New Roman" w:cs="Times New Roman"/>
                <w:lang w:val="sr-Latn-CS"/>
              </w:rPr>
            </w:pPr>
            <w:r w:rsidRPr="00A65283">
              <w:rPr>
                <w:rFonts w:ascii="Times New Roman" w:eastAsia="Times New Roman" w:hAnsi="Times New Roman" w:cs="Times New Roman"/>
                <w:lang w:val="sr-Latn-CS"/>
              </w:rPr>
              <w:lastRenderedPageBreak/>
              <w:t>Odlagalište otpada biće definisano odobrenjem u pisanom obliku od strane opštine ili drugog nadležnog organa (npr. MŽSPP).</w:t>
            </w:r>
          </w:p>
          <w:p w:rsidR="00F3731A" w:rsidRPr="003B3244" w:rsidRDefault="00A65283" w:rsidP="00A65283">
            <w:pPr>
              <w:pStyle w:val="ListParagraph"/>
              <w:widowControl/>
              <w:numPr>
                <w:ilvl w:val="0"/>
                <w:numId w:val="23"/>
              </w:numPr>
              <w:autoSpaceDE/>
              <w:autoSpaceDN/>
              <w:spacing w:before="0" w:afterLines="60" w:after="144"/>
              <w:jc w:val="both"/>
              <w:rPr>
                <w:rFonts w:eastAsia="NSimSun"/>
                <w:lang w:val="sr-Latn-CS"/>
              </w:rPr>
            </w:pPr>
            <w:r w:rsidRPr="00A65283">
              <w:rPr>
                <w:rFonts w:ascii="Calibri" w:eastAsia="Calibri" w:hAnsi="Calibri"/>
                <w:lang w:val="sr-Latn-CS"/>
              </w:rPr>
              <w:t>Postojeće klima uređaje ne treba ponovo puniti ili prazniti. Ukoliko se odbace, njima moraju rukovoditi specijalizovana licencirana preduzeća</w:t>
            </w:r>
            <w:r w:rsidR="00F3731A" w:rsidRPr="003B3244">
              <w:rPr>
                <w:lang w:val="sr-Latn-CS"/>
              </w:rPr>
              <w:t xml:space="preserve">. </w:t>
            </w:r>
          </w:p>
        </w:tc>
      </w:tr>
      <w:tr w:rsidR="00F3731A" w:rsidRPr="00627140" w:rsidTr="003C113B">
        <w:tc>
          <w:tcPr>
            <w:tcW w:w="745" w:type="pct"/>
            <w:vMerge/>
          </w:tcPr>
          <w:p w:rsidR="00F3731A" w:rsidRPr="003B3244" w:rsidRDefault="00F3731A" w:rsidP="003B3244">
            <w:pPr>
              <w:jc w:val="both"/>
              <w:rPr>
                <w:rFonts w:eastAsia="NSimSun"/>
                <w:color w:val="2E74B5"/>
                <w:lang w:val="sr-Latn-CS"/>
              </w:rPr>
            </w:pPr>
          </w:p>
        </w:tc>
        <w:tc>
          <w:tcPr>
            <w:tcW w:w="1035" w:type="pct"/>
          </w:tcPr>
          <w:p w:rsidR="00F3731A" w:rsidRPr="003B3244" w:rsidRDefault="00A65283" w:rsidP="003B3244">
            <w:pPr>
              <w:jc w:val="both"/>
              <w:rPr>
                <w:rFonts w:eastAsia="NSimSun"/>
                <w:color w:val="2E74B5"/>
                <w:lang w:val="sr-Latn-CS"/>
              </w:rPr>
            </w:pPr>
            <w:r w:rsidRPr="00A65283">
              <w:rPr>
                <w:rFonts w:eastAsia="NSimSun"/>
                <w:color w:val="000000" w:themeColor="text1"/>
                <w:lang w:val="sr-Latn-CS"/>
              </w:rPr>
              <w:t>Bezbednost saobraćaja</w:t>
            </w:r>
          </w:p>
        </w:tc>
        <w:tc>
          <w:tcPr>
            <w:tcW w:w="3220" w:type="pct"/>
            <w:tcBorders>
              <w:top w:val="dotted" w:sz="4" w:space="0" w:color="auto"/>
            </w:tcBorders>
          </w:tcPr>
          <w:p w:rsidR="00E431E9" w:rsidRPr="00E431E9" w:rsidRDefault="00E431E9" w:rsidP="00E431E9">
            <w:pPr>
              <w:numPr>
                <w:ilvl w:val="0"/>
                <w:numId w:val="24"/>
              </w:numPr>
              <w:spacing w:before="240" w:after="60" w:line="240" w:lineRule="auto"/>
              <w:jc w:val="both"/>
              <w:rPr>
                <w:rFonts w:ascii="Times New Roman" w:eastAsia="Times New Roman" w:hAnsi="Times New Roman" w:cs="Times New Roman"/>
                <w:lang w:val="sr-Latn-CS"/>
              </w:rPr>
            </w:pPr>
            <w:r w:rsidRPr="00E431E9">
              <w:rPr>
                <w:rFonts w:ascii="Times New Roman" w:eastAsia="Times New Roman" w:hAnsi="Times New Roman" w:cs="Times New Roman"/>
                <w:lang w:val="sr-Latn-CS"/>
              </w:rPr>
              <w:t>Plan regulacije saobraćaja priprema se i sprovodi u koordinaciji sa opštinom i nadležnim organom (saobraćajna policija);</w:t>
            </w:r>
          </w:p>
          <w:p w:rsidR="00E431E9" w:rsidRPr="00E431E9" w:rsidRDefault="00E431E9" w:rsidP="00E431E9">
            <w:pPr>
              <w:numPr>
                <w:ilvl w:val="0"/>
                <w:numId w:val="24"/>
              </w:numPr>
              <w:spacing w:after="60" w:line="240" w:lineRule="auto"/>
              <w:jc w:val="both"/>
              <w:rPr>
                <w:rFonts w:ascii="Times New Roman" w:eastAsia="Times New Roman" w:hAnsi="Times New Roman" w:cs="Times New Roman"/>
                <w:lang w:val="sr-Latn-CS"/>
              </w:rPr>
            </w:pPr>
            <w:r w:rsidRPr="00E431E9">
              <w:rPr>
                <w:rFonts w:ascii="Times New Roman" w:eastAsia="Times New Roman" w:hAnsi="Times New Roman" w:cs="Times New Roman"/>
                <w:lang w:val="sr-Latn-CS"/>
              </w:rPr>
              <w:t>Saobraćaj će se regulisati na bezbedan način. Bezbednost pešaka biće osigurana korišćenjem bezbednih prolaza.</w:t>
            </w:r>
          </w:p>
          <w:p w:rsidR="00F3731A" w:rsidRPr="003B3244" w:rsidRDefault="00E431E9" w:rsidP="00E431E9">
            <w:pPr>
              <w:pStyle w:val="ListParagraph"/>
              <w:widowControl/>
              <w:numPr>
                <w:ilvl w:val="0"/>
                <w:numId w:val="24"/>
              </w:numPr>
              <w:autoSpaceDE/>
              <w:autoSpaceDN/>
              <w:spacing w:before="0" w:after="60"/>
              <w:jc w:val="both"/>
              <w:rPr>
                <w:lang w:val="sr-Latn-CS"/>
              </w:rPr>
            </w:pPr>
            <w:r w:rsidRPr="00E431E9">
              <w:rPr>
                <w:rFonts w:ascii="Calibri" w:eastAsia="Calibri" w:hAnsi="Calibri"/>
                <w:lang w:val="sr-Latn-CS"/>
              </w:rPr>
              <w:t>Obaveštenje o bezbednosnim i regulacionim propisima i signalizacija će se koristiti na odgovarajući način</w:t>
            </w:r>
            <w:r w:rsidR="00F3731A" w:rsidRPr="003B3244">
              <w:rPr>
                <w:lang w:val="sr-Latn-CS"/>
              </w:rPr>
              <w:t xml:space="preserve">. </w:t>
            </w:r>
          </w:p>
        </w:tc>
      </w:tr>
      <w:tr w:rsidR="00E431E9" w:rsidRPr="00627140" w:rsidTr="003C113B">
        <w:tc>
          <w:tcPr>
            <w:tcW w:w="745" w:type="pct"/>
            <w:vMerge/>
          </w:tcPr>
          <w:p w:rsidR="00E431E9" w:rsidRPr="003B3244" w:rsidRDefault="00E431E9" w:rsidP="003B3244">
            <w:pPr>
              <w:jc w:val="both"/>
              <w:rPr>
                <w:rFonts w:eastAsia="NSimSun"/>
                <w:color w:val="2E74B5"/>
                <w:lang w:val="sr-Latn-CS"/>
              </w:rPr>
            </w:pPr>
          </w:p>
        </w:tc>
        <w:tc>
          <w:tcPr>
            <w:tcW w:w="1035" w:type="pct"/>
          </w:tcPr>
          <w:p w:rsidR="00E431E9" w:rsidRPr="00676539" w:rsidRDefault="00E431E9" w:rsidP="00B7005F">
            <w:pPr>
              <w:jc w:val="both"/>
              <w:rPr>
                <w:rFonts w:eastAsia="NSimSun"/>
                <w:color w:val="000000" w:themeColor="text1"/>
                <w:lang w:val="sr-Latn-CS"/>
              </w:rPr>
            </w:pPr>
            <w:r>
              <w:rPr>
                <w:rFonts w:eastAsia="NSimSun"/>
                <w:color w:val="000000" w:themeColor="text1"/>
                <w:lang w:val="sr-Latn-CS"/>
              </w:rPr>
              <w:t>Erozija zemljišta</w:t>
            </w:r>
          </w:p>
        </w:tc>
        <w:tc>
          <w:tcPr>
            <w:tcW w:w="3220" w:type="pct"/>
            <w:tcBorders>
              <w:top w:val="dotted" w:sz="4" w:space="0" w:color="auto"/>
            </w:tcBorders>
          </w:tcPr>
          <w:p w:rsidR="00E431E9" w:rsidRPr="00676539" w:rsidRDefault="00E431E9" w:rsidP="00B7005F">
            <w:pPr>
              <w:pStyle w:val="ListParagraph"/>
              <w:widowControl/>
              <w:numPr>
                <w:ilvl w:val="0"/>
                <w:numId w:val="25"/>
              </w:numPr>
              <w:tabs>
                <w:tab w:val="left" w:pos="460"/>
              </w:tabs>
              <w:autoSpaceDE/>
              <w:autoSpaceDN/>
              <w:spacing w:before="0" w:after="60" w:line="276" w:lineRule="auto"/>
              <w:ind w:right="274"/>
              <w:jc w:val="both"/>
              <w:rPr>
                <w:lang w:val="sr-Latn-CS"/>
              </w:rPr>
            </w:pPr>
            <w:r w:rsidRPr="00811ADD">
              <w:rPr>
                <w:lang w:val="sr-Latn-CS"/>
              </w:rPr>
              <w:t>U slučaju izlivanja, zagađena voda mora da se zadrži kako bi se sprečilo dalje zagađenje i ista se mora transportovati u postrojenje za prečišćavanje otpadnih voda</w:t>
            </w:r>
            <w:r w:rsidRPr="00676539">
              <w:rPr>
                <w:lang w:val="sr-Latn-CS"/>
              </w:rPr>
              <w:t>.</w:t>
            </w:r>
          </w:p>
          <w:p w:rsidR="00E431E9" w:rsidRPr="00676539" w:rsidRDefault="00E431E9" w:rsidP="00B7005F">
            <w:pPr>
              <w:pStyle w:val="ListParagraph"/>
              <w:widowControl/>
              <w:numPr>
                <w:ilvl w:val="0"/>
                <w:numId w:val="25"/>
              </w:numPr>
              <w:tabs>
                <w:tab w:val="left" w:pos="460"/>
              </w:tabs>
              <w:autoSpaceDE/>
              <w:autoSpaceDN/>
              <w:spacing w:before="0" w:after="60" w:line="276" w:lineRule="auto"/>
              <w:ind w:right="274"/>
              <w:jc w:val="both"/>
              <w:rPr>
                <w:lang w:val="sr-Latn-CS"/>
              </w:rPr>
            </w:pPr>
            <w:r w:rsidRPr="00CD747C">
              <w:rPr>
                <w:lang w:val="sr-Latn-CS"/>
              </w:rPr>
              <w:t>Vozila i mašine se mogu parkirati, oprati i održavati samo na određenim područjima sa nepropusnom površinom i</w:t>
            </w:r>
            <w:r>
              <w:rPr>
                <w:lang w:val="sr-Latn-CS"/>
              </w:rPr>
              <w:t xml:space="preserve"> </w:t>
            </w:r>
            <w:r w:rsidRPr="00CD747C">
              <w:rPr>
                <w:lang w:val="sr-Latn-CS"/>
              </w:rPr>
              <w:t>sistemom za sakupljanje i prečišćavanje (separator ulja i masti</w:t>
            </w:r>
            <w:r w:rsidRPr="00676539">
              <w:rPr>
                <w:lang w:val="sr-Latn-CS"/>
              </w:rPr>
              <w:t>),</w:t>
            </w:r>
          </w:p>
          <w:p w:rsidR="00E431E9" w:rsidRPr="00676539" w:rsidRDefault="00E431E9" w:rsidP="00B7005F">
            <w:pPr>
              <w:pStyle w:val="ListParagraph"/>
              <w:widowControl/>
              <w:numPr>
                <w:ilvl w:val="0"/>
                <w:numId w:val="25"/>
              </w:numPr>
              <w:tabs>
                <w:tab w:val="left" w:pos="460"/>
              </w:tabs>
              <w:autoSpaceDE/>
              <w:autoSpaceDN/>
              <w:spacing w:before="0" w:after="60" w:line="276" w:lineRule="auto"/>
              <w:ind w:right="274"/>
              <w:jc w:val="both"/>
              <w:rPr>
                <w:rFonts w:ascii="Calibri" w:hAnsi="Calibri" w:cs="Arial"/>
                <w:sz w:val="16"/>
                <w:szCs w:val="16"/>
                <w:lang w:val="sr-Latn-CS"/>
              </w:rPr>
            </w:pPr>
            <w:r>
              <w:rPr>
                <w:lang w:val="sr-Latn-CS"/>
              </w:rPr>
              <w:t>Zaštita sedimenata</w:t>
            </w:r>
            <w:r w:rsidRPr="00676539">
              <w:rPr>
                <w:lang w:val="sr-Latn-CS"/>
              </w:rPr>
              <w:t xml:space="preserve"> </w:t>
            </w:r>
            <w:r>
              <w:rPr>
                <w:lang w:val="sr-Latn-CS"/>
              </w:rPr>
              <w:t>je raspodeljena duž ograda i barijera</w:t>
            </w:r>
            <w:r w:rsidRPr="00676539">
              <w:rPr>
                <w:lang w:val="sr-Latn-CS"/>
              </w:rPr>
              <w:t>.</w:t>
            </w:r>
          </w:p>
        </w:tc>
      </w:tr>
      <w:tr w:rsidR="00F3731A" w:rsidRPr="00627140" w:rsidTr="003C113B">
        <w:tc>
          <w:tcPr>
            <w:tcW w:w="745" w:type="pct"/>
            <w:vMerge/>
          </w:tcPr>
          <w:p w:rsidR="00F3731A" w:rsidRPr="003B3244" w:rsidRDefault="00F3731A" w:rsidP="003B3244">
            <w:pPr>
              <w:jc w:val="both"/>
              <w:rPr>
                <w:rFonts w:eastAsia="NSimSun"/>
                <w:color w:val="2E74B5"/>
                <w:lang w:val="sr-Latn-CS"/>
              </w:rPr>
            </w:pPr>
          </w:p>
        </w:tc>
        <w:tc>
          <w:tcPr>
            <w:tcW w:w="1035" w:type="pct"/>
          </w:tcPr>
          <w:p w:rsidR="00F3731A" w:rsidRPr="003B3244" w:rsidRDefault="00860B0B" w:rsidP="003B3244">
            <w:pPr>
              <w:jc w:val="both"/>
              <w:rPr>
                <w:rFonts w:eastAsia="NSimSun"/>
                <w:color w:val="000000" w:themeColor="text1"/>
                <w:lang w:val="sr-Latn-CS"/>
              </w:rPr>
            </w:pPr>
            <w:r w:rsidRPr="00860B0B">
              <w:rPr>
                <w:rFonts w:eastAsia="NSimSun"/>
                <w:color w:val="000000" w:themeColor="text1"/>
                <w:lang w:val="sr-Latn-CS"/>
              </w:rPr>
              <w:t>Slučajno otkrivanje arheoloških kulturnih i istorijskih artefakata</w:t>
            </w:r>
          </w:p>
        </w:tc>
        <w:tc>
          <w:tcPr>
            <w:tcW w:w="3220" w:type="pct"/>
            <w:tcBorders>
              <w:top w:val="dotted" w:sz="4" w:space="0" w:color="auto"/>
            </w:tcBorders>
          </w:tcPr>
          <w:p w:rsidR="00F3731A" w:rsidRPr="003B3244" w:rsidRDefault="008160B0" w:rsidP="001C4673">
            <w:pPr>
              <w:pStyle w:val="ListParagraph"/>
              <w:widowControl/>
              <w:numPr>
                <w:ilvl w:val="0"/>
                <w:numId w:val="26"/>
              </w:numPr>
              <w:tabs>
                <w:tab w:val="left" w:pos="460"/>
              </w:tabs>
              <w:autoSpaceDE/>
              <w:autoSpaceDN/>
              <w:spacing w:before="240" w:after="60" w:line="276" w:lineRule="auto"/>
              <w:ind w:right="274"/>
              <w:jc w:val="both"/>
              <w:rPr>
                <w:lang w:val="sr-Latn-CS"/>
              </w:rPr>
            </w:pPr>
            <w:r w:rsidRPr="008160B0">
              <w:rPr>
                <w:lang w:val="sr-Latn-CS"/>
              </w:rPr>
              <w:t xml:space="preserve">Radni prostor, lokacija kampa, itd. bi trebali biti smešteni dalje od </w:t>
            </w:r>
            <w:r w:rsidR="00860B0B" w:rsidRPr="008160B0">
              <w:rPr>
                <w:lang w:val="sr-Latn-CS"/>
              </w:rPr>
              <w:t>arheoloških</w:t>
            </w:r>
            <w:r w:rsidRPr="008160B0">
              <w:rPr>
                <w:lang w:val="sr-Latn-CS"/>
              </w:rPr>
              <w:t xml:space="preserve"> i lokacija kulturne baštine</w:t>
            </w:r>
            <w:r w:rsidR="00F3731A" w:rsidRPr="003B3244">
              <w:rPr>
                <w:lang w:val="sr-Latn-CS"/>
              </w:rPr>
              <w:t>.</w:t>
            </w:r>
          </w:p>
          <w:p w:rsidR="00F3731A" w:rsidRPr="003B3244" w:rsidRDefault="008160B0" w:rsidP="001C4673">
            <w:pPr>
              <w:pStyle w:val="ListParagraph"/>
              <w:widowControl/>
              <w:numPr>
                <w:ilvl w:val="0"/>
                <w:numId w:val="26"/>
              </w:numPr>
              <w:tabs>
                <w:tab w:val="left" w:pos="460"/>
              </w:tabs>
              <w:autoSpaceDE/>
              <w:autoSpaceDN/>
              <w:spacing w:before="0" w:after="60" w:line="276" w:lineRule="auto"/>
              <w:ind w:right="274"/>
              <w:jc w:val="both"/>
              <w:rPr>
                <w:lang w:val="sr-Latn-CS"/>
              </w:rPr>
            </w:pPr>
            <w:r>
              <w:rPr>
                <w:lang w:val="sr-Latn-CS"/>
              </w:rPr>
              <w:t>Trebalo bi preduzeti adekvatnu zaštitu i podići svest kod radnika u smislu mogućeg otkopavanja arheoloških relikvija</w:t>
            </w:r>
            <w:r w:rsidR="00F3731A" w:rsidRPr="003B3244">
              <w:rPr>
                <w:lang w:val="sr-Latn-CS"/>
              </w:rPr>
              <w:t>;</w:t>
            </w:r>
          </w:p>
          <w:p w:rsidR="00F3731A" w:rsidRPr="003B3244" w:rsidRDefault="00FE74C1" w:rsidP="001C4673">
            <w:pPr>
              <w:pStyle w:val="ListParagraph"/>
              <w:framePr w:w="5046" w:wrap="auto" w:vAnchor="page" w:hAnchor="page" w:x="4518" w:y="8018"/>
              <w:widowControl/>
              <w:numPr>
                <w:ilvl w:val="0"/>
                <w:numId w:val="26"/>
              </w:numPr>
              <w:tabs>
                <w:tab w:val="left" w:pos="460"/>
              </w:tabs>
              <w:autoSpaceDE/>
              <w:autoSpaceDN/>
              <w:spacing w:before="0" w:after="60" w:line="276" w:lineRule="auto"/>
              <w:ind w:right="274"/>
              <w:jc w:val="both"/>
              <w:rPr>
                <w:lang w:val="sr-Latn-CS"/>
              </w:rPr>
            </w:pPr>
            <w:r w:rsidRPr="00FE74C1">
              <w:rPr>
                <w:lang w:val="sr-Latn-CS"/>
              </w:rPr>
              <w:t xml:space="preserve">Radovi će biti zaustavljeni, nadležni organi obavešteni u skladu sa nacionalnim propisima i </w:t>
            </w:r>
            <w:r w:rsidR="00860B0B" w:rsidRPr="00FE74C1">
              <w:rPr>
                <w:lang w:val="sr-Latn-CS"/>
              </w:rPr>
              <w:t>poštovaće</w:t>
            </w:r>
            <w:r w:rsidRPr="00FE74C1">
              <w:rPr>
                <w:lang w:val="sr-Latn-CS"/>
              </w:rPr>
              <w:t xml:space="preserve"> se njihove instrukcije. Radovi će početi ponovo tek kada odgovarajuće vlasti daju svoje smernice i odobrenje</w:t>
            </w:r>
            <w:r w:rsidR="00F3731A" w:rsidRPr="003B3244">
              <w:rPr>
                <w:lang w:val="sr-Latn-CS"/>
              </w:rPr>
              <w:t xml:space="preserve">.  </w:t>
            </w:r>
          </w:p>
          <w:p w:rsidR="00F3731A" w:rsidRPr="003B3244" w:rsidRDefault="00F3731A" w:rsidP="003B3244">
            <w:pPr>
              <w:tabs>
                <w:tab w:val="left" w:pos="4213"/>
              </w:tabs>
              <w:spacing w:line="276" w:lineRule="auto"/>
              <w:ind w:right="271"/>
              <w:jc w:val="both"/>
              <w:rPr>
                <w:lang w:val="sr-Latn-CS"/>
              </w:rPr>
            </w:pPr>
            <w:r w:rsidRPr="003B3244">
              <w:rPr>
                <w:lang w:val="sr-Latn-CS"/>
              </w:rPr>
              <w:tab/>
            </w:r>
          </w:p>
        </w:tc>
      </w:tr>
      <w:tr w:rsidR="00143951" w:rsidRPr="00627140" w:rsidTr="003C113B">
        <w:tc>
          <w:tcPr>
            <w:tcW w:w="745" w:type="pct"/>
            <w:vMerge/>
          </w:tcPr>
          <w:p w:rsidR="00143951" w:rsidRPr="003B3244" w:rsidRDefault="00143951" w:rsidP="003B3244">
            <w:pPr>
              <w:jc w:val="both"/>
              <w:rPr>
                <w:rFonts w:eastAsia="NSimSun"/>
                <w:color w:val="2E74B5"/>
                <w:lang w:val="sr-Latn-CS"/>
              </w:rPr>
            </w:pPr>
          </w:p>
        </w:tc>
        <w:tc>
          <w:tcPr>
            <w:tcW w:w="1035" w:type="pct"/>
          </w:tcPr>
          <w:p w:rsidR="00143951" w:rsidRPr="00DC33E0" w:rsidRDefault="003B22BD" w:rsidP="003B22BD">
            <w:pPr>
              <w:rPr>
                <w:rFonts w:eastAsia="NSimSun"/>
                <w:color w:val="000000" w:themeColor="text1"/>
                <w:lang w:val="sr-Latn-CS"/>
              </w:rPr>
            </w:pPr>
            <w:r>
              <w:rPr>
                <w:rFonts w:eastAsia="NSimSun"/>
                <w:color w:val="000000" w:themeColor="text1"/>
                <w:lang w:val="sr-Latn-CS"/>
              </w:rPr>
              <w:t>N</w:t>
            </w:r>
            <w:r w:rsidRPr="003B22BD">
              <w:rPr>
                <w:rFonts w:eastAsia="NSimSun"/>
                <w:color w:val="000000" w:themeColor="text1"/>
                <w:lang w:val="sr-Latn-CS"/>
              </w:rPr>
              <w:t>epravilno skladištenje toksičnih materija (uključujući opasni otpad)</w:t>
            </w:r>
            <w:r w:rsidR="00143951" w:rsidRPr="00DC33E0">
              <w:rPr>
                <w:rFonts w:eastAsia="NSimSun"/>
                <w:color w:val="000000" w:themeColor="text1"/>
                <w:lang w:val="sr-Latn-CS"/>
              </w:rPr>
              <w:t xml:space="preserve"> i upotreba materijala može izazvati zagađenje </w:t>
            </w:r>
            <w:r w:rsidR="00143951" w:rsidRPr="00DC33E0">
              <w:rPr>
                <w:rFonts w:eastAsia="NSimSun"/>
                <w:color w:val="000000" w:themeColor="text1"/>
                <w:lang w:val="sr-Latn-CS"/>
              </w:rPr>
              <w:lastRenderedPageBreak/>
              <w:t xml:space="preserve">vazduha, </w:t>
            </w:r>
            <w:r w:rsidR="00143951">
              <w:rPr>
                <w:rFonts w:eastAsia="NSimSun"/>
                <w:color w:val="000000" w:themeColor="text1"/>
                <w:lang w:val="sr-Latn-CS"/>
              </w:rPr>
              <w:t>zemljišta</w:t>
            </w:r>
            <w:r w:rsidR="00143951" w:rsidRPr="00DC33E0">
              <w:rPr>
                <w:rFonts w:eastAsia="NSimSun"/>
                <w:color w:val="000000" w:themeColor="text1"/>
                <w:lang w:val="sr-Latn-CS"/>
              </w:rPr>
              <w:t xml:space="preserve"> ili vode</w:t>
            </w:r>
          </w:p>
        </w:tc>
        <w:tc>
          <w:tcPr>
            <w:tcW w:w="3220" w:type="pct"/>
            <w:tcBorders>
              <w:top w:val="dotted" w:sz="4" w:space="0" w:color="auto"/>
            </w:tcBorders>
          </w:tcPr>
          <w:p w:rsidR="00143951" w:rsidRPr="00DC33E0" w:rsidRDefault="003B22BD" w:rsidP="00B7005F">
            <w:pPr>
              <w:pStyle w:val="ListParagraph"/>
              <w:widowControl/>
              <w:numPr>
                <w:ilvl w:val="0"/>
                <w:numId w:val="28"/>
              </w:numPr>
              <w:tabs>
                <w:tab w:val="left" w:pos="460"/>
              </w:tabs>
              <w:autoSpaceDE/>
              <w:autoSpaceDN/>
              <w:spacing w:before="240" w:after="60" w:line="276" w:lineRule="auto"/>
              <w:ind w:right="274"/>
              <w:jc w:val="both"/>
              <w:rPr>
                <w:lang w:val="sr-Latn-CS"/>
              </w:rPr>
            </w:pPr>
            <w:r>
              <w:rPr>
                <w:lang w:val="sr-Latn-CS"/>
              </w:rPr>
              <w:lastRenderedPageBreak/>
              <w:t>Skladištenje svih</w:t>
            </w:r>
            <w:r w:rsidR="00143951">
              <w:rPr>
                <w:lang w:val="sr-Latn-CS"/>
              </w:rPr>
              <w:t xml:space="preserve"> materijale</w:t>
            </w:r>
            <w:r w:rsidR="00143951" w:rsidRPr="00DC33E0">
              <w:rPr>
                <w:lang w:val="sr-Latn-CS"/>
              </w:rPr>
              <w:t xml:space="preserve"> u originalnim kontejnerima na odgovarajućim mestima, koji omogućavaju skladištenje u nepropusnim </w:t>
            </w:r>
            <w:r w:rsidR="00860B0B" w:rsidRPr="00DC33E0">
              <w:rPr>
                <w:lang w:val="sr-Latn-CS"/>
              </w:rPr>
              <w:t>kontejnerima</w:t>
            </w:r>
            <w:r w:rsidR="00143951" w:rsidRPr="00DC33E0">
              <w:rPr>
                <w:lang w:val="sr-Latn-CS"/>
              </w:rPr>
              <w:t>.</w:t>
            </w:r>
          </w:p>
          <w:p w:rsidR="00143951" w:rsidRPr="00DC33E0" w:rsidRDefault="00143951" w:rsidP="00B7005F">
            <w:pPr>
              <w:pStyle w:val="ListParagraph"/>
              <w:widowControl/>
              <w:numPr>
                <w:ilvl w:val="0"/>
                <w:numId w:val="28"/>
              </w:numPr>
              <w:tabs>
                <w:tab w:val="left" w:pos="460"/>
              </w:tabs>
              <w:autoSpaceDE/>
              <w:autoSpaceDN/>
              <w:spacing w:before="0" w:after="60" w:line="276" w:lineRule="auto"/>
              <w:ind w:right="274"/>
              <w:jc w:val="both"/>
              <w:rPr>
                <w:lang w:val="sr-Latn-CS"/>
              </w:rPr>
            </w:pPr>
            <w:r w:rsidRPr="00DC33E0">
              <w:rPr>
                <w:lang w:val="sr-Latn-CS"/>
              </w:rPr>
              <w:t xml:space="preserve">Na </w:t>
            </w:r>
            <w:r>
              <w:rPr>
                <w:lang w:val="sr-Latn-CS"/>
              </w:rPr>
              <w:t>lokaciji se</w:t>
            </w:r>
            <w:r w:rsidRPr="00DC33E0">
              <w:rPr>
                <w:lang w:val="sr-Latn-CS"/>
              </w:rPr>
              <w:t xml:space="preserve"> neće </w:t>
            </w:r>
            <w:r>
              <w:rPr>
                <w:lang w:val="sr-Latn-CS"/>
              </w:rPr>
              <w:t>skladištiti velike količine</w:t>
            </w:r>
            <w:r w:rsidRPr="00DC33E0">
              <w:rPr>
                <w:lang w:val="sr-Latn-CS"/>
              </w:rPr>
              <w:t xml:space="preserve"> goriva.</w:t>
            </w:r>
          </w:p>
          <w:p w:rsidR="00143951" w:rsidRPr="00DC33E0" w:rsidRDefault="00143951" w:rsidP="00B7005F">
            <w:pPr>
              <w:pStyle w:val="ListParagraph"/>
              <w:widowControl/>
              <w:numPr>
                <w:ilvl w:val="0"/>
                <w:numId w:val="28"/>
              </w:numPr>
              <w:tabs>
                <w:tab w:val="left" w:pos="460"/>
              </w:tabs>
              <w:autoSpaceDE/>
              <w:autoSpaceDN/>
              <w:spacing w:before="0" w:after="60" w:line="276" w:lineRule="auto"/>
              <w:ind w:right="274"/>
              <w:jc w:val="both"/>
              <w:rPr>
                <w:lang w:val="sr-Latn-CS"/>
              </w:rPr>
            </w:pPr>
            <w:r>
              <w:rPr>
                <w:lang w:val="sr-Latn-CS"/>
              </w:rPr>
              <w:t xml:space="preserve">Osigurati da su </w:t>
            </w:r>
            <w:r w:rsidRPr="00DC33E0">
              <w:rPr>
                <w:lang w:val="sr-Latn-CS"/>
              </w:rPr>
              <w:t xml:space="preserve">radnici upoznati sa sigurnosnim propisima i zahtevima za skladištenje svakog proizvoda.  </w:t>
            </w:r>
          </w:p>
          <w:p w:rsidR="00143951" w:rsidRPr="00DC33E0" w:rsidRDefault="00143951" w:rsidP="00B7005F">
            <w:pPr>
              <w:pStyle w:val="ListParagraph"/>
              <w:widowControl/>
              <w:numPr>
                <w:ilvl w:val="0"/>
                <w:numId w:val="28"/>
              </w:numPr>
              <w:tabs>
                <w:tab w:val="left" w:pos="460"/>
              </w:tabs>
              <w:autoSpaceDE/>
              <w:autoSpaceDN/>
              <w:spacing w:before="0" w:after="60" w:line="276" w:lineRule="auto"/>
              <w:ind w:right="274"/>
              <w:jc w:val="both"/>
              <w:rPr>
                <w:lang w:val="sr-Latn-CS"/>
              </w:rPr>
            </w:pPr>
            <w:r w:rsidRPr="00DC33E0">
              <w:rPr>
                <w:lang w:val="sr-Latn-CS"/>
              </w:rPr>
              <w:lastRenderedPageBreak/>
              <w:t xml:space="preserve">Obezbediti apsorbente </w:t>
            </w:r>
            <w:r>
              <w:rPr>
                <w:lang w:val="sr-Latn-CS"/>
              </w:rPr>
              <w:t xml:space="preserve">u </w:t>
            </w:r>
            <w:r w:rsidR="00860B0B">
              <w:rPr>
                <w:lang w:val="sr-Latn-CS"/>
              </w:rPr>
              <w:t>slučaju</w:t>
            </w:r>
            <w:r>
              <w:rPr>
                <w:lang w:val="sr-Latn-CS"/>
              </w:rPr>
              <w:t xml:space="preserve"> izlivanja na lokaciji</w:t>
            </w:r>
            <w:r w:rsidRPr="00DC33E0">
              <w:rPr>
                <w:lang w:val="sr-Latn-CS"/>
              </w:rPr>
              <w:t xml:space="preserve">. U slučaju nesreće zaustaviti </w:t>
            </w:r>
            <w:r>
              <w:rPr>
                <w:lang w:val="sr-Latn-CS"/>
              </w:rPr>
              <w:t>izlivanje</w:t>
            </w:r>
            <w:r w:rsidRPr="00DC33E0">
              <w:rPr>
                <w:lang w:val="sr-Latn-CS"/>
              </w:rPr>
              <w:t xml:space="preserve"> i sanirati </w:t>
            </w:r>
            <w:r>
              <w:rPr>
                <w:lang w:val="sr-Latn-CS"/>
              </w:rPr>
              <w:t>lokaciju</w:t>
            </w:r>
            <w:r w:rsidRPr="00DC33E0">
              <w:rPr>
                <w:lang w:val="sr-Latn-CS"/>
              </w:rPr>
              <w:t xml:space="preserve">. Otpad treba tretirati kao opasan. </w:t>
            </w:r>
          </w:p>
          <w:p w:rsidR="00143951" w:rsidRDefault="00143951" w:rsidP="00B7005F">
            <w:pPr>
              <w:pStyle w:val="ListParagraph"/>
              <w:widowControl/>
              <w:numPr>
                <w:ilvl w:val="0"/>
                <w:numId w:val="28"/>
              </w:numPr>
              <w:tabs>
                <w:tab w:val="left" w:pos="460"/>
              </w:tabs>
              <w:autoSpaceDE/>
              <w:autoSpaceDN/>
              <w:spacing w:before="0" w:after="60" w:line="276" w:lineRule="auto"/>
              <w:ind w:right="274"/>
              <w:jc w:val="both"/>
              <w:rPr>
                <w:lang w:val="sr-Latn-CS"/>
              </w:rPr>
            </w:pPr>
            <w:r>
              <w:rPr>
                <w:lang w:val="sr-Latn-CS"/>
              </w:rPr>
              <w:t>Poštovati</w:t>
            </w:r>
            <w:r w:rsidRPr="00DC33E0">
              <w:rPr>
                <w:lang w:val="sr-Latn-CS"/>
              </w:rPr>
              <w:t xml:space="preserve"> uputstva sigurnosno tehničkog lista (MSDS) prilikom rukovanja hemikalijama.</w:t>
            </w:r>
          </w:p>
          <w:p w:rsidR="00143951" w:rsidRPr="00DC33E0" w:rsidRDefault="00FD74B0" w:rsidP="00FD74B0">
            <w:pPr>
              <w:pStyle w:val="ListParagraph"/>
              <w:numPr>
                <w:ilvl w:val="0"/>
                <w:numId w:val="28"/>
              </w:numPr>
              <w:tabs>
                <w:tab w:val="left" w:pos="460"/>
              </w:tabs>
              <w:spacing w:line="276" w:lineRule="auto"/>
              <w:ind w:right="271"/>
              <w:jc w:val="both"/>
              <w:rPr>
                <w:lang w:val="sr-Latn-CS"/>
              </w:rPr>
            </w:pPr>
            <w:r w:rsidRPr="00FD74B0">
              <w:rPr>
                <w:lang w:val="sr-Latn-CS"/>
              </w:rPr>
              <w:t>Hemikalije i opasni otpad se stavljaju na sigurno mesto</w:t>
            </w:r>
            <w:r>
              <w:rPr>
                <w:lang w:val="sr-Latn-CS"/>
              </w:rPr>
              <w:t>,</w:t>
            </w:r>
            <w:r w:rsidRPr="00FD74B0">
              <w:rPr>
                <w:lang w:val="sr-Latn-CS"/>
              </w:rPr>
              <w:t xml:space="preserve"> </w:t>
            </w:r>
            <w:r>
              <w:rPr>
                <w:lang w:val="sr-Latn-CS"/>
              </w:rPr>
              <w:t>zaštićeno mesto</w:t>
            </w:r>
            <w:r w:rsidRPr="00FD74B0">
              <w:rPr>
                <w:lang w:val="sr-Latn-CS"/>
              </w:rPr>
              <w:t xml:space="preserve"> od prosipanja</w:t>
            </w:r>
          </w:p>
        </w:tc>
      </w:tr>
      <w:tr w:rsidR="00580ED9" w:rsidRPr="00627140" w:rsidTr="003C113B">
        <w:trPr>
          <w:trHeight w:val="2576"/>
        </w:trPr>
        <w:tc>
          <w:tcPr>
            <w:tcW w:w="745" w:type="pct"/>
            <w:vMerge/>
          </w:tcPr>
          <w:p w:rsidR="00580ED9" w:rsidRPr="003B3244" w:rsidRDefault="00580ED9" w:rsidP="003B3244">
            <w:pPr>
              <w:jc w:val="both"/>
              <w:rPr>
                <w:rFonts w:eastAsia="NSimSun"/>
                <w:color w:val="2E74B5"/>
                <w:lang w:val="sr-Latn-CS"/>
              </w:rPr>
            </w:pPr>
          </w:p>
        </w:tc>
        <w:tc>
          <w:tcPr>
            <w:tcW w:w="1035" w:type="pct"/>
          </w:tcPr>
          <w:p w:rsidR="00580ED9" w:rsidRPr="00DC33E0" w:rsidRDefault="00580ED9" w:rsidP="00B7005F">
            <w:pPr>
              <w:jc w:val="both"/>
              <w:rPr>
                <w:rFonts w:eastAsia="NSimSun"/>
                <w:color w:val="000000" w:themeColor="text1"/>
                <w:lang w:val="sr-Latn-CS"/>
              </w:rPr>
            </w:pPr>
            <w:r>
              <w:rPr>
                <w:rFonts w:eastAsia="NSimSun"/>
                <w:color w:val="000000" w:themeColor="text1"/>
                <w:lang w:val="sr-Latn-CS"/>
              </w:rPr>
              <w:t>Spremnost</w:t>
            </w:r>
            <w:r w:rsidR="00FD74B0">
              <w:rPr>
                <w:rFonts w:eastAsia="NSimSun"/>
                <w:color w:val="000000" w:themeColor="text1"/>
                <w:lang w:val="sr-Latn-CS"/>
              </w:rPr>
              <w:t xml:space="preserve"> </w:t>
            </w:r>
            <w:r w:rsidRPr="00DC33E0">
              <w:rPr>
                <w:rFonts w:eastAsia="NSimSun"/>
                <w:color w:val="000000" w:themeColor="text1"/>
                <w:lang w:val="sr-Latn-CS"/>
              </w:rPr>
              <w:t xml:space="preserve">za </w:t>
            </w:r>
            <w:r>
              <w:rPr>
                <w:rFonts w:eastAsia="NSimSun"/>
                <w:color w:val="000000" w:themeColor="text1"/>
                <w:lang w:val="sr-Latn-CS"/>
              </w:rPr>
              <w:t>vanredne situacije</w:t>
            </w:r>
          </w:p>
          <w:p w:rsidR="00580ED9" w:rsidRPr="00DC33E0" w:rsidRDefault="00580ED9" w:rsidP="00B7005F">
            <w:pPr>
              <w:jc w:val="both"/>
              <w:rPr>
                <w:rFonts w:eastAsia="NSimSun"/>
                <w:color w:val="000000" w:themeColor="text1"/>
                <w:lang w:val="sr-Latn-CS"/>
              </w:rPr>
            </w:pPr>
          </w:p>
        </w:tc>
        <w:tc>
          <w:tcPr>
            <w:tcW w:w="3220" w:type="pct"/>
            <w:tcBorders>
              <w:top w:val="dotted" w:sz="4" w:space="0" w:color="auto"/>
            </w:tcBorders>
          </w:tcPr>
          <w:p w:rsidR="00580ED9" w:rsidRPr="00DC33E0" w:rsidRDefault="00580ED9" w:rsidP="00B7005F">
            <w:pPr>
              <w:pStyle w:val="ListParagraph"/>
              <w:widowControl/>
              <w:numPr>
                <w:ilvl w:val="0"/>
                <w:numId w:val="27"/>
              </w:numPr>
              <w:tabs>
                <w:tab w:val="left" w:pos="460"/>
              </w:tabs>
              <w:autoSpaceDE/>
              <w:autoSpaceDN/>
              <w:spacing w:before="240" w:after="60" w:line="276" w:lineRule="auto"/>
              <w:ind w:right="274"/>
              <w:jc w:val="both"/>
              <w:rPr>
                <w:lang w:val="sr-Latn-CS"/>
              </w:rPr>
            </w:pPr>
            <w:r w:rsidRPr="00DC33E0">
              <w:rPr>
                <w:lang w:val="sr-Latn-CS"/>
              </w:rPr>
              <w:t xml:space="preserve">Plan spremnosti </w:t>
            </w:r>
            <w:r>
              <w:rPr>
                <w:lang w:val="sr-Latn-CS"/>
              </w:rPr>
              <w:t>za vanredne situacije</w:t>
            </w:r>
            <w:r w:rsidRPr="00DC33E0">
              <w:rPr>
                <w:lang w:val="sr-Latn-CS"/>
              </w:rPr>
              <w:t xml:space="preserve"> je pripremljen i saopšten zaposlenima.</w:t>
            </w:r>
          </w:p>
          <w:p w:rsidR="00580ED9" w:rsidRPr="00DC33E0" w:rsidRDefault="00580ED9" w:rsidP="00B7005F">
            <w:pPr>
              <w:pStyle w:val="ListParagraph"/>
              <w:widowControl/>
              <w:numPr>
                <w:ilvl w:val="0"/>
                <w:numId w:val="27"/>
              </w:numPr>
              <w:tabs>
                <w:tab w:val="left" w:pos="460"/>
              </w:tabs>
              <w:autoSpaceDE/>
              <w:autoSpaceDN/>
              <w:spacing w:before="0" w:after="60" w:line="276" w:lineRule="auto"/>
              <w:ind w:right="274"/>
              <w:jc w:val="both"/>
              <w:rPr>
                <w:lang w:val="sr-Latn-CS"/>
              </w:rPr>
            </w:pPr>
            <w:r w:rsidRPr="00DC33E0">
              <w:rPr>
                <w:lang w:val="sr-Latn-CS"/>
              </w:rPr>
              <w:t xml:space="preserve">Osigurati poznavanje mreža u blizini </w:t>
            </w:r>
            <w:r>
              <w:rPr>
                <w:lang w:val="sr-Latn-CS"/>
              </w:rPr>
              <w:t>lokacije</w:t>
            </w:r>
            <w:r w:rsidRPr="00DC33E0">
              <w:rPr>
                <w:lang w:val="sr-Latn-CS"/>
              </w:rPr>
              <w:t>.</w:t>
            </w:r>
          </w:p>
          <w:p w:rsidR="00580ED9" w:rsidRPr="00DC33E0" w:rsidRDefault="00580ED9" w:rsidP="00B7005F">
            <w:pPr>
              <w:pStyle w:val="ListParagraph"/>
              <w:widowControl/>
              <w:numPr>
                <w:ilvl w:val="0"/>
                <w:numId w:val="27"/>
              </w:numPr>
              <w:tabs>
                <w:tab w:val="left" w:pos="460"/>
              </w:tabs>
              <w:autoSpaceDE/>
              <w:autoSpaceDN/>
              <w:spacing w:before="0" w:after="60" w:line="276" w:lineRule="auto"/>
              <w:ind w:right="274"/>
              <w:jc w:val="both"/>
              <w:rPr>
                <w:lang w:val="sr-Latn-CS"/>
              </w:rPr>
            </w:pPr>
            <w:r w:rsidRPr="00DC33E0">
              <w:rPr>
                <w:lang w:val="sr-Latn-CS"/>
              </w:rPr>
              <w:t xml:space="preserve">U slučaju neočekivanog ometanja, odmah zaustaviti sve radove, obavestiti odgovarajuće organe u regionu i </w:t>
            </w:r>
            <w:r>
              <w:rPr>
                <w:lang w:val="sr-Latn-CS"/>
              </w:rPr>
              <w:t xml:space="preserve">izvršiti sanaciju </w:t>
            </w:r>
            <w:r w:rsidRPr="00DC33E0">
              <w:rPr>
                <w:lang w:val="sr-Latn-CS"/>
              </w:rPr>
              <w:t xml:space="preserve"> oštećene mreže u skladu sa zahtevima nacionalnog zakonodavstva i plana spremnosti za </w:t>
            </w:r>
            <w:r>
              <w:rPr>
                <w:lang w:val="sr-Latn-CS"/>
              </w:rPr>
              <w:t>vanredne situacije</w:t>
            </w:r>
            <w:r w:rsidRPr="00DC33E0">
              <w:rPr>
                <w:lang w:val="sr-Latn-CS"/>
              </w:rPr>
              <w:t xml:space="preserve">. </w:t>
            </w:r>
          </w:p>
          <w:p w:rsidR="00580ED9" w:rsidRPr="00DC33E0" w:rsidRDefault="00580ED9" w:rsidP="00B7005F">
            <w:pPr>
              <w:pStyle w:val="ListParagraph"/>
              <w:widowControl/>
              <w:numPr>
                <w:ilvl w:val="0"/>
                <w:numId w:val="27"/>
              </w:numPr>
              <w:tabs>
                <w:tab w:val="left" w:pos="460"/>
              </w:tabs>
              <w:autoSpaceDE/>
              <w:autoSpaceDN/>
              <w:spacing w:before="0" w:after="60" w:line="276" w:lineRule="auto"/>
              <w:ind w:right="274"/>
              <w:jc w:val="both"/>
              <w:rPr>
                <w:lang w:val="sr-Latn-CS"/>
              </w:rPr>
            </w:pPr>
            <w:r w:rsidRPr="00DC33E0">
              <w:rPr>
                <w:lang w:val="sr-Latn-CS"/>
              </w:rPr>
              <w:t>Obezbediti protivpožarnu opremu i obuku za zaposlene</w:t>
            </w:r>
          </w:p>
        </w:tc>
      </w:tr>
      <w:tr w:rsidR="00DC5A28" w:rsidRPr="00627140" w:rsidTr="003C113B">
        <w:tc>
          <w:tcPr>
            <w:tcW w:w="745" w:type="pct"/>
          </w:tcPr>
          <w:p w:rsidR="00DC5A28" w:rsidRPr="00DC33E0" w:rsidRDefault="00DC5A28" w:rsidP="00B7005F">
            <w:pPr>
              <w:jc w:val="both"/>
              <w:rPr>
                <w:rFonts w:eastAsia="NSimSun" w:cstheme="minorHAnsi"/>
                <w:color w:val="000000" w:themeColor="text1"/>
                <w:lang w:val="sr-Latn-CS"/>
              </w:rPr>
            </w:pPr>
            <w:r w:rsidRPr="00DC33E0">
              <w:rPr>
                <w:rFonts w:eastAsia="NSimSun" w:cstheme="minorHAnsi"/>
                <w:b/>
                <w:color w:val="000000" w:themeColor="text1"/>
                <w:lang w:val="sr-Latn-CS"/>
              </w:rPr>
              <w:t>B</w:t>
            </w:r>
            <w:r w:rsidRPr="00DC33E0">
              <w:rPr>
                <w:rFonts w:eastAsia="NSimSun" w:cstheme="minorHAnsi"/>
                <w:color w:val="000000" w:themeColor="text1"/>
                <w:lang w:val="sr-Latn-CS"/>
              </w:rPr>
              <w:t>. Sanacija zgrada</w:t>
            </w:r>
          </w:p>
        </w:tc>
        <w:tc>
          <w:tcPr>
            <w:tcW w:w="1035" w:type="pct"/>
          </w:tcPr>
          <w:p w:rsidR="00DC5A28" w:rsidRPr="00DC33E0" w:rsidRDefault="00DC5A28" w:rsidP="00B7005F">
            <w:pPr>
              <w:jc w:val="both"/>
              <w:rPr>
                <w:rFonts w:eastAsia="NSimSun" w:cstheme="minorHAnsi"/>
                <w:color w:val="2E74B5"/>
                <w:lang w:val="sr-Latn-CS"/>
              </w:rPr>
            </w:pPr>
            <w:r w:rsidRPr="00DC33E0">
              <w:rPr>
                <w:rFonts w:eastAsia="NSimSun" w:cstheme="minorHAnsi"/>
                <w:lang w:val="sr-Latn-CS"/>
              </w:rPr>
              <w:t>Bezbednost zajednice</w:t>
            </w:r>
          </w:p>
        </w:tc>
        <w:tc>
          <w:tcPr>
            <w:tcW w:w="3220" w:type="pct"/>
          </w:tcPr>
          <w:p w:rsidR="00DC5A28" w:rsidRPr="00DC33E0" w:rsidRDefault="00DC5A28" w:rsidP="00B7005F">
            <w:pPr>
              <w:pStyle w:val="ListParagraph"/>
              <w:widowControl/>
              <w:numPr>
                <w:ilvl w:val="0"/>
                <w:numId w:val="34"/>
              </w:numPr>
              <w:tabs>
                <w:tab w:val="left" w:pos="460"/>
              </w:tabs>
              <w:autoSpaceDE/>
              <w:autoSpaceDN/>
              <w:spacing w:before="0" w:after="60" w:line="276" w:lineRule="auto"/>
              <w:ind w:right="274"/>
              <w:jc w:val="both"/>
              <w:rPr>
                <w:lang w:val="sr-Latn-CS"/>
              </w:rPr>
            </w:pPr>
            <w:r>
              <w:rPr>
                <w:lang w:val="sr-Latn-CS"/>
              </w:rPr>
              <w:t>Obezbediti</w:t>
            </w:r>
            <w:r w:rsidRPr="00DC33E0">
              <w:rPr>
                <w:lang w:val="sr-Latn-CS"/>
              </w:rPr>
              <w:t xml:space="preserve"> sigurnost korisnika zgrade, npr. osigurati sigurne prolaze i zaštitu od pada predmeta. </w:t>
            </w:r>
          </w:p>
          <w:p w:rsidR="00DC5A28" w:rsidRPr="00DC33E0" w:rsidRDefault="00DC5A28" w:rsidP="00B7005F">
            <w:pPr>
              <w:pStyle w:val="ListParagraph"/>
              <w:widowControl/>
              <w:numPr>
                <w:ilvl w:val="0"/>
                <w:numId w:val="34"/>
              </w:numPr>
              <w:tabs>
                <w:tab w:val="left" w:pos="460"/>
              </w:tabs>
              <w:autoSpaceDE/>
              <w:autoSpaceDN/>
              <w:spacing w:before="0" w:after="60" w:line="276" w:lineRule="auto"/>
              <w:ind w:right="274"/>
              <w:jc w:val="both"/>
              <w:rPr>
                <w:lang w:val="sr-Latn-CS"/>
              </w:rPr>
            </w:pPr>
            <w:r w:rsidRPr="00DC33E0">
              <w:rPr>
                <w:lang w:val="sr-Latn-CS"/>
              </w:rPr>
              <w:t xml:space="preserve">Na vreme obavestiti korisnike </w:t>
            </w:r>
            <w:r>
              <w:rPr>
                <w:lang w:val="sr-Latn-CS"/>
              </w:rPr>
              <w:t>objekata i susedne zajednice</w:t>
            </w:r>
            <w:r w:rsidRPr="00DC33E0">
              <w:rPr>
                <w:lang w:val="sr-Latn-CS"/>
              </w:rPr>
              <w:t xml:space="preserve"> o predstojećim radovima.</w:t>
            </w:r>
          </w:p>
          <w:p w:rsidR="00DC5A28" w:rsidRPr="00DC33E0" w:rsidRDefault="00DC5A28" w:rsidP="00B7005F">
            <w:pPr>
              <w:pStyle w:val="ListParagraph"/>
              <w:widowControl/>
              <w:numPr>
                <w:ilvl w:val="0"/>
                <w:numId w:val="34"/>
              </w:numPr>
              <w:tabs>
                <w:tab w:val="left" w:pos="460"/>
              </w:tabs>
              <w:autoSpaceDE/>
              <w:autoSpaceDN/>
              <w:spacing w:before="0" w:after="60" w:line="276" w:lineRule="auto"/>
              <w:ind w:right="274"/>
              <w:jc w:val="both"/>
              <w:rPr>
                <w:lang w:val="sr-Latn-CS"/>
              </w:rPr>
            </w:pPr>
          </w:p>
          <w:p w:rsidR="00DC5A28" w:rsidRPr="00DC33E0" w:rsidRDefault="00DC5A28" w:rsidP="00B7005F">
            <w:pPr>
              <w:pStyle w:val="ListParagraph"/>
              <w:rPr>
                <w:lang w:val="sr-Latn-CS"/>
              </w:rPr>
            </w:pPr>
            <w:r w:rsidRPr="00DC33E0">
              <w:rPr>
                <w:lang w:val="sr-Latn-CS"/>
              </w:rPr>
              <w:t>U slučaju obustave saobraćaja, organizovati alternativne rute u saradnji sa opštinom.</w:t>
            </w:r>
          </w:p>
        </w:tc>
      </w:tr>
      <w:tr w:rsidR="00261257" w:rsidRPr="00627140" w:rsidTr="003C113B">
        <w:tc>
          <w:tcPr>
            <w:tcW w:w="745" w:type="pct"/>
          </w:tcPr>
          <w:p w:rsidR="00261257" w:rsidRPr="00DC33E0" w:rsidRDefault="00261257" w:rsidP="00B7005F">
            <w:pPr>
              <w:jc w:val="both"/>
              <w:rPr>
                <w:rFonts w:eastAsia="NSimSun" w:cstheme="minorHAnsi"/>
                <w:b/>
                <w:color w:val="000000" w:themeColor="text1"/>
                <w:lang w:val="sr-Latn-CS"/>
              </w:rPr>
            </w:pPr>
          </w:p>
          <w:p w:rsidR="00261257" w:rsidRPr="00DC33E0" w:rsidRDefault="00261257" w:rsidP="00B7005F">
            <w:pPr>
              <w:jc w:val="both"/>
              <w:rPr>
                <w:rFonts w:eastAsia="NSimSun" w:cstheme="minorHAnsi"/>
                <w:b/>
                <w:color w:val="000000" w:themeColor="text1"/>
                <w:lang w:val="sr-Latn-CS"/>
              </w:rPr>
            </w:pPr>
            <w:r w:rsidRPr="00DC33E0">
              <w:rPr>
                <w:rFonts w:eastAsia="NSimSun" w:cstheme="minorHAnsi"/>
                <w:b/>
                <w:color w:val="000000" w:themeColor="text1"/>
                <w:lang w:val="sr-Latn-CS"/>
              </w:rPr>
              <w:t>C. Sanacija parkova</w:t>
            </w:r>
          </w:p>
        </w:tc>
        <w:tc>
          <w:tcPr>
            <w:tcW w:w="1035" w:type="pct"/>
          </w:tcPr>
          <w:p w:rsidR="00261257" w:rsidRPr="00DC33E0" w:rsidRDefault="00261257" w:rsidP="00B7005F">
            <w:pPr>
              <w:jc w:val="both"/>
              <w:rPr>
                <w:rFonts w:eastAsia="NSimSun" w:cstheme="minorHAnsi"/>
                <w:color w:val="000000" w:themeColor="text1"/>
                <w:lang w:val="sr-Latn-CS"/>
              </w:rPr>
            </w:pPr>
          </w:p>
          <w:p w:rsidR="00261257" w:rsidRPr="00DC33E0" w:rsidRDefault="00261257" w:rsidP="00B7005F">
            <w:pPr>
              <w:jc w:val="both"/>
              <w:rPr>
                <w:rFonts w:eastAsia="NSimSun" w:cstheme="minorHAnsi"/>
                <w:color w:val="2E74B5"/>
                <w:lang w:val="sr-Latn-CS"/>
              </w:rPr>
            </w:pPr>
            <w:r w:rsidRPr="00DC33E0">
              <w:rPr>
                <w:rFonts w:eastAsia="NSimSun" w:cstheme="minorHAnsi"/>
                <w:color w:val="000000" w:themeColor="text1"/>
                <w:lang w:val="sr-Latn-CS"/>
              </w:rPr>
              <w:t>Zaštita prirode</w:t>
            </w:r>
          </w:p>
        </w:tc>
        <w:tc>
          <w:tcPr>
            <w:tcW w:w="3220" w:type="pct"/>
          </w:tcPr>
          <w:p w:rsidR="00261257" w:rsidRPr="00DC33E0" w:rsidRDefault="00261257" w:rsidP="00B7005F">
            <w:pPr>
              <w:pStyle w:val="ListParagraph"/>
              <w:tabs>
                <w:tab w:val="left" w:pos="460"/>
              </w:tabs>
              <w:spacing w:line="276" w:lineRule="auto"/>
              <w:ind w:right="271"/>
              <w:jc w:val="both"/>
              <w:rPr>
                <w:lang w:val="sr-Latn-CS"/>
              </w:rPr>
            </w:pPr>
          </w:p>
          <w:p w:rsidR="00261257" w:rsidRPr="00DC33E0" w:rsidRDefault="00261257" w:rsidP="00B7005F">
            <w:pPr>
              <w:pStyle w:val="ListParagraph"/>
              <w:widowControl/>
              <w:numPr>
                <w:ilvl w:val="0"/>
                <w:numId w:val="32"/>
              </w:numPr>
              <w:tabs>
                <w:tab w:val="left" w:pos="460"/>
              </w:tabs>
              <w:autoSpaceDE/>
              <w:autoSpaceDN/>
              <w:spacing w:before="0" w:after="60" w:line="276" w:lineRule="auto"/>
              <w:ind w:right="274"/>
              <w:jc w:val="both"/>
              <w:rPr>
                <w:lang w:val="sr-Latn-CS"/>
              </w:rPr>
            </w:pPr>
            <w:r>
              <w:rPr>
                <w:lang w:val="sr-Latn-CS"/>
              </w:rPr>
              <w:t>Krivolov, u</w:t>
            </w:r>
            <w:r w:rsidRPr="00DC33E0">
              <w:rPr>
                <w:lang w:val="sr-Latn-CS"/>
              </w:rPr>
              <w:t xml:space="preserve">znemiravanje životinja, </w:t>
            </w:r>
            <w:r>
              <w:rPr>
                <w:lang w:val="sr-Latn-CS"/>
              </w:rPr>
              <w:t>branje biljaka i šumskih plodova</w:t>
            </w:r>
            <w:r w:rsidRPr="00DC33E0">
              <w:rPr>
                <w:lang w:val="sr-Latn-CS"/>
              </w:rPr>
              <w:t xml:space="preserve"> strogo je zabranjeno.</w:t>
            </w:r>
          </w:p>
          <w:p w:rsidR="00261257" w:rsidRPr="00DC33E0" w:rsidRDefault="00261257" w:rsidP="00B7005F">
            <w:pPr>
              <w:pStyle w:val="ListParagraph"/>
              <w:widowControl/>
              <w:numPr>
                <w:ilvl w:val="0"/>
                <w:numId w:val="32"/>
              </w:numPr>
              <w:tabs>
                <w:tab w:val="left" w:pos="460"/>
              </w:tabs>
              <w:autoSpaceDE/>
              <w:autoSpaceDN/>
              <w:spacing w:before="0" w:after="60" w:line="276" w:lineRule="auto"/>
              <w:ind w:right="274"/>
              <w:jc w:val="both"/>
              <w:rPr>
                <w:lang w:val="sr-Latn-CS"/>
              </w:rPr>
            </w:pPr>
            <w:r>
              <w:rPr>
                <w:lang w:val="sr-Latn-CS"/>
              </w:rPr>
              <w:t>Vatra na otvorenom je</w:t>
            </w:r>
            <w:r w:rsidRPr="00DC33E0">
              <w:rPr>
                <w:lang w:val="sr-Latn-CS"/>
              </w:rPr>
              <w:t xml:space="preserve"> </w:t>
            </w:r>
            <w:r>
              <w:rPr>
                <w:lang w:val="sr-Latn-CS"/>
              </w:rPr>
              <w:t>strogo zabranjena</w:t>
            </w:r>
            <w:r w:rsidRPr="00DC33E0">
              <w:rPr>
                <w:lang w:val="sr-Latn-CS"/>
              </w:rPr>
              <w:t>.</w:t>
            </w:r>
          </w:p>
          <w:p w:rsidR="00261257" w:rsidRPr="00DC33E0" w:rsidRDefault="00261257" w:rsidP="00B7005F">
            <w:pPr>
              <w:pStyle w:val="ListParagraph"/>
              <w:widowControl/>
              <w:numPr>
                <w:ilvl w:val="0"/>
                <w:numId w:val="32"/>
              </w:numPr>
              <w:tabs>
                <w:tab w:val="left" w:pos="460"/>
              </w:tabs>
              <w:autoSpaceDE/>
              <w:autoSpaceDN/>
              <w:spacing w:before="0" w:after="60" w:line="276" w:lineRule="auto"/>
              <w:ind w:right="274"/>
              <w:jc w:val="both"/>
              <w:rPr>
                <w:lang w:val="sr-Latn-CS"/>
              </w:rPr>
            </w:pPr>
            <w:r>
              <w:rPr>
                <w:lang w:val="sr-Latn-CS"/>
              </w:rPr>
              <w:t>Zabranjeno je nemarno odlaganje smeća</w:t>
            </w:r>
            <w:r w:rsidRPr="00DC33E0">
              <w:rPr>
                <w:lang w:val="sr-Latn-CS"/>
              </w:rPr>
              <w:t xml:space="preserve">. </w:t>
            </w:r>
          </w:p>
          <w:p w:rsidR="00261257" w:rsidRPr="00DC33E0" w:rsidRDefault="00261257" w:rsidP="00B7005F">
            <w:pPr>
              <w:pStyle w:val="ListParagraph"/>
              <w:widowControl/>
              <w:numPr>
                <w:ilvl w:val="0"/>
                <w:numId w:val="32"/>
              </w:numPr>
              <w:tabs>
                <w:tab w:val="left" w:pos="460"/>
              </w:tabs>
              <w:autoSpaceDE/>
              <w:autoSpaceDN/>
              <w:spacing w:before="0" w:after="60" w:line="276" w:lineRule="auto"/>
              <w:ind w:right="274"/>
              <w:jc w:val="both"/>
              <w:rPr>
                <w:lang w:val="sr-Latn-CS"/>
              </w:rPr>
            </w:pPr>
            <w:r w:rsidRPr="00DC33E0">
              <w:rPr>
                <w:lang w:val="sr-Latn-CS"/>
              </w:rPr>
              <w:t xml:space="preserve">Pre početka radova, </w:t>
            </w:r>
            <w:r>
              <w:rPr>
                <w:lang w:val="sr-Latn-CS"/>
              </w:rPr>
              <w:t>lokacija se treba proveriti u pogledu postojanja životinjskih jazbina i gnezda</w:t>
            </w:r>
            <w:r w:rsidRPr="00DC33E0">
              <w:rPr>
                <w:lang w:val="sr-Latn-CS"/>
              </w:rPr>
              <w:t xml:space="preserve">. </w:t>
            </w:r>
          </w:p>
          <w:p w:rsidR="00261257" w:rsidRPr="00DC33E0" w:rsidRDefault="00261257" w:rsidP="00B7005F">
            <w:pPr>
              <w:pStyle w:val="ListParagraph"/>
              <w:widowControl/>
              <w:numPr>
                <w:ilvl w:val="0"/>
                <w:numId w:val="32"/>
              </w:numPr>
              <w:tabs>
                <w:tab w:val="left" w:pos="460"/>
              </w:tabs>
              <w:autoSpaceDE/>
              <w:autoSpaceDN/>
              <w:spacing w:before="0" w:after="60" w:line="276" w:lineRule="auto"/>
              <w:ind w:right="274"/>
              <w:jc w:val="both"/>
              <w:rPr>
                <w:lang w:val="sr-Latn-CS"/>
              </w:rPr>
            </w:pPr>
            <w:r w:rsidRPr="00DC33E0">
              <w:rPr>
                <w:lang w:val="sr-Latn-CS"/>
              </w:rPr>
              <w:t xml:space="preserve">Smanjiti radnu površinu i koristiti samo </w:t>
            </w:r>
            <w:r>
              <w:rPr>
                <w:lang w:val="sr-Latn-CS"/>
              </w:rPr>
              <w:t>onu koja je neophodna</w:t>
            </w:r>
            <w:r w:rsidRPr="00DC33E0">
              <w:rPr>
                <w:lang w:val="sr-Latn-CS"/>
              </w:rPr>
              <w:t xml:space="preserve">. </w:t>
            </w:r>
          </w:p>
          <w:p w:rsidR="00261257" w:rsidRPr="00DC33E0" w:rsidRDefault="00261257" w:rsidP="00B7005F">
            <w:pPr>
              <w:pStyle w:val="ListParagraph"/>
              <w:widowControl/>
              <w:numPr>
                <w:ilvl w:val="0"/>
                <w:numId w:val="32"/>
              </w:numPr>
              <w:tabs>
                <w:tab w:val="left" w:pos="460"/>
              </w:tabs>
              <w:autoSpaceDE/>
              <w:autoSpaceDN/>
              <w:spacing w:before="0" w:after="60" w:line="276" w:lineRule="auto"/>
              <w:ind w:right="274"/>
              <w:jc w:val="both"/>
              <w:rPr>
                <w:lang w:val="sr-Latn-CS"/>
              </w:rPr>
            </w:pPr>
            <w:r>
              <w:rPr>
                <w:lang w:val="sr-Latn-CS"/>
              </w:rPr>
              <w:t>Nije dozvoljena seč</w:t>
            </w:r>
            <w:r w:rsidRPr="00DC33E0">
              <w:rPr>
                <w:lang w:val="sr-Latn-CS"/>
              </w:rPr>
              <w:t>a drveta. Ako je to neophodno, potrebno je nabaviti dozvolu nadležnog organa.</w:t>
            </w:r>
          </w:p>
          <w:p w:rsidR="00261257" w:rsidRPr="00DC33E0" w:rsidRDefault="00261257" w:rsidP="00B7005F">
            <w:pPr>
              <w:pStyle w:val="ListParagraph"/>
              <w:widowControl/>
              <w:numPr>
                <w:ilvl w:val="0"/>
                <w:numId w:val="32"/>
              </w:numPr>
              <w:tabs>
                <w:tab w:val="left" w:pos="460"/>
              </w:tabs>
              <w:autoSpaceDE/>
              <w:autoSpaceDN/>
              <w:spacing w:before="0" w:after="60" w:line="276" w:lineRule="auto"/>
              <w:ind w:right="274"/>
              <w:jc w:val="both"/>
              <w:rPr>
                <w:lang w:val="sr-Latn-CS"/>
              </w:rPr>
            </w:pPr>
            <w:r w:rsidRPr="00DC33E0">
              <w:rPr>
                <w:lang w:val="sr-Latn-CS"/>
              </w:rPr>
              <w:t xml:space="preserve">Samo nativne biljke se mogu koristiti u presađivanju. </w:t>
            </w:r>
          </w:p>
          <w:p w:rsidR="00261257" w:rsidRDefault="00261257" w:rsidP="00B7005F">
            <w:pPr>
              <w:pStyle w:val="ListParagraph"/>
              <w:widowControl/>
              <w:numPr>
                <w:ilvl w:val="0"/>
                <w:numId w:val="32"/>
              </w:numPr>
              <w:tabs>
                <w:tab w:val="left" w:pos="460"/>
              </w:tabs>
              <w:autoSpaceDE/>
              <w:autoSpaceDN/>
              <w:spacing w:before="0" w:after="60" w:line="276" w:lineRule="auto"/>
              <w:ind w:right="274"/>
              <w:jc w:val="both"/>
              <w:rPr>
                <w:lang w:val="sr-Latn-CS"/>
              </w:rPr>
            </w:pPr>
            <w:r>
              <w:rPr>
                <w:lang w:val="sr-Latn-CS"/>
              </w:rPr>
              <w:t>Sav  otpad</w:t>
            </w:r>
            <w:r w:rsidRPr="00DC33E0">
              <w:rPr>
                <w:lang w:val="sr-Latn-CS"/>
              </w:rPr>
              <w:t xml:space="preserve"> i ostali </w:t>
            </w:r>
            <w:r w:rsidR="00860B0B" w:rsidRPr="00DC33E0">
              <w:rPr>
                <w:lang w:val="sr-Latn-CS"/>
              </w:rPr>
              <w:t>materijali</w:t>
            </w:r>
            <w:r w:rsidRPr="00DC33E0">
              <w:rPr>
                <w:lang w:val="sr-Latn-CS"/>
              </w:rPr>
              <w:t xml:space="preserve"> kao i oprema moraju se ukloniti do kraja radova. </w:t>
            </w:r>
          </w:p>
          <w:p w:rsidR="00FD74B0" w:rsidRPr="00DC33E0" w:rsidRDefault="00FD74B0" w:rsidP="00FD74B0">
            <w:pPr>
              <w:pStyle w:val="ListParagraph"/>
              <w:widowControl/>
              <w:numPr>
                <w:ilvl w:val="0"/>
                <w:numId w:val="32"/>
              </w:numPr>
              <w:tabs>
                <w:tab w:val="left" w:pos="460"/>
              </w:tabs>
              <w:autoSpaceDE/>
              <w:autoSpaceDN/>
              <w:spacing w:before="0" w:after="60" w:line="276" w:lineRule="auto"/>
              <w:ind w:right="274"/>
              <w:jc w:val="both"/>
              <w:rPr>
                <w:lang w:val="sr-Latn-CS"/>
              </w:rPr>
            </w:pPr>
            <w:r w:rsidRPr="00FD74B0">
              <w:rPr>
                <w:lang w:val="sr-Latn-CS"/>
              </w:rPr>
              <w:t>Izbeći rad tokom sezone gnezdenja.</w:t>
            </w:r>
          </w:p>
        </w:tc>
      </w:tr>
      <w:tr w:rsidR="00B64EAB" w:rsidRPr="00627140" w:rsidTr="003C113B">
        <w:tc>
          <w:tcPr>
            <w:tcW w:w="745" w:type="pct"/>
          </w:tcPr>
          <w:p w:rsidR="00B64EAB" w:rsidRPr="00DC33E0" w:rsidRDefault="00B64EAB" w:rsidP="00B7005F">
            <w:pPr>
              <w:jc w:val="both"/>
              <w:rPr>
                <w:rFonts w:eastAsia="NSimSun" w:cstheme="minorHAnsi"/>
                <w:b/>
                <w:color w:val="000000" w:themeColor="text1"/>
                <w:lang w:val="sr-Latn-CS"/>
              </w:rPr>
            </w:pPr>
            <w:r w:rsidRPr="00DC33E0">
              <w:rPr>
                <w:rFonts w:eastAsia="NSimSun" w:cstheme="minorHAnsi"/>
                <w:b/>
                <w:color w:val="000000" w:themeColor="text1"/>
                <w:lang w:val="sr-Latn-CS"/>
              </w:rPr>
              <w:lastRenderedPageBreak/>
              <w:t>D. Nabavka hemikalija</w:t>
            </w:r>
          </w:p>
        </w:tc>
        <w:tc>
          <w:tcPr>
            <w:tcW w:w="1035" w:type="pct"/>
          </w:tcPr>
          <w:p w:rsidR="00B64EAB" w:rsidRPr="00DC33E0" w:rsidRDefault="00B64EAB" w:rsidP="00B7005F">
            <w:pPr>
              <w:jc w:val="both"/>
              <w:rPr>
                <w:rFonts w:eastAsia="NSimSun" w:cstheme="minorHAnsi"/>
                <w:color w:val="000000" w:themeColor="text1"/>
                <w:lang w:val="sr-Latn-CS"/>
              </w:rPr>
            </w:pPr>
          </w:p>
        </w:tc>
        <w:tc>
          <w:tcPr>
            <w:tcW w:w="3220" w:type="pct"/>
          </w:tcPr>
          <w:p w:rsidR="00B64EAB" w:rsidRPr="00DC33E0" w:rsidRDefault="00B64EAB" w:rsidP="00B7005F">
            <w:pPr>
              <w:pStyle w:val="ListParagraph"/>
              <w:widowControl/>
              <w:numPr>
                <w:ilvl w:val="0"/>
                <w:numId w:val="33"/>
              </w:numPr>
              <w:tabs>
                <w:tab w:val="left" w:pos="460"/>
              </w:tabs>
              <w:autoSpaceDE/>
              <w:autoSpaceDN/>
              <w:spacing w:before="0" w:after="60" w:line="276" w:lineRule="auto"/>
              <w:ind w:right="274"/>
              <w:jc w:val="both"/>
              <w:rPr>
                <w:lang w:val="sr-Latn-CS"/>
              </w:rPr>
            </w:pPr>
            <w:r w:rsidRPr="00DC33E0">
              <w:rPr>
                <w:lang w:val="sr-Latn-CS"/>
              </w:rPr>
              <w:t>Hemikalije se nabavljaju samo od strane licenciranog distributera.</w:t>
            </w:r>
          </w:p>
          <w:p w:rsidR="00B64EAB" w:rsidRPr="00DC33E0" w:rsidRDefault="00B64EAB" w:rsidP="00B7005F">
            <w:pPr>
              <w:pStyle w:val="ListParagraph"/>
              <w:widowControl/>
              <w:numPr>
                <w:ilvl w:val="0"/>
                <w:numId w:val="33"/>
              </w:numPr>
              <w:tabs>
                <w:tab w:val="left" w:pos="460"/>
              </w:tabs>
              <w:autoSpaceDE/>
              <w:autoSpaceDN/>
              <w:spacing w:before="0" w:after="60" w:line="276" w:lineRule="auto"/>
              <w:ind w:right="274"/>
              <w:jc w:val="both"/>
              <w:rPr>
                <w:lang w:val="sr-Latn-CS"/>
              </w:rPr>
            </w:pPr>
            <w:r w:rsidRPr="00DC33E0">
              <w:rPr>
                <w:lang w:val="sr-Latn-CS"/>
              </w:rPr>
              <w:t>Pesticidi se ne nabavljaju.</w:t>
            </w:r>
          </w:p>
          <w:p w:rsidR="00B64EAB" w:rsidRPr="00DC33E0" w:rsidRDefault="00B64EAB" w:rsidP="00B7005F">
            <w:pPr>
              <w:pStyle w:val="ListParagraph"/>
              <w:widowControl/>
              <w:numPr>
                <w:ilvl w:val="0"/>
                <w:numId w:val="33"/>
              </w:numPr>
              <w:tabs>
                <w:tab w:val="left" w:pos="460"/>
              </w:tabs>
              <w:autoSpaceDE/>
              <w:autoSpaceDN/>
              <w:spacing w:before="0" w:after="60" w:line="276" w:lineRule="auto"/>
              <w:ind w:right="274"/>
              <w:jc w:val="both"/>
              <w:rPr>
                <w:lang w:val="sr-Latn-CS"/>
              </w:rPr>
            </w:pPr>
            <w:r w:rsidRPr="00DC33E0">
              <w:rPr>
                <w:lang w:val="sr-Latn-CS"/>
              </w:rPr>
              <w:t>Hemikalije se stavljaju na sigurnom i bezbednosnom mestu od izlivanja.</w:t>
            </w:r>
          </w:p>
          <w:p w:rsidR="00B64EAB" w:rsidRPr="00DC33E0" w:rsidRDefault="00B64EAB" w:rsidP="00FD74B0">
            <w:pPr>
              <w:pStyle w:val="ListParagraph"/>
              <w:widowControl/>
              <w:numPr>
                <w:ilvl w:val="0"/>
                <w:numId w:val="33"/>
              </w:numPr>
              <w:tabs>
                <w:tab w:val="left" w:pos="460"/>
              </w:tabs>
              <w:autoSpaceDE/>
              <w:autoSpaceDN/>
              <w:spacing w:before="0" w:after="60" w:line="276" w:lineRule="auto"/>
              <w:ind w:right="274"/>
              <w:jc w:val="both"/>
              <w:rPr>
                <w:lang w:val="sr-Latn-CS"/>
              </w:rPr>
            </w:pPr>
            <w:r w:rsidRPr="00DC33E0">
              <w:rPr>
                <w:lang w:val="sr-Latn-CS"/>
              </w:rPr>
              <w:t>Hemikalijama se rukovodi i upravlja u skladu sa</w:t>
            </w:r>
            <w:r w:rsidR="00FD74B0">
              <w:rPr>
                <w:lang w:val="sr-Latn-CS"/>
              </w:rPr>
              <w:t xml:space="preserve"> Sigurnosno-tehničkim listovima </w:t>
            </w:r>
            <w:r w:rsidR="00FD74B0" w:rsidRPr="002C442E">
              <w:rPr>
                <w:lang w:val="sr-Latn-CS"/>
              </w:rPr>
              <w:t>(MSDS)</w:t>
            </w:r>
            <w:r w:rsidR="00FD74B0">
              <w:rPr>
                <w:lang w:val="sr-Latn-CS"/>
              </w:rPr>
              <w:t xml:space="preserve"> </w:t>
            </w:r>
            <w:r w:rsidR="00FD74B0" w:rsidRPr="00FD74B0">
              <w:rPr>
                <w:lang w:val="sr-Latn-CS"/>
              </w:rPr>
              <w:t>i rukovati samo ade</w:t>
            </w:r>
            <w:r w:rsidR="00FD74B0">
              <w:rPr>
                <w:lang w:val="sr-Latn-CS"/>
              </w:rPr>
              <w:t>kvatno obučeni i iskusni službenici</w:t>
            </w:r>
            <w:r w:rsidRPr="00DC33E0">
              <w:rPr>
                <w:lang w:val="sr-Latn-CS"/>
              </w:rPr>
              <w:t xml:space="preserve"> </w:t>
            </w:r>
          </w:p>
          <w:p w:rsidR="00B64EAB" w:rsidRPr="00DC33E0" w:rsidRDefault="00B64EAB" w:rsidP="00B7005F">
            <w:pPr>
              <w:pStyle w:val="ListParagraph"/>
              <w:tabs>
                <w:tab w:val="left" w:pos="460"/>
              </w:tabs>
              <w:spacing w:line="276" w:lineRule="auto"/>
              <w:ind w:right="271"/>
              <w:jc w:val="both"/>
              <w:rPr>
                <w:lang w:val="sr-Latn-CS"/>
              </w:rPr>
            </w:pPr>
          </w:p>
        </w:tc>
      </w:tr>
    </w:tbl>
    <w:p w:rsidR="00F3731A" w:rsidRPr="003B3244" w:rsidRDefault="00F3731A" w:rsidP="00F3731A">
      <w:pPr>
        <w:pStyle w:val="TableParagraph"/>
        <w:spacing w:line="253" w:lineRule="exact"/>
        <w:ind w:left="107"/>
        <w:rPr>
          <w:b/>
          <w:sz w:val="24"/>
          <w:lang w:val="sr-Latn-CS"/>
        </w:rPr>
        <w:sectPr w:rsidR="00F3731A" w:rsidRPr="003B3244" w:rsidSect="00175B16">
          <w:footerReference w:type="default" r:id="rId14"/>
          <w:pgSz w:w="12240" w:h="15840"/>
          <w:pgMar w:top="1440" w:right="990" w:bottom="1162" w:left="1338" w:header="0" w:footer="958" w:gutter="0"/>
          <w:cols w:space="720"/>
          <w:docGrid w:linePitch="299"/>
        </w:sectPr>
      </w:pPr>
    </w:p>
    <w:tbl>
      <w:tblPr>
        <w:tblW w:w="56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57"/>
        <w:gridCol w:w="1883"/>
        <w:gridCol w:w="1883"/>
        <w:gridCol w:w="1884"/>
        <w:gridCol w:w="1884"/>
        <w:gridCol w:w="1884"/>
        <w:gridCol w:w="1884"/>
        <w:gridCol w:w="1872"/>
      </w:tblGrid>
      <w:tr w:rsidR="00175B16" w:rsidRPr="00D8462E" w:rsidTr="00627140">
        <w:trPr>
          <w:trHeight w:val="27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53" w:lineRule="exact"/>
              <w:ind w:left="107"/>
              <w:rPr>
                <w:b/>
                <w:sz w:val="24"/>
                <w:lang w:val="sr-Latn-CS"/>
              </w:rPr>
            </w:pPr>
            <w:r>
              <w:rPr>
                <w:b/>
                <w:sz w:val="24"/>
                <w:lang w:val="sr-Latn-CS"/>
              </w:rPr>
              <w:lastRenderedPageBreak/>
              <w:t>3. DEO</w:t>
            </w:r>
            <w:r w:rsidRPr="00D8462E">
              <w:rPr>
                <w:b/>
                <w:sz w:val="24"/>
                <w:lang w:val="sr-Latn-CS"/>
              </w:rPr>
              <w:t xml:space="preserve"> : </w:t>
            </w:r>
            <w:r>
              <w:rPr>
                <w:b/>
                <w:sz w:val="24"/>
                <w:lang w:val="sr-Latn-CS"/>
              </w:rPr>
              <w:t>PLAN PRAĆENJA</w:t>
            </w:r>
          </w:p>
          <w:p w:rsidR="00175B16" w:rsidRPr="00D8462E" w:rsidRDefault="00175B16" w:rsidP="00627140">
            <w:pPr>
              <w:pStyle w:val="TableParagraph"/>
              <w:spacing w:line="20" w:lineRule="exact"/>
              <w:ind w:left="-5" w:right="-44"/>
              <w:rPr>
                <w:sz w:val="2"/>
                <w:lang w:val="sr-Latn-CS"/>
              </w:rPr>
            </w:pPr>
            <w:r w:rsidRPr="00D8462E">
              <w:rPr>
                <w:noProof/>
                <w:sz w:val="2"/>
                <w:lang w:val="en-GB" w:eastAsia="en-GB"/>
              </w:rPr>
              <w:drawing>
                <wp:inline distT="0" distB="0" distL="0" distR="0" wp14:anchorId="50E6C6D0" wp14:editId="4065EED5">
                  <wp:extent cx="9000743" cy="4572"/>
                  <wp:effectExtent l="0" t="0" r="0" b="0"/>
                  <wp:docPr id="6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7.png"/>
                          <pic:cNvPicPr/>
                        </pic:nvPicPr>
                        <pic:blipFill>
                          <a:blip r:embed="rId15" cstate="print"/>
                          <a:stretch>
                            <a:fillRect/>
                          </a:stretch>
                        </pic:blipFill>
                        <pic:spPr>
                          <a:xfrm>
                            <a:off x="0" y="0"/>
                            <a:ext cx="9000743" cy="4572"/>
                          </a:xfrm>
                          <a:prstGeom prst="rect">
                            <a:avLst/>
                          </a:prstGeom>
                        </pic:spPr>
                      </pic:pic>
                    </a:graphicData>
                  </a:graphic>
                </wp:inline>
              </w:drawing>
            </w:r>
          </w:p>
        </w:tc>
      </w:tr>
      <w:tr w:rsidR="00175B16" w:rsidRPr="00627140" w:rsidTr="00627140">
        <w:trPr>
          <w:trHeight w:val="1100"/>
          <w:jc w:val="center"/>
        </w:trPr>
        <w:tc>
          <w:tcPr>
            <w:tcW w:w="559"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rPr>
                <w:sz w:val="26"/>
                <w:lang w:val="sr-Latn-CS"/>
              </w:rPr>
            </w:pPr>
          </w:p>
          <w:p w:rsidR="00175B16" w:rsidRPr="00D8462E" w:rsidRDefault="00175B16" w:rsidP="00627140">
            <w:pPr>
              <w:pStyle w:val="TableParagraph"/>
              <w:spacing w:before="6"/>
              <w:rPr>
                <w:sz w:val="21"/>
                <w:lang w:val="sr-Latn-CS"/>
              </w:rPr>
            </w:pPr>
          </w:p>
          <w:p w:rsidR="00175B16" w:rsidRPr="00D8462E" w:rsidRDefault="00175B16" w:rsidP="00627140">
            <w:pPr>
              <w:pStyle w:val="TableParagraph"/>
              <w:ind w:left="107"/>
              <w:rPr>
                <w:b/>
                <w:sz w:val="24"/>
                <w:lang w:val="sr-Latn-CS"/>
              </w:rPr>
            </w:pPr>
            <w:r>
              <w:rPr>
                <w:b/>
                <w:sz w:val="24"/>
                <w:lang w:val="sr-Latn-CS"/>
              </w:rPr>
              <w:t>Faza</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tabs>
                <w:tab w:val="left" w:pos="1415"/>
              </w:tabs>
              <w:spacing w:before="136" w:line="237" w:lineRule="auto"/>
              <w:ind w:left="108" w:right="94"/>
              <w:rPr>
                <w:sz w:val="24"/>
                <w:lang w:val="sr-Latn-CS"/>
              </w:rPr>
            </w:pPr>
            <w:r>
              <w:rPr>
                <w:b/>
                <w:sz w:val="24"/>
                <w:lang w:val="sr-Latn-CS"/>
              </w:rPr>
              <w:t>Šta</w:t>
            </w:r>
            <w:r w:rsidRPr="00D8462E">
              <w:rPr>
                <w:b/>
                <w:sz w:val="24"/>
                <w:lang w:val="sr-Latn-CS"/>
              </w:rPr>
              <w:t xml:space="preserve"> </w:t>
            </w:r>
            <w:r w:rsidRPr="00D8462E">
              <w:rPr>
                <w:sz w:val="24"/>
                <w:lang w:val="sr-Latn-CS"/>
              </w:rPr>
              <w:t>(</w:t>
            </w:r>
            <w:r>
              <w:rPr>
                <w:sz w:val="24"/>
                <w:lang w:val="sr-Latn-CS"/>
              </w:rPr>
              <w:t>da li će se parametar pratiti</w:t>
            </w:r>
            <w:r w:rsidRPr="00D8462E">
              <w:rPr>
                <w:sz w:val="24"/>
                <w:lang w:val="sr-Latn-CS"/>
              </w:rPr>
              <w: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b/>
                <w:sz w:val="24"/>
                <w:lang w:val="sr-Latn-CS"/>
              </w:rPr>
            </w:pPr>
            <w:r>
              <w:rPr>
                <w:b/>
                <w:sz w:val="24"/>
                <w:lang w:val="sr-Latn-CS"/>
              </w:rPr>
              <w:t>Gde</w:t>
            </w:r>
          </w:p>
          <w:p w:rsidR="00175B16" w:rsidRPr="00D8462E" w:rsidRDefault="00175B16" w:rsidP="00627140">
            <w:pPr>
              <w:pStyle w:val="TableParagraph"/>
              <w:tabs>
                <w:tab w:val="left" w:pos="1562"/>
              </w:tabs>
              <w:ind w:left="108" w:right="94"/>
              <w:rPr>
                <w:sz w:val="24"/>
                <w:lang w:val="sr-Latn-CS"/>
              </w:rPr>
            </w:pPr>
            <w:r w:rsidRPr="00D8462E">
              <w:rPr>
                <w:sz w:val="24"/>
                <w:lang w:val="sr-Latn-CS"/>
              </w:rPr>
              <w:t>(</w:t>
            </w:r>
            <w:r>
              <w:rPr>
                <w:sz w:val="24"/>
                <w:lang w:val="sr-Latn-CS"/>
              </w:rPr>
              <w:t>da li će se parametar pratiti</w:t>
            </w:r>
            <w:r w:rsidRPr="00D8462E">
              <w:rPr>
                <w:sz w:val="24"/>
                <w:lang w:val="sr-Latn-CS"/>
              </w:rPr>
              <w: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b/>
                <w:sz w:val="24"/>
                <w:lang w:val="sr-Latn-CS"/>
              </w:rPr>
            </w:pPr>
            <w:r>
              <w:rPr>
                <w:b/>
                <w:sz w:val="24"/>
                <w:lang w:val="sr-Latn-CS"/>
              </w:rPr>
              <w:t xml:space="preserve">Kako </w:t>
            </w:r>
          </w:p>
          <w:p w:rsidR="00175B16" w:rsidRPr="00D8462E" w:rsidRDefault="00175B16" w:rsidP="00627140">
            <w:pPr>
              <w:pStyle w:val="TableParagraph"/>
              <w:spacing w:line="262" w:lineRule="exact"/>
              <w:ind w:left="108"/>
              <w:rPr>
                <w:sz w:val="24"/>
                <w:lang w:val="sr-Latn-CS"/>
              </w:rPr>
            </w:pPr>
            <w:r w:rsidRPr="00D8462E">
              <w:rPr>
                <w:sz w:val="24"/>
                <w:lang w:val="sr-Latn-CS"/>
              </w:rPr>
              <w:t>(da li će se parametar pratiti?)</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b/>
                <w:sz w:val="24"/>
                <w:lang w:val="sr-Latn-CS"/>
              </w:rPr>
            </w:pPr>
            <w:r>
              <w:rPr>
                <w:b/>
                <w:sz w:val="24"/>
                <w:lang w:val="sr-Latn-CS"/>
              </w:rPr>
              <w:t>Kada</w:t>
            </w:r>
          </w:p>
          <w:p w:rsidR="00175B16" w:rsidRPr="00D8462E" w:rsidRDefault="00175B16" w:rsidP="00627140">
            <w:pPr>
              <w:pStyle w:val="TableParagraph"/>
              <w:tabs>
                <w:tab w:val="left" w:pos="1494"/>
              </w:tabs>
              <w:spacing w:before="1" w:line="276" w:lineRule="exact"/>
              <w:ind w:left="108" w:right="96"/>
              <w:jc w:val="both"/>
              <w:rPr>
                <w:sz w:val="24"/>
                <w:lang w:val="sr-Latn-CS"/>
              </w:rPr>
            </w:pPr>
            <w:r w:rsidRPr="00D8462E">
              <w:rPr>
                <w:sz w:val="24"/>
                <w:lang w:val="sr-Latn-CS"/>
              </w:rPr>
              <w:t>(</w:t>
            </w:r>
            <w:r>
              <w:rPr>
                <w:sz w:val="24"/>
                <w:lang w:val="sr-Latn-CS"/>
              </w:rPr>
              <w:t>definisati učestalost/ili kontinuitet</w:t>
            </w:r>
            <w:r w:rsidRPr="00D8462E">
              <w:rPr>
                <w:sz w:val="24"/>
                <w:lang w:val="sr-Latn-CS"/>
              </w:rPr>
              <w: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b/>
                <w:sz w:val="24"/>
                <w:lang w:val="sr-Latn-CS"/>
              </w:rPr>
            </w:pPr>
            <w:r>
              <w:rPr>
                <w:b/>
                <w:sz w:val="24"/>
                <w:lang w:val="sr-Latn-CS"/>
              </w:rPr>
              <w:t>Zašto</w:t>
            </w:r>
          </w:p>
          <w:p w:rsidR="00175B16" w:rsidRPr="00D8462E" w:rsidRDefault="00175B16" w:rsidP="00627140">
            <w:pPr>
              <w:pStyle w:val="TableParagraph"/>
              <w:spacing w:before="1" w:line="276" w:lineRule="exact"/>
              <w:ind w:left="108" w:right="91"/>
              <w:rPr>
                <w:sz w:val="24"/>
                <w:lang w:val="sr-Latn-CS"/>
              </w:rPr>
            </w:pPr>
            <w:r w:rsidRPr="00D8462E">
              <w:rPr>
                <w:sz w:val="24"/>
                <w:lang w:val="sr-Latn-CS"/>
              </w:rPr>
              <w:t>(</w:t>
            </w:r>
            <w:r>
              <w:rPr>
                <w:sz w:val="24"/>
                <w:lang w:val="sr-Latn-CS"/>
              </w:rPr>
              <w:t>da li se parametar prati</w:t>
            </w:r>
            <w:r w:rsidRPr="00D8462E">
              <w:rPr>
                <w:sz w:val="24"/>
                <w:lang w:val="sr-Latn-CS"/>
              </w:rPr>
              <w: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b/>
                <w:sz w:val="24"/>
                <w:lang w:val="sr-Latn-CS"/>
              </w:rPr>
            </w:pPr>
            <w:r>
              <w:rPr>
                <w:b/>
                <w:sz w:val="24"/>
                <w:lang w:val="sr-Latn-CS"/>
              </w:rPr>
              <w:t>Troškovi</w:t>
            </w:r>
          </w:p>
          <w:p w:rsidR="00175B16" w:rsidRPr="00D8462E" w:rsidRDefault="00175B16" w:rsidP="00627140">
            <w:pPr>
              <w:pStyle w:val="TableParagraph"/>
              <w:tabs>
                <w:tab w:val="left" w:pos="1123"/>
              </w:tabs>
              <w:spacing w:before="1" w:line="276" w:lineRule="exact"/>
              <w:ind w:left="108" w:right="95"/>
              <w:jc w:val="both"/>
              <w:rPr>
                <w:sz w:val="24"/>
                <w:lang w:val="sr-Latn-CS"/>
              </w:rPr>
            </w:pPr>
            <w:r w:rsidRPr="00D8462E">
              <w:rPr>
                <w:sz w:val="24"/>
                <w:lang w:val="sr-Latn-CS"/>
              </w:rPr>
              <w:t>(</w:t>
            </w:r>
            <w:r>
              <w:rPr>
                <w:sz w:val="24"/>
                <w:lang w:val="sr-Latn-CS"/>
              </w:rPr>
              <w:t>ako nisu uključeni u budžet projekta</w:t>
            </w:r>
            <w:r w:rsidRPr="00D8462E">
              <w:rPr>
                <w:sz w:val="24"/>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before="134" w:line="274" w:lineRule="exact"/>
              <w:ind w:left="108"/>
              <w:rPr>
                <w:b/>
                <w:sz w:val="24"/>
                <w:lang w:val="sr-Latn-CS"/>
              </w:rPr>
            </w:pPr>
            <w:r>
              <w:rPr>
                <w:b/>
                <w:sz w:val="24"/>
                <w:lang w:val="sr-Latn-CS"/>
              </w:rPr>
              <w:t>Ko</w:t>
            </w:r>
          </w:p>
          <w:p w:rsidR="00175B16" w:rsidRPr="00D8462E" w:rsidRDefault="00175B16" w:rsidP="00627140">
            <w:pPr>
              <w:pStyle w:val="TableParagraph"/>
              <w:tabs>
                <w:tab w:val="left" w:pos="680"/>
              </w:tabs>
              <w:ind w:left="108" w:right="98"/>
              <w:rPr>
                <w:sz w:val="24"/>
                <w:lang w:val="sr-Latn-CS"/>
              </w:rPr>
            </w:pPr>
            <w:r w:rsidRPr="00D8462E">
              <w:rPr>
                <w:sz w:val="24"/>
                <w:lang w:val="sr-Latn-CS"/>
              </w:rPr>
              <w:t>(</w:t>
            </w:r>
            <w:r>
              <w:rPr>
                <w:sz w:val="24"/>
                <w:lang w:val="sr-Latn-CS"/>
              </w:rPr>
              <w:t>je odgovaran za praćenje</w:t>
            </w:r>
            <w:r w:rsidRPr="00D8462E">
              <w:rPr>
                <w:sz w:val="24"/>
                <w:lang w:val="sr-Latn-CS"/>
              </w:rPr>
              <w:t>?)</w:t>
            </w:r>
          </w:p>
        </w:tc>
      </w:tr>
      <w:tr w:rsidR="00175B16" w:rsidRPr="00627140" w:rsidTr="00627140">
        <w:trPr>
          <w:trHeight w:val="1100"/>
          <w:jc w:val="center"/>
        </w:trPr>
        <w:tc>
          <w:tcPr>
            <w:tcW w:w="559" w:type="pct"/>
            <w:vMerge w:val="restart"/>
            <w:tcBorders>
              <w:top w:val="single" w:sz="4" w:space="0" w:color="auto"/>
              <w:left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r>
              <w:rPr>
                <w:rFonts w:eastAsiaTheme="minorHAnsi"/>
                <w:sz w:val="20"/>
                <w:szCs w:val="20"/>
                <w:lang w:val="sr-Latn-CS"/>
              </w:rPr>
              <w:t>Priprema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autoSpaceDE w:val="0"/>
              <w:autoSpaceDN w:val="0"/>
              <w:adjustRightInd w:val="0"/>
              <w:spacing w:after="0" w:line="240" w:lineRule="auto"/>
              <w:jc w:val="center"/>
              <w:rPr>
                <w:sz w:val="20"/>
                <w:szCs w:val="20"/>
                <w:lang w:val="sr-Latn-CS"/>
              </w:rPr>
            </w:pPr>
            <w:r>
              <w:rPr>
                <w:rFonts w:ascii="Times New Roman" w:hAnsi="Times New Roman" w:cs="Times New Roman"/>
                <w:sz w:val="20"/>
                <w:szCs w:val="20"/>
                <w:lang w:val="sr-Latn-CS"/>
              </w:rPr>
              <w:t>Dobijene su sve potrebne dozvole pre početka radova.</w:t>
            </w:r>
          </w:p>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U gradskoj upravi</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Inspekcija svih potrebnih dokumenata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Pre početka radova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autoSpaceDE w:val="0"/>
              <w:autoSpaceDN w:val="0"/>
              <w:adjustRightInd w:val="0"/>
              <w:spacing w:after="0" w:line="240" w:lineRule="auto"/>
              <w:jc w:val="center"/>
              <w:rPr>
                <w:sz w:val="20"/>
                <w:szCs w:val="20"/>
                <w:lang w:val="sr-Latn-CS"/>
              </w:rPr>
            </w:pPr>
            <w:r>
              <w:rPr>
                <w:rFonts w:ascii="Times New Roman" w:hAnsi="Times New Roman" w:cs="Times New Roman"/>
                <w:sz w:val="20"/>
                <w:szCs w:val="20"/>
                <w:lang w:val="sr-Latn-CS"/>
              </w:rPr>
              <w:t xml:space="preserve">Osigurati zakonske aspekte aktivnosti rehabilitacije </w:t>
            </w:r>
          </w:p>
          <w:p w:rsidR="00175B16" w:rsidRPr="00D8462E" w:rsidRDefault="00175B16" w:rsidP="00627140">
            <w:pPr>
              <w:pStyle w:val="TableParagraph"/>
              <w:spacing w:line="269" w:lineRule="exact"/>
              <w:ind w:left="108"/>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before="134" w:line="274" w:lineRule="exact"/>
              <w:ind w:left="108"/>
              <w:rPr>
                <w:rFonts w:eastAsiaTheme="minorHAnsi"/>
                <w:sz w:val="20"/>
                <w:szCs w:val="20"/>
                <w:lang w:val="sr-Latn-CS"/>
              </w:rPr>
            </w:pPr>
            <w:r>
              <w:rPr>
                <w:rFonts w:eastAsiaTheme="minorHAnsi"/>
                <w:sz w:val="20"/>
                <w:szCs w:val="20"/>
                <w:lang w:val="sr-Latn-CS"/>
              </w:rPr>
              <w:t>Nadzornik radova</w:t>
            </w:r>
            <w:r w:rsidRPr="00D8462E">
              <w:rPr>
                <w:rFonts w:eastAsiaTheme="minorHAnsi"/>
                <w:sz w:val="20"/>
                <w:szCs w:val="20"/>
                <w:lang w:val="sr-Latn-CS"/>
              </w:rPr>
              <w:t xml:space="preserve"> (</w:t>
            </w:r>
            <w:r>
              <w:rPr>
                <w:rFonts w:eastAsiaTheme="minorHAnsi"/>
                <w:sz w:val="20"/>
                <w:szCs w:val="20"/>
                <w:lang w:val="sr-Latn-CS"/>
              </w:rPr>
              <w:t>npr.</w:t>
            </w:r>
            <w:r w:rsidRPr="00D8462E">
              <w:rPr>
                <w:rFonts w:eastAsiaTheme="minorHAnsi"/>
                <w:sz w:val="20"/>
                <w:szCs w:val="20"/>
                <w:lang w:val="sr-Latn-CS"/>
              </w:rPr>
              <w:t xml:space="preserve"> </w:t>
            </w:r>
            <w:r>
              <w:rPr>
                <w:rFonts w:eastAsiaTheme="minorHAnsi"/>
                <w:sz w:val="20"/>
                <w:szCs w:val="20"/>
                <w:lang w:val="sr-Latn-CS"/>
              </w:rPr>
              <w:t>nadzorni inženjer ili drugo ovlašćeno/imenovano lice</w:t>
            </w:r>
            <w:r w:rsidRPr="00D8462E">
              <w:rPr>
                <w:rFonts w:eastAsiaTheme="minorHAnsi"/>
                <w:sz w:val="20"/>
                <w:szCs w:val="20"/>
                <w:lang w:val="sr-Latn-CS"/>
              </w:rPr>
              <w:t xml:space="preserve">), </w:t>
            </w:r>
            <w:r>
              <w:rPr>
                <w:rFonts w:eastAsiaTheme="minorHAnsi"/>
                <w:sz w:val="20"/>
                <w:szCs w:val="20"/>
                <w:lang w:val="sr-Latn-CS"/>
              </w:rPr>
              <w:t>JUP</w:t>
            </w:r>
          </w:p>
        </w:tc>
      </w:tr>
      <w:tr w:rsidR="00175B16" w:rsidRPr="00627140" w:rsidTr="00627140">
        <w:trPr>
          <w:trHeight w:val="1100"/>
          <w:jc w:val="center"/>
        </w:trPr>
        <w:tc>
          <w:tcPr>
            <w:tcW w:w="559" w:type="pct"/>
            <w:vMerge/>
            <w:tcBorders>
              <w:left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autoSpaceDE w:val="0"/>
              <w:autoSpaceDN w:val="0"/>
              <w:adjustRightInd w:val="0"/>
              <w:spacing w:after="0" w:line="240" w:lineRule="auto"/>
              <w:jc w:val="center"/>
              <w:rPr>
                <w:sz w:val="20"/>
                <w:szCs w:val="20"/>
                <w:lang w:val="sr-Latn-CS"/>
              </w:rPr>
            </w:pPr>
            <w:r>
              <w:rPr>
                <w:rFonts w:ascii="Times New Roman" w:hAnsi="Times New Roman" w:cs="Times New Roman"/>
                <w:sz w:val="20"/>
                <w:szCs w:val="20"/>
                <w:lang w:val="sr-Latn-CS"/>
              </w:rPr>
              <w:t xml:space="preserve">Javne i relevantne institucije su obaveštene </w:t>
            </w:r>
          </w:p>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Poslovne prostorije ugovarača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A15A4A">
              <w:rPr>
                <w:rFonts w:eastAsiaTheme="minorHAnsi"/>
                <w:sz w:val="20"/>
                <w:szCs w:val="20"/>
                <w:lang w:val="sr-Latn-CS"/>
              </w:rPr>
              <w:t>Inspekcija svih potrebnih dokumenata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A15A4A">
              <w:rPr>
                <w:rFonts w:eastAsiaTheme="minorHAnsi"/>
                <w:sz w:val="20"/>
                <w:szCs w:val="20"/>
                <w:lang w:val="sr-Latn-CS"/>
              </w:rPr>
              <w:t>Pre početka radova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Osigurati svest javnosti</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before="134" w:line="274" w:lineRule="exact"/>
              <w:ind w:left="108"/>
              <w:rPr>
                <w:rFonts w:eastAsiaTheme="minorHAnsi"/>
                <w:sz w:val="20"/>
                <w:szCs w:val="20"/>
                <w:lang w:val="sr-Latn-CS"/>
              </w:rPr>
            </w:pPr>
            <w:r w:rsidRPr="00A15A4A">
              <w:rPr>
                <w:rFonts w:eastAsiaTheme="minorHAnsi"/>
                <w:sz w:val="20"/>
                <w:szCs w:val="20"/>
                <w:lang w:val="sr-Latn-CS"/>
              </w:rPr>
              <w:t>Nadzornik radova (npr. nadzorni inženjer ili drugo ovlašćeno/imenovano lice), JUP</w:t>
            </w:r>
          </w:p>
        </w:tc>
      </w:tr>
      <w:tr w:rsidR="00175B16" w:rsidRPr="00627140" w:rsidTr="00627140">
        <w:trPr>
          <w:trHeight w:val="1100"/>
          <w:jc w:val="center"/>
        </w:trPr>
        <w:tc>
          <w:tcPr>
            <w:tcW w:w="559" w:type="pct"/>
            <w:vMerge/>
            <w:tcBorders>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autoSpaceDE w:val="0"/>
              <w:autoSpaceDN w:val="0"/>
              <w:adjustRightInd w:val="0"/>
              <w:spacing w:after="0" w:line="240" w:lineRule="auto"/>
              <w:jc w:val="center"/>
              <w:rPr>
                <w:sz w:val="20"/>
                <w:szCs w:val="20"/>
                <w:lang w:val="sr-Latn-CS"/>
              </w:rPr>
            </w:pPr>
            <w:r>
              <w:rPr>
                <w:rFonts w:ascii="Times New Roman" w:hAnsi="Times New Roman" w:cs="Times New Roman"/>
                <w:sz w:val="20"/>
                <w:szCs w:val="20"/>
                <w:lang w:val="sr-Latn-CS"/>
              </w:rPr>
              <w:t xml:space="preserve">Bezbednosne mere za radnike, zaposlene i posetioce </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Na licu mesta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Vizuelne provere i izveštavanje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A15A4A">
              <w:rPr>
                <w:rFonts w:eastAsiaTheme="minorHAnsi"/>
                <w:sz w:val="20"/>
                <w:szCs w:val="20"/>
                <w:lang w:val="sr-Latn-CS"/>
              </w:rPr>
              <w:t>Pre početka radova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autoSpaceDE w:val="0"/>
              <w:autoSpaceDN w:val="0"/>
              <w:adjustRightIn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Sprečavanje zdravstvenih i bezbednosnih rizika</w:t>
            </w:r>
            <w:r w:rsidRPr="00D8462E">
              <w:rPr>
                <w:rFonts w:ascii="Times New Roman" w:hAnsi="Times New Roman" w:cs="Times New Roman"/>
                <w:sz w:val="20"/>
                <w:szCs w:val="20"/>
                <w:lang w:val="sr-Latn-CS"/>
              </w:rPr>
              <w:t xml:space="preserve"> –</w:t>
            </w:r>
          </w:p>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mehaničkih povreda i obezbeđivanje sigurnog pristupa i mobilnosti</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before="134" w:line="274" w:lineRule="exact"/>
              <w:ind w:left="108"/>
              <w:rPr>
                <w:rFonts w:eastAsiaTheme="minorHAnsi"/>
                <w:sz w:val="20"/>
                <w:szCs w:val="20"/>
                <w:lang w:val="sr-Latn-CS"/>
              </w:rPr>
            </w:pPr>
            <w:r w:rsidRPr="00A15A4A">
              <w:rPr>
                <w:rFonts w:eastAsiaTheme="minorHAnsi"/>
                <w:sz w:val="20"/>
                <w:szCs w:val="20"/>
                <w:lang w:val="sr-Latn-CS"/>
              </w:rPr>
              <w:t>Nadzornik radova (npr. nadzorni inženjer ili drugo ovlašćeno/imenovano lice), JUP</w:t>
            </w:r>
          </w:p>
        </w:tc>
      </w:tr>
      <w:tr w:rsidR="00175B16" w:rsidRPr="00D8462E" w:rsidTr="00627140">
        <w:trPr>
          <w:trHeight w:val="1100"/>
          <w:jc w:val="center"/>
        </w:trPr>
        <w:tc>
          <w:tcPr>
            <w:tcW w:w="559" w:type="pct"/>
            <w:vMerge w:val="restart"/>
            <w:tcBorders>
              <w:top w:val="single" w:sz="4" w:space="0" w:color="auto"/>
              <w:left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r>
              <w:rPr>
                <w:rFonts w:eastAsiaTheme="minorHAnsi"/>
                <w:sz w:val="20"/>
                <w:szCs w:val="20"/>
                <w:lang w:val="sr-Latn-CS"/>
              </w:rPr>
              <w:t>Sprovođenje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r>
              <w:rPr>
                <w:rFonts w:eastAsiaTheme="minorHAnsi"/>
                <w:sz w:val="20"/>
                <w:szCs w:val="20"/>
                <w:lang w:val="sr-Latn-CS"/>
              </w:rPr>
              <w:t>Bezbedan saobraćajni protok i bezbednost pešaka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6A1E6A">
              <w:rPr>
                <w:rFonts w:eastAsiaTheme="minorHAnsi"/>
                <w:sz w:val="20"/>
                <w:szCs w:val="20"/>
                <w:lang w:val="sr-Latn-CS"/>
              </w:rPr>
              <w:t>Na licu mesta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6A1E6A">
              <w:rPr>
                <w:rFonts w:eastAsiaTheme="minorHAnsi"/>
                <w:sz w:val="20"/>
                <w:szCs w:val="20"/>
                <w:lang w:val="sr-Latn-CS"/>
              </w:rPr>
              <w:t>Vizuelne provere i izveštavanje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Slučajne provere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Osigurati koordinisani saobraćajni protok</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before="134" w:line="274" w:lineRule="exact"/>
              <w:ind w:left="108"/>
              <w:rPr>
                <w:rFonts w:eastAsiaTheme="minorHAnsi"/>
                <w:sz w:val="20"/>
                <w:szCs w:val="20"/>
                <w:lang w:val="sr-Latn-CS"/>
              </w:rPr>
            </w:pPr>
            <w:r w:rsidRPr="006A1E6A">
              <w:rPr>
                <w:rFonts w:eastAsiaTheme="minorHAnsi"/>
                <w:sz w:val="20"/>
                <w:szCs w:val="20"/>
                <w:lang w:val="sr-Latn-CS"/>
              </w:rPr>
              <w:t>Nadzornik</w:t>
            </w:r>
          </w:p>
        </w:tc>
      </w:tr>
      <w:tr w:rsidR="00175B16" w:rsidRPr="00D8462E" w:rsidTr="00627140">
        <w:trPr>
          <w:trHeight w:val="1100"/>
          <w:jc w:val="center"/>
        </w:trPr>
        <w:tc>
          <w:tcPr>
            <w:tcW w:w="559" w:type="pct"/>
            <w:vMerge/>
            <w:tcBorders>
              <w:left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r>
              <w:rPr>
                <w:rFonts w:eastAsiaTheme="minorHAnsi"/>
                <w:sz w:val="20"/>
                <w:szCs w:val="20"/>
                <w:lang w:val="sr-Latn-CS"/>
              </w:rPr>
              <w:t>Bezbednost na radu</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6A1E6A">
              <w:rPr>
                <w:rFonts w:eastAsiaTheme="minorHAnsi"/>
                <w:sz w:val="20"/>
                <w:szCs w:val="20"/>
                <w:lang w:val="sr-Latn-CS"/>
              </w:rPr>
              <w:t>Na licu mesta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0B7500">
              <w:rPr>
                <w:rFonts w:eastAsiaTheme="minorHAnsi"/>
                <w:sz w:val="20"/>
                <w:szCs w:val="20"/>
                <w:lang w:val="sr-Latn-CS"/>
              </w:rPr>
              <w:t xml:space="preserve">Vizuelne provere i izveštavanje </w:t>
            </w:r>
            <w:r>
              <w:rPr>
                <w:rFonts w:eastAsiaTheme="minorHAnsi"/>
                <w:sz w:val="20"/>
                <w:szCs w:val="20"/>
                <w:lang w:val="sr-Latn-CS"/>
              </w:rPr>
              <w:t>Nenajavljene inspekcije tokom trajanja radova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A15A4A">
              <w:rPr>
                <w:rFonts w:eastAsiaTheme="minorHAnsi"/>
                <w:sz w:val="20"/>
                <w:szCs w:val="20"/>
                <w:lang w:val="sr-Latn-CS"/>
              </w:rPr>
              <w:t>Slučajne provere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6A1E6A" w:rsidRDefault="00175B16" w:rsidP="00627140">
            <w:pPr>
              <w:autoSpaceDE w:val="0"/>
              <w:autoSpaceDN w:val="0"/>
              <w:adjustRightInd w:val="0"/>
              <w:spacing w:after="0" w:line="240" w:lineRule="auto"/>
              <w:jc w:val="center"/>
              <w:rPr>
                <w:rFonts w:ascii="Times New Roman" w:hAnsi="Times New Roman" w:cs="Times New Roman"/>
                <w:sz w:val="20"/>
                <w:szCs w:val="20"/>
                <w:lang w:val="sr-Latn-CS"/>
              </w:rPr>
            </w:pPr>
            <w:r w:rsidRPr="006A1E6A">
              <w:rPr>
                <w:rFonts w:ascii="Times New Roman" w:hAnsi="Times New Roman" w:cs="Times New Roman"/>
                <w:sz w:val="20"/>
                <w:szCs w:val="20"/>
                <w:lang w:val="sr-Latn-CS"/>
              </w:rPr>
              <w:t>Sprečavanje zdravstvenih i bezbednosnih rizika –</w:t>
            </w:r>
          </w:p>
          <w:p w:rsidR="00175B16" w:rsidRPr="00D8462E" w:rsidRDefault="00175B16" w:rsidP="00627140">
            <w:pPr>
              <w:pStyle w:val="TableParagraph"/>
              <w:spacing w:line="269" w:lineRule="exact"/>
              <w:ind w:left="108"/>
              <w:rPr>
                <w:rFonts w:eastAsiaTheme="minorHAnsi"/>
                <w:sz w:val="20"/>
                <w:szCs w:val="20"/>
                <w:lang w:val="sr-Latn-CS"/>
              </w:rPr>
            </w:pPr>
            <w:r w:rsidRPr="006A1E6A">
              <w:rPr>
                <w:sz w:val="20"/>
                <w:szCs w:val="20"/>
                <w:lang w:val="sr-Latn-CS"/>
              </w:rPr>
              <w:t>Mehaničkih povreda i obezbeđivanje sigurnog pristupa i mobilnosti</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before="134" w:line="274" w:lineRule="exact"/>
              <w:ind w:left="108"/>
              <w:rPr>
                <w:rFonts w:eastAsiaTheme="minorHAnsi"/>
                <w:sz w:val="20"/>
                <w:szCs w:val="20"/>
                <w:lang w:val="sr-Latn-CS"/>
              </w:rPr>
            </w:pPr>
            <w:r w:rsidRPr="006A1E6A">
              <w:rPr>
                <w:rFonts w:eastAsiaTheme="minorHAnsi"/>
                <w:sz w:val="20"/>
                <w:szCs w:val="20"/>
                <w:lang w:val="sr-Latn-CS"/>
              </w:rPr>
              <w:t>Nadzornik</w:t>
            </w:r>
          </w:p>
        </w:tc>
      </w:tr>
      <w:tr w:rsidR="00175B16" w:rsidRPr="00D8462E" w:rsidTr="00627140">
        <w:trPr>
          <w:trHeight w:val="1100"/>
          <w:jc w:val="center"/>
        </w:trPr>
        <w:tc>
          <w:tcPr>
            <w:tcW w:w="559" w:type="pct"/>
            <w:vMerge/>
            <w:tcBorders>
              <w:left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r>
              <w:rPr>
                <w:rFonts w:eastAsiaTheme="minorHAnsi"/>
                <w:sz w:val="20"/>
                <w:szCs w:val="20"/>
                <w:lang w:val="sr-Latn-CS"/>
              </w:rPr>
              <w:t>Lokacija je dobro organizovana</w:t>
            </w:r>
            <w:r w:rsidRPr="00D8462E">
              <w:rPr>
                <w:rFonts w:eastAsiaTheme="minorHAnsi"/>
                <w:sz w:val="20"/>
                <w:szCs w:val="20"/>
                <w:lang w:val="sr-Latn-CS"/>
              </w:rPr>
              <w:t xml:space="preserve">: </w:t>
            </w:r>
            <w:r>
              <w:rPr>
                <w:rFonts w:eastAsiaTheme="minorHAnsi"/>
                <w:sz w:val="20"/>
                <w:szCs w:val="20"/>
                <w:lang w:val="sr-Latn-CS"/>
              </w:rPr>
              <w:t>ograde</w:t>
            </w:r>
            <w:r w:rsidRPr="00D8462E">
              <w:rPr>
                <w:rFonts w:eastAsiaTheme="minorHAnsi"/>
                <w:sz w:val="20"/>
                <w:szCs w:val="20"/>
                <w:lang w:val="sr-Latn-CS"/>
              </w:rPr>
              <w:t xml:space="preserve">, </w:t>
            </w:r>
            <w:r>
              <w:rPr>
                <w:rFonts w:eastAsiaTheme="minorHAnsi"/>
                <w:sz w:val="20"/>
                <w:szCs w:val="20"/>
                <w:lang w:val="sr-Latn-CS"/>
              </w:rPr>
              <w:t>upozorenja</w:t>
            </w:r>
            <w:r w:rsidRPr="00D8462E">
              <w:rPr>
                <w:rFonts w:eastAsiaTheme="minorHAnsi"/>
                <w:sz w:val="20"/>
                <w:szCs w:val="20"/>
                <w:lang w:val="sr-Latn-CS"/>
              </w:rPr>
              <w:t xml:space="preserve">, </w:t>
            </w:r>
            <w:r>
              <w:rPr>
                <w:rFonts w:eastAsiaTheme="minorHAnsi"/>
                <w:sz w:val="20"/>
                <w:szCs w:val="20"/>
                <w:lang w:val="sr-Latn-CS"/>
              </w:rPr>
              <w:t>postavljeni znakovi</w:t>
            </w:r>
            <w:r w:rsidRPr="00D8462E">
              <w:rPr>
                <w:rFonts w:eastAsiaTheme="minorHAnsi"/>
                <w:sz w:val="20"/>
                <w:szCs w:val="20"/>
                <w:lang w:val="sr-Latn-CS"/>
              </w:rPr>
              <w: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0A71E7">
              <w:rPr>
                <w:rFonts w:eastAsiaTheme="minorHAnsi"/>
                <w:sz w:val="20"/>
                <w:szCs w:val="20"/>
                <w:lang w:val="sr-Latn-CS"/>
              </w:rPr>
              <w:t>Na licu mesta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Inspekcija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Slučajne provere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Sprečavanje nesreća</w:t>
            </w:r>
            <w:r w:rsidRPr="00D8462E">
              <w:rPr>
                <w:rFonts w:eastAsiaTheme="minorHAnsi"/>
                <w:sz w:val="20"/>
                <w:szCs w:val="20"/>
                <w:lang w:val="sr-Latn-CS"/>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before="134" w:line="274" w:lineRule="exact"/>
              <w:ind w:left="108"/>
              <w:rPr>
                <w:rFonts w:eastAsiaTheme="minorHAnsi"/>
                <w:sz w:val="20"/>
                <w:szCs w:val="20"/>
                <w:lang w:val="sr-Latn-CS"/>
              </w:rPr>
            </w:pPr>
            <w:r>
              <w:rPr>
                <w:rFonts w:eastAsiaTheme="minorHAnsi"/>
                <w:sz w:val="20"/>
                <w:szCs w:val="20"/>
                <w:lang w:val="sr-Latn-CS"/>
              </w:rPr>
              <w:t>Nadzornik</w:t>
            </w:r>
          </w:p>
        </w:tc>
      </w:tr>
      <w:tr w:rsidR="00175B16" w:rsidRPr="00D8462E" w:rsidTr="00627140">
        <w:trPr>
          <w:trHeight w:val="1100"/>
          <w:jc w:val="center"/>
        </w:trPr>
        <w:tc>
          <w:tcPr>
            <w:tcW w:w="559" w:type="pct"/>
            <w:vMerge/>
            <w:tcBorders>
              <w:left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autoSpaceDE w:val="0"/>
              <w:autoSpaceDN w:val="0"/>
              <w:adjustRightIn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Prikupljanje, transport</w:t>
            </w:r>
          </w:p>
          <w:p w:rsidR="00175B16" w:rsidRPr="00D8462E" w:rsidRDefault="00175B16" w:rsidP="00627140">
            <w:pPr>
              <w:autoSpaceDE w:val="0"/>
              <w:autoSpaceDN w:val="0"/>
              <w:adjustRightIn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i opasan otpad</w:t>
            </w:r>
          </w:p>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r w:rsidRPr="00D8462E">
              <w:rPr>
                <w:rFonts w:eastAsiaTheme="minorHAnsi"/>
                <w:sz w:val="20"/>
                <w:szCs w:val="20"/>
                <w:lang w:val="sr-Latn-CS"/>
              </w:rPr>
              <w:t>(</w:t>
            </w:r>
            <w:r>
              <w:rPr>
                <w:rFonts w:eastAsiaTheme="minorHAnsi"/>
                <w:sz w:val="20"/>
                <w:szCs w:val="20"/>
                <w:lang w:val="sr-Latn-CS"/>
              </w:rPr>
              <w:t>ako ga ima</w:t>
            </w:r>
            <w:r w:rsidRPr="00D8462E">
              <w:rPr>
                <w:rFonts w:eastAsiaTheme="minorHAnsi"/>
                <w:sz w:val="20"/>
                <w:szCs w:val="20"/>
                <w:lang w:val="sr-Latn-CS"/>
              </w:rPr>
              <w: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autoSpaceDE w:val="0"/>
              <w:autoSpaceDN w:val="0"/>
              <w:adjustRightInd w:val="0"/>
              <w:spacing w:after="0" w:line="240" w:lineRule="auto"/>
              <w:jc w:val="center"/>
              <w:rPr>
                <w:sz w:val="20"/>
                <w:szCs w:val="20"/>
                <w:lang w:val="sr-Latn-CS"/>
              </w:rPr>
            </w:pPr>
            <w:r>
              <w:rPr>
                <w:rFonts w:ascii="Times New Roman" w:hAnsi="Times New Roman" w:cs="Times New Roman"/>
                <w:sz w:val="20"/>
                <w:szCs w:val="20"/>
                <w:lang w:val="sr-Latn-CS"/>
              </w:rPr>
              <w:t xml:space="preserve">Na privremenoj bezbednoj lokaciji na gradilištu u odvojenim kontejnerima za otpad </w:t>
            </w:r>
          </w:p>
          <w:p w:rsidR="00175B16" w:rsidRPr="00D8462E" w:rsidRDefault="00175B16" w:rsidP="00627140">
            <w:pPr>
              <w:pStyle w:val="TableParagraph"/>
              <w:spacing w:line="269" w:lineRule="exact"/>
              <w:ind w:left="108"/>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Inspekcija transportnih lista i uslova kontejnera i prostora skladištenja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AC2B83">
              <w:rPr>
                <w:rFonts w:eastAsiaTheme="minorHAnsi"/>
                <w:sz w:val="20"/>
                <w:szCs w:val="20"/>
                <w:lang w:val="sr-Latn-CS"/>
              </w:rPr>
              <w:t>Slučajne provere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autoSpaceDE w:val="0"/>
              <w:autoSpaceDN w:val="0"/>
              <w:adjustRightIn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Poboljšanje upravljanja</w:t>
            </w:r>
            <w:r w:rsidRPr="00BC61A1">
              <w:rPr>
                <w:rFonts w:ascii="Times New Roman" w:hAnsi="Times New Roman" w:cs="Times New Roman"/>
                <w:sz w:val="20"/>
                <w:szCs w:val="20"/>
                <w:lang w:val="sr-Latn-CS"/>
              </w:rPr>
              <w:t xml:space="preserve"> otpadom na lokalnom i nacionalnom nivou </w:t>
            </w:r>
            <w:r w:rsidRPr="00D8462E">
              <w:rPr>
                <w:rFonts w:ascii="Times New Roman" w:hAnsi="Times New Roman" w:cs="Times New Roman"/>
                <w:sz w:val="20"/>
                <w:szCs w:val="20"/>
                <w:lang w:val="sr-Latn-CS"/>
              </w:rPr>
              <w:t>/</w:t>
            </w:r>
          </w:p>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Ne odlagati opasan otpad na nijednoj od postojećih deponija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before="134" w:line="274" w:lineRule="exact"/>
              <w:ind w:left="108"/>
              <w:rPr>
                <w:rFonts w:eastAsiaTheme="minorHAnsi"/>
                <w:sz w:val="20"/>
                <w:szCs w:val="20"/>
                <w:lang w:val="sr-Latn-CS"/>
              </w:rPr>
            </w:pPr>
            <w:r w:rsidRPr="003537CD">
              <w:rPr>
                <w:rFonts w:eastAsiaTheme="minorHAnsi"/>
                <w:sz w:val="20"/>
                <w:szCs w:val="20"/>
                <w:lang w:val="sr-Latn-CS"/>
              </w:rPr>
              <w:t>Nadzornik</w:t>
            </w:r>
          </w:p>
        </w:tc>
      </w:tr>
      <w:tr w:rsidR="00175B16" w:rsidRPr="00D8462E" w:rsidTr="00627140">
        <w:trPr>
          <w:trHeight w:val="1100"/>
          <w:jc w:val="center"/>
        </w:trPr>
        <w:tc>
          <w:tcPr>
            <w:tcW w:w="559" w:type="pct"/>
            <w:vMerge/>
            <w:tcBorders>
              <w:left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r>
              <w:rPr>
                <w:rFonts w:eastAsiaTheme="minorHAnsi"/>
                <w:sz w:val="20"/>
                <w:szCs w:val="20"/>
                <w:lang w:val="sr-Latn-CS"/>
              </w:rPr>
              <w:t>Prikupljanje</w:t>
            </w:r>
            <w:r w:rsidRPr="00D8462E">
              <w:rPr>
                <w:rFonts w:eastAsiaTheme="minorHAnsi"/>
                <w:sz w:val="20"/>
                <w:szCs w:val="20"/>
                <w:lang w:val="sr-Latn-CS"/>
              </w:rPr>
              <w:t xml:space="preserve">, transport </w:t>
            </w:r>
            <w:r>
              <w:rPr>
                <w:rFonts w:eastAsiaTheme="minorHAnsi"/>
                <w:sz w:val="20"/>
                <w:szCs w:val="20"/>
                <w:lang w:val="sr-Latn-CS"/>
              </w:rPr>
              <w:t>i konačno odlaganje čvrstog otpada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Na i u okruženju lokacije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Vizuelno praćenje</w:t>
            </w:r>
            <w:r w:rsidRPr="00D8462E">
              <w:rPr>
                <w:rFonts w:eastAsiaTheme="minorHAnsi"/>
                <w:sz w:val="20"/>
                <w:szCs w:val="20"/>
                <w:lang w:val="sr-Latn-CS"/>
              </w:rPr>
              <w:t xml:space="preserve"> </w:t>
            </w:r>
            <w:r>
              <w:rPr>
                <w:rFonts w:eastAsiaTheme="minorHAnsi"/>
                <w:sz w:val="20"/>
                <w:szCs w:val="20"/>
                <w:lang w:val="sr-Latn-CS"/>
              </w:rPr>
              <w:t>i inspekcija transportnih lista ugovarača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AC2B83">
              <w:rPr>
                <w:rFonts w:eastAsiaTheme="minorHAnsi"/>
                <w:sz w:val="20"/>
                <w:szCs w:val="20"/>
                <w:lang w:val="sr-Latn-CS"/>
              </w:rPr>
              <w:t>Slučajne provere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Ne ostavljati čvrst otpad na gradilištu i izbegavati negativan uticaj na lokalno okruženje i zdravlje lokalnih stanovnika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before="134" w:line="274" w:lineRule="exact"/>
              <w:ind w:left="108"/>
              <w:rPr>
                <w:rFonts w:eastAsiaTheme="minorHAnsi"/>
                <w:sz w:val="20"/>
                <w:szCs w:val="20"/>
                <w:lang w:val="sr-Latn-CS"/>
              </w:rPr>
            </w:pPr>
            <w:r w:rsidRPr="003537CD">
              <w:rPr>
                <w:rFonts w:eastAsiaTheme="minorHAnsi"/>
                <w:sz w:val="20"/>
                <w:szCs w:val="20"/>
                <w:lang w:val="sr-Latn-CS"/>
              </w:rPr>
              <w:t>Nadzornik</w:t>
            </w:r>
          </w:p>
        </w:tc>
      </w:tr>
      <w:tr w:rsidR="00175B16" w:rsidRPr="00D8462E" w:rsidTr="00627140">
        <w:trPr>
          <w:trHeight w:val="1100"/>
          <w:jc w:val="center"/>
        </w:trPr>
        <w:tc>
          <w:tcPr>
            <w:tcW w:w="559" w:type="pct"/>
            <w:vMerge/>
            <w:tcBorders>
              <w:left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r w:rsidRPr="00D814AD">
              <w:rPr>
                <w:rFonts w:eastAsiaTheme="minorHAnsi"/>
                <w:sz w:val="20"/>
                <w:szCs w:val="20"/>
                <w:lang w:val="sr-Latn-CS"/>
              </w:rPr>
              <w:t>Parametri zagađenja vazduha</w:t>
            </w:r>
            <w:r>
              <w:rPr>
                <w:rFonts w:eastAsiaTheme="minorHAnsi"/>
                <w:sz w:val="20"/>
                <w:szCs w:val="20"/>
                <w:lang w:val="sr-Latn-CS"/>
              </w:rPr>
              <w:t>,</w:t>
            </w:r>
            <w:r w:rsidRPr="00D814AD">
              <w:rPr>
                <w:rFonts w:eastAsiaTheme="minorHAnsi"/>
                <w:sz w:val="20"/>
                <w:szCs w:val="20"/>
                <w:lang w:val="sr-Latn-CS"/>
              </w:rPr>
              <w:t xml:space="preserve"> prašine, čestic</w:t>
            </w:r>
            <w:r>
              <w:rPr>
                <w:rFonts w:eastAsiaTheme="minorHAnsi"/>
                <w:sz w:val="20"/>
                <w:szCs w:val="20"/>
                <w:lang w:val="sr-Latn-CS"/>
              </w:rPr>
              <w:t>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1B374E">
              <w:rPr>
                <w:rFonts w:eastAsiaTheme="minorHAnsi"/>
                <w:sz w:val="20"/>
                <w:szCs w:val="20"/>
                <w:lang w:val="sr-Latn-CS"/>
              </w:rPr>
              <w:t>Na i u okruženju lokacije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Vizuelna inspekcija na prašinu</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autoSpaceDE w:val="0"/>
              <w:autoSpaceDN w:val="0"/>
              <w:adjustRightInd w:val="0"/>
              <w:spacing w:after="0" w:line="240" w:lineRule="auto"/>
              <w:jc w:val="center"/>
              <w:rPr>
                <w:sz w:val="20"/>
                <w:szCs w:val="20"/>
                <w:lang w:val="sr-Latn-CS"/>
              </w:rPr>
            </w:pPr>
            <w:r>
              <w:rPr>
                <w:rFonts w:ascii="Times New Roman" w:hAnsi="Times New Roman" w:cs="Times New Roman"/>
                <w:sz w:val="20"/>
                <w:szCs w:val="20"/>
                <w:lang w:val="sr-Latn-CS"/>
              </w:rPr>
              <w:t>Slučajne provere</w:t>
            </w:r>
            <w:r w:rsidRPr="00D8462E">
              <w:rPr>
                <w:rFonts w:ascii="Times New Roman" w:hAnsi="Times New Roman" w:cs="Times New Roman"/>
                <w:sz w:val="20"/>
                <w:szCs w:val="20"/>
                <w:lang w:val="sr-Latn-CS"/>
              </w:rPr>
              <w:t xml:space="preserve">, </w:t>
            </w:r>
            <w:r>
              <w:rPr>
                <w:rFonts w:ascii="Times New Roman" w:hAnsi="Times New Roman" w:cs="Times New Roman"/>
                <w:sz w:val="20"/>
                <w:szCs w:val="20"/>
                <w:lang w:val="sr-Latn-CS"/>
              </w:rPr>
              <w:t>nakon žalbe ili negativnih nalaza inspekcije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Osiguranje da tokom radova ne dođe do prekomernog emitovanja</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before="134" w:line="274" w:lineRule="exact"/>
              <w:ind w:left="108"/>
              <w:rPr>
                <w:rFonts w:eastAsiaTheme="minorHAnsi"/>
                <w:sz w:val="20"/>
                <w:szCs w:val="20"/>
                <w:lang w:val="sr-Latn-CS"/>
              </w:rPr>
            </w:pPr>
            <w:r w:rsidRPr="003537CD">
              <w:rPr>
                <w:rFonts w:eastAsiaTheme="minorHAnsi"/>
                <w:sz w:val="20"/>
                <w:szCs w:val="20"/>
                <w:lang w:val="sr-Latn-CS"/>
              </w:rPr>
              <w:t>Nadzornik</w:t>
            </w:r>
          </w:p>
        </w:tc>
      </w:tr>
      <w:tr w:rsidR="00175B16" w:rsidRPr="00D8462E" w:rsidTr="00627140">
        <w:trPr>
          <w:trHeight w:val="1100"/>
          <w:jc w:val="center"/>
        </w:trPr>
        <w:tc>
          <w:tcPr>
            <w:tcW w:w="559" w:type="pct"/>
            <w:vMerge/>
            <w:tcBorders>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r>
              <w:rPr>
                <w:rFonts w:eastAsiaTheme="minorHAnsi"/>
                <w:sz w:val="20"/>
                <w:szCs w:val="20"/>
                <w:lang w:val="sr-Latn-CS"/>
              </w:rPr>
              <w:t>Nivo buke</w:t>
            </w:r>
            <w:r w:rsidRPr="00D8462E">
              <w:rPr>
                <w:rFonts w:eastAsiaTheme="minorHAnsi"/>
                <w:sz w:val="20"/>
                <w:szCs w:val="20"/>
                <w:lang w:val="sr-Latn-CS"/>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1B374E">
              <w:rPr>
                <w:rFonts w:eastAsiaTheme="minorHAnsi"/>
                <w:sz w:val="20"/>
                <w:szCs w:val="20"/>
                <w:lang w:val="sr-Latn-CS"/>
              </w:rPr>
              <w:t>Na i u okruženju lokacije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Praćenje nivoa buke</w:t>
            </w:r>
            <w:r w:rsidRPr="00D8462E">
              <w:rPr>
                <w:rFonts w:eastAsiaTheme="minorHAnsi"/>
                <w:sz w:val="20"/>
                <w:szCs w:val="20"/>
                <w:lang w:val="sr-Latn-CS"/>
              </w:rPr>
              <w:t xml:space="preserve"> dB (</w:t>
            </w:r>
            <w:r>
              <w:rPr>
                <w:rFonts w:eastAsiaTheme="minorHAnsi"/>
                <w:sz w:val="20"/>
                <w:szCs w:val="20"/>
                <w:lang w:val="sr-Latn-CS"/>
              </w:rPr>
              <w:t>odgovarajućom opremom</w:t>
            </w:r>
            <w:r w:rsidRPr="00D8462E">
              <w:rPr>
                <w:rFonts w:eastAsiaTheme="minorHAnsi"/>
                <w:sz w:val="20"/>
                <w:szCs w:val="20"/>
                <w:lang w:val="sr-Latn-CS"/>
              </w:rPr>
              <w:t>)</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Nakon žalbe ili nalaza inspekcije</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Utvrditi da li je nivo buke iznad ili ispod dozvoljenog</w:t>
            </w:r>
          </w:p>
        </w:tc>
        <w:tc>
          <w:tcPr>
            <w:tcW w:w="635" w:type="pct"/>
            <w:tcBorders>
              <w:top w:val="single" w:sz="4" w:space="0" w:color="auto"/>
              <w:left w:val="single" w:sz="4" w:space="0" w:color="auto"/>
              <w:bottom w:val="single" w:sz="4" w:space="0" w:color="auto"/>
              <w:right w:val="single" w:sz="4" w:space="0" w:color="auto"/>
            </w:tcBorders>
            <w:shd w:val="clear" w:color="auto" w:fill="E6E6E6"/>
            <w:vAlign w:val="center"/>
          </w:tcPr>
          <w:p w:rsidR="00175B16" w:rsidRPr="00D8462E" w:rsidRDefault="00175B16" w:rsidP="00627140">
            <w:pPr>
              <w:pStyle w:val="TableParagraph"/>
              <w:spacing w:line="269" w:lineRule="exact"/>
              <w:ind w:left="108"/>
              <w:rPr>
                <w:rFonts w:eastAsiaTheme="minorHAnsi"/>
                <w:sz w:val="20"/>
                <w:szCs w:val="20"/>
                <w:lang w:val="sr-Latn-CS"/>
              </w:rPr>
            </w:pPr>
            <w:r w:rsidRPr="00D8462E">
              <w:rPr>
                <w:rFonts w:eastAsiaTheme="minorHAnsi"/>
                <w:sz w:val="20"/>
                <w:szCs w:val="20"/>
                <w:lang w:val="sr-Latn-CS"/>
              </w:rPr>
              <w:t>/</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before="134" w:line="274" w:lineRule="exact"/>
              <w:ind w:left="108"/>
              <w:rPr>
                <w:rFonts w:eastAsiaTheme="minorHAnsi"/>
                <w:sz w:val="20"/>
                <w:szCs w:val="20"/>
                <w:lang w:val="sr-Latn-CS"/>
              </w:rPr>
            </w:pPr>
            <w:r w:rsidRPr="003537CD">
              <w:rPr>
                <w:rFonts w:eastAsiaTheme="minorHAnsi"/>
                <w:sz w:val="20"/>
                <w:szCs w:val="20"/>
                <w:lang w:val="sr-Latn-CS"/>
              </w:rPr>
              <w:t>Nadzornik</w:t>
            </w:r>
          </w:p>
        </w:tc>
      </w:tr>
      <w:tr w:rsidR="00175B16" w:rsidRPr="00D8462E" w:rsidTr="00627140">
        <w:trPr>
          <w:trHeight w:val="1100"/>
          <w:jc w:val="center"/>
        </w:trPr>
        <w:tc>
          <w:tcPr>
            <w:tcW w:w="559"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rPr>
                <w:rFonts w:eastAsiaTheme="minorHAnsi"/>
                <w:sz w:val="20"/>
                <w:szCs w:val="20"/>
                <w:lang w:val="sr-Latn-CS"/>
              </w:rPr>
            </w:pPr>
            <w:r>
              <w:rPr>
                <w:rFonts w:eastAsiaTheme="minorHAnsi"/>
                <w:sz w:val="20"/>
                <w:szCs w:val="20"/>
                <w:lang w:val="sr-Latn-CS"/>
              </w:rPr>
              <w:t>Aktivnost</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tabs>
                <w:tab w:val="left" w:pos="1415"/>
              </w:tabs>
              <w:spacing w:before="136" w:line="237" w:lineRule="auto"/>
              <w:ind w:left="108" w:right="94"/>
              <w:rPr>
                <w:rFonts w:eastAsiaTheme="minorHAnsi"/>
                <w:sz w:val="20"/>
                <w:szCs w:val="20"/>
                <w:lang w:val="sr-Latn-CS"/>
              </w:rPr>
            </w:pPr>
            <w:r>
              <w:rPr>
                <w:rFonts w:eastAsiaTheme="minorHAnsi"/>
                <w:sz w:val="20"/>
                <w:szCs w:val="20"/>
                <w:lang w:val="sr-Latn-CS"/>
              </w:rPr>
              <w:t>Upravljanje otpadom</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b/>
                <w:sz w:val="24"/>
                <w:lang w:val="sr-Latn-CS"/>
              </w:rPr>
            </w:pPr>
            <w:r w:rsidRPr="001B374E">
              <w:rPr>
                <w:rFonts w:eastAsiaTheme="minorHAnsi"/>
                <w:sz w:val="20"/>
                <w:szCs w:val="20"/>
                <w:lang w:val="sr-Latn-CS"/>
              </w:rPr>
              <w:t>Na i u okruženju lokacije</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Vizuelna i provera dokumenata</w:t>
            </w:r>
            <w:r w:rsidRPr="00D8462E">
              <w:rPr>
                <w:rFonts w:eastAsiaTheme="minorHAnsi"/>
                <w:sz w:val="20"/>
                <w:szCs w:val="20"/>
                <w:lang w:val="sr-Latn-CS"/>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Redovno</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rFonts w:eastAsiaTheme="minorHAnsi"/>
                <w:sz w:val="20"/>
                <w:szCs w:val="20"/>
                <w:lang w:val="sr-Latn-CS"/>
              </w:rPr>
            </w:pPr>
            <w:r w:rsidRPr="00DA020A">
              <w:rPr>
                <w:rFonts w:eastAsiaTheme="minorHAnsi"/>
                <w:sz w:val="20"/>
                <w:szCs w:val="20"/>
                <w:lang w:val="sr-Latn-CS"/>
              </w:rPr>
              <w:t>Na lokaciji se nalazi dovoljan broj kontejnera, otpad se odlaže na definisanu lokaciju opštine, vodi se evidencija o otpadu</w:t>
            </w:r>
          </w:p>
        </w:tc>
        <w:tc>
          <w:tcPr>
            <w:tcW w:w="635"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line="269" w:lineRule="exact"/>
              <w:ind w:left="108"/>
              <w:rPr>
                <w:rFonts w:eastAsiaTheme="minorHAnsi"/>
                <w:sz w:val="20"/>
                <w:szCs w:val="20"/>
                <w:lang w:val="sr-Latn-CS"/>
              </w:rPr>
            </w:pPr>
            <w:r>
              <w:rPr>
                <w:rFonts w:eastAsiaTheme="minorHAnsi"/>
                <w:sz w:val="20"/>
                <w:szCs w:val="20"/>
                <w:lang w:val="sr-Latn-CS"/>
              </w:rPr>
              <w:t xml:space="preserve">Podnosilac </w:t>
            </w:r>
          </w:p>
        </w:tc>
        <w:tc>
          <w:tcPr>
            <w:tcW w:w="631" w:type="pct"/>
            <w:tcBorders>
              <w:top w:val="single" w:sz="4" w:space="0" w:color="auto"/>
              <w:left w:val="single" w:sz="4" w:space="0" w:color="auto"/>
              <w:bottom w:val="single" w:sz="4" w:space="0" w:color="auto"/>
              <w:right w:val="single" w:sz="4" w:space="0" w:color="auto"/>
            </w:tcBorders>
            <w:shd w:val="clear" w:color="auto" w:fill="E6E6E6"/>
          </w:tcPr>
          <w:p w:rsidR="00175B16" w:rsidRPr="00D8462E" w:rsidRDefault="00175B16" w:rsidP="00627140">
            <w:pPr>
              <w:pStyle w:val="TableParagraph"/>
              <w:spacing w:before="134" w:line="274" w:lineRule="exact"/>
              <w:ind w:left="108"/>
              <w:rPr>
                <w:rFonts w:eastAsiaTheme="minorHAnsi"/>
                <w:sz w:val="20"/>
                <w:szCs w:val="20"/>
                <w:lang w:val="sr-Latn-CS"/>
              </w:rPr>
            </w:pPr>
            <w:r>
              <w:rPr>
                <w:rFonts w:eastAsiaTheme="minorHAnsi"/>
                <w:sz w:val="20"/>
                <w:szCs w:val="20"/>
                <w:lang w:val="sr-Latn-CS"/>
              </w:rPr>
              <w:t>JUP</w:t>
            </w:r>
          </w:p>
        </w:tc>
      </w:tr>
    </w:tbl>
    <w:p w:rsidR="00F3731A" w:rsidRPr="003B3244" w:rsidRDefault="00F3731A" w:rsidP="00F3731A">
      <w:pPr>
        <w:jc w:val="both"/>
        <w:rPr>
          <w:rFonts w:ascii="Book Antiqua" w:hAnsi="Book Antiqua"/>
          <w:lang w:val="sr-Latn-CS"/>
        </w:rPr>
        <w:sectPr w:rsidR="00F3731A" w:rsidRPr="003B3244" w:rsidSect="00175B16">
          <w:pgSz w:w="15840" w:h="12240" w:orient="landscape"/>
          <w:pgMar w:top="1338" w:right="1440" w:bottom="1321" w:left="1162" w:header="0" w:footer="958" w:gutter="0"/>
          <w:cols w:space="720"/>
        </w:sectPr>
      </w:pPr>
    </w:p>
    <w:p w:rsidR="00F3731A" w:rsidRDefault="00F3731A" w:rsidP="00F3731A">
      <w:pPr>
        <w:pStyle w:val="Heading2"/>
        <w:rPr>
          <w:lang w:val="sr-Latn-CS"/>
        </w:rPr>
      </w:pPr>
      <w:bookmarkStart w:id="74" w:name="_Toc528270820"/>
      <w:bookmarkStart w:id="75" w:name="_Toc531255652"/>
      <w:r w:rsidRPr="003B3244">
        <w:rPr>
          <w:lang w:val="sr-Latn-CS"/>
        </w:rPr>
        <w:lastRenderedPageBreak/>
        <w:t xml:space="preserve">ANNEX 4 – </w:t>
      </w:r>
      <w:r w:rsidR="00627140" w:rsidRPr="00627140">
        <w:rPr>
          <w:lang w:val="sr-Latn-CS"/>
        </w:rPr>
        <w:t>Plan s</w:t>
      </w:r>
      <w:r w:rsidR="00627140">
        <w:rPr>
          <w:lang w:val="sr-Latn-CS"/>
        </w:rPr>
        <w:t>ocijalno prostornog upravljanja</w:t>
      </w:r>
      <w:bookmarkEnd w:id="74"/>
      <w:bookmarkEnd w:id="75"/>
    </w:p>
    <w:p w:rsidR="00627140" w:rsidRPr="003B3244" w:rsidRDefault="00627140" w:rsidP="00F3731A">
      <w:pPr>
        <w:pStyle w:val="Heading2"/>
        <w:rPr>
          <w:lang w:val="sr-Latn-CS"/>
        </w:rPr>
      </w:pPr>
    </w:p>
    <w:p w:rsidR="00235318" w:rsidRPr="00235318" w:rsidRDefault="00627140" w:rsidP="00235318">
      <w:pPr>
        <w:pStyle w:val="BodyText"/>
        <w:spacing w:before="100" w:beforeAutospacing="1" w:after="100" w:afterAutospacing="1"/>
        <w:ind w:right="289"/>
        <w:rPr>
          <w:rFonts w:cs="Times New Roman"/>
          <w:lang w:val="sr-Latn-CS"/>
        </w:rPr>
      </w:pPr>
      <w:r w:rsidRPr="00627140">
        <w:rPr>
          <w:lang w:val="sr-Latn-CS"/>
        </w:rPr>
        <w:t>Plan s</w:t>
      </w:r>
      <w:r>
        <w:rPr>
          <w:lang w:val="sr-Latn-CS"/>
        </w:rPr>
        <w:t>ocijalno prostornog upravljanja</w:t>
      </w:r>
      <w:r w:rsidRPr="00235318">
        <w:rPr>
          <w:rFonts w:cs="Times New Roman"/>
          <w:lang w:val="sr-Latn-CS"/>
        </w:rPr>
        <w:t xml:space="preserve"> </w:t>
      </w:r>
      <w:r w:rsidR="00235318" w:rsidRPr="00235318">
        <w:rPr>
          <w:rFonts w:cs="Times New Roman"/>
          <w:lang w:val="sr-Latn-CS"/>
        </w:rPr>
        <w:t>(</w:t>
      </w:r>
      <w:r w:rsidR="000818B6">
        <w:rPr>
          <w:rFonts w:cs="Times New Roman"/>
          <w:lang w:val="sr-Latn-CS"/>
        </w:rPr>
        <w:t>PUSŽS</w:t>
      </w:r>
      <w:r w:rsidR="00235318" w:rsidRPr="00235318">
        <w:rPr>
          <w:rFonts w:cs="Times New Roman"/>
          <w:lang w:val="sr-Latn-CS"/>
        </w:rPr>
        <w:t xml:space="preserve">) sastoji se od skupa mera za ublažavanje, praćenje i institucionalnih mera koje treba preduzeti u toku sprovođenja i rada u cilju  eliminisanja štetnih uticaja na životnu sredinu i društvo, njihovog uklanjanja ili njihovog smanjenja na prihvatljive nivoe. Plan takođe obuhvata aktivnosti potrebe za sprovođenje ovih mera. </w:t>
      </w:r>
    </w:p>
    <w:p w:rsidR="00235318" w:rsidRPr="00235318" w:rsidRDefault="00235318" w:rsidP="00235318">
      <w:pPr>
        <w:pStyle w:val="BodyText"/>
        <w:spacing w:before="100" w:beforeAutospacing="1" w:after="100" w:afterAutospacing="1"/>
        <w:ind w:right="289"/>
        <w:rPr>
          <w:rFonts w:cs="Times New Roman"/>
          <w:lang w:val="sr-Latn-CS"/>
        </w:rPr>
      </w:pPr>
      <w:r w:rsidRPr="00235318">
        <w:rPr>
          <w:rFonts w:cs="Times New Roman"/>
          <w:lang w:val="sr-Latn-CS"/>
        </w:rPr>
        <w:t>Planovi upravljanja su suštinski elementi izveštaja o PUŽS-u u okviru projekata kategorije A; za mnoge projekta iz kategorije B, PUŽS može rezultirati samo planom upravljanja. Da bi pripremio plan upravljanja, primalac i njegov tim za projektovanje PŽS-a (a) identifikuje skup odgovora na potencijalne štetne uticaje; (b) utvrđuje zahteve za osiguranje da se ti odgovori efikasno i blagovremeno sprovode; i (c) opisuje sredstva za ispunjavanje tih zahteva.</w:t>
      </w:r>
    </w:p>
    <w:p w:rsidR="00F3731A" w:rsidRPr="003B3244" w:rsidRDefault="00235318" w:rsidP="00235318">
      <w:pPr>
        <w:pStyle w:val="BodyText"/>
        <w:spacing w:before="100" w:beforeAutospacing="1" w:after="100" w:afterAutospacing="1"/>
        <w:ind w:right="289"/>
        <w:rPr>
          <w:rFonts w:cs="Times New Roman"/>
          <w:lang w:val="sr-Latn-CS"/>
        </w:rPr>
      </w:pPr>
      <w:r w:rsidRPr="00235318">
        <w:rPr>
          <w:rFonts w:cs="Times New Roman"/>
          <w:lang w:val="sr-Latn-CS"/>
        </w:rPr>
        <w:t>Preciznije,</w:t>
      </w:r>
      <w:r w:rsidR="000818B6">
        <w:rPr>
          <w:rFonts w:cs="Times New Roman"/>
          <w:lang w:val="sr-Latn-CS"/>
        </w:rPr>
        <w:t>PUSŽS</w:t>
      </w:r>
      <w:r w:rsidR="00627140">
        <w:rPr>
          <w:rFonts w:cs="Times New Roman"/>
          <w:lang w:val="sr-Latn-CS"/>
        </w:rPr>
        <w:t xml:space="preserve"> </w:t>
      </w:r>
      <w:r w:rsidRPr="00235318">
        <w:rPr>
          <w:rFonts w:cs="Times New Roman"/>
          <w:lang w:val="sr-Latn-CS"/>
        </w:rPr>
        <w:t>obuhvata sledeće komponente</w:t>
      </w:r>
      <w:r w:rsidR="00F3731A" w:rsidRPr="003B3244">
        <w:rPr>
          <w:rFonts w:cs="Times New Roman"/>
          <w:lang w:val="sr-Latn-CS"/>
        </w:rPr>
        <w:t>:</w:t>
      </w:r>
    </w:p>
    <w:p w:rsidR="00F3731A" w:rsidRPr="003B3244" w:rsidRDefault="00235318" w:rsidP="00F3731A">
      <w:pPr>
        <w:pStyle w:val="Heading3"/>
        <w:rPr>
          <w:lang w:val="sr-Latn-CS"/>
        </w:rPr>
      </w:pPr>
      <w:bookmarkStart w:id="76" w:name="_Toc531255653"/>
      <w:r w:rsidRPr="00235318">
        <w:rPr>
          <w:lang w:val="sr-Latn-CS"/>
        </w:rPr>
        <w:t>Ublažavanje</w:t>
      </w:r>
      <w:bookmarkEnd w:id="76"/>
    </w:p>
    <w:p w:rsidR="00F3731A" w:rsidRPr="003B3244" w:rsidRDefault="00F3731A" w:rsidP="00F3731A">
      <w:pPr>
        <w:pStyle w:val="Heading4"/>
        <w:spacing w:before="16"/>
        <w:ind w:left="100"/>
        <w:jc w:val="both"/>
        <w:rPr>
          <w:rFonts w:ascii="Times New Roman" w:hAnsi="Times New Roman" w:cs="Times New Roman"/>
          <w:lang w:val="sr-Latn-CS"/>
        </w:rPr>
      </w:pPr>
    </w:p>
    <w:p w:rsidR="001D2DDE" w:rsidRPr="001D2DDE" w:rsidRDefault="000818B6" w:rsidP="001D2DDE">
      <w:pPr>
        <w:widowControl w:val="0"/>
        <w:tabs>
          <w:tab w:val="left" w:pos="448"/>
        </w:tabs>
        <w:autoSpaceDE w:val="0"/>
        <w:autoSpaceDN w:val="0"/>
        <w:spacing w:before="120" w:after="0" w:line="254" w:lineRule="auto"/>
        <w:ind w:right="118"/>
        <w:jc w:val="both"/>
        <w:rPr>
          <w:rFonts w:ascii="Times New Roman" w:eastAsia="Times New Roman" w:hAnsi="Times New Roman" w:cs="Times New Roman"/>
          <w:lang w:val="sr-Latn-CS"/>
        </w:rPr>
      </w:pPr>
      <w:r>
        <w:rPr>
          <w:rFonts w:ascii="Times New Roman" w:eastAsia="Times New Roman" w:hAnsi="Times New Roman" w:cs="Times New Roman"/>
          <w:w w:val="95"/>
          <w:lang w:val="sr-Latn-CS"/>
        </w:rPr>
        <w:t>PUSŽS</w:t>
      </w:r>
      <w:r w:rsidR="001D2DDE" w:rsidRPr="001D2DDE">
        <w:rPr>
          <w:rFonts w:ascii="Times New Roman" w:eastAsia="Times New Roman" w:hAnsi="Times New Roman" w:cs="Times New Roman"/>
          <w:w w:val="95"/>
          <w:lang w:val="sr-Latn-CS"/>
        </w:rPr>
        <w:t xml:space="preserve"> identifikuje </w:t>
      </w:r>
      <w:r w:rsidR="00860B0B" w:rsidRPr="001D2DDE">
        <w:rPr>
          <w:rFonts w:ascii="Times New Roman" w:eastAsia="Times New Roman" w:hAnsi="Times New Roman" w:cs="Times New Roman"/>
          <w:w w:val="95"/>
          <w:lang w:val="sr-Latn-CS"/>
        </w:rPr>
        <w:t>izvodljive</w:t>
      </w:r>
      <w:r w:rsidR="001D2DDE" w:rsidRPr="001D2DDE">
        <w:rPr>
          <w:rFonts w:ascii="Times New Roman" w:eastAsia="Times New Roman" w:hAnsi="Times New Roman" w:cs="Times New Roman"/>
          <w:w w:val="95"/>
          <w:lang w:val="sr-Latn-CS"/>
        </w:rPr>
        <w:t xml:space="preserve"> i </w:t>
      </w:r>
      <w:r w:rsidR="00860B0B">
        <w:rPr>
          <w:rFonts w:ascii="Times New Roman" w:eastAsia="Times New Roman" w:hAnsi="Times New Roman" w:cs="Times New Roman"/>
          <w:w w:val="95"/>
          <w:lang w:val="sr-Latn-CS"/>
        </w:rPr>
        <w:t>isplat</w:t>
      </w:r>
      <w:r w:rsidR="00860B0B" w:rsidRPr="001D2DDE">
        <w:rPr>
          <w:rFonts w:ascii="Times New Roman" w:eastAsia="Times New Roman" w:hAnsi="Times New Roman" w:cs="Times New Roman"/>
          <w:w w:val="95"/>
          <w:lang w:val="sr-Latn-CS"/>
        </w:rPr>
        <w:t>ive</w:t>
      </w:r>
      <w:r w:rsidR="001D2DDE" w:rsidRPr="001D2DDE">
        <w:rPr>
          <w:rFonts w:ascii="Times New Roman" w:eastAsia="Times New Roman" w:hAnsi="Times New Roman" w:cs="Times New Roman"/>
          <w:w w:val="95"/>
          <w:lang w:val="sr-Latn-CS"/>
        </w:rPr>
        <w:t xml:space="preserve"> mere koje mogu smanjiti potencijalno značajne štetne uticaje na životnu sredinu na prihvatljive nivoe</w:t>
      </w:r>
      <w:r w:rsidR="001D2DDE" w:rsidRPr="001D2DDE">
        <w:rPr>
          <w:rFonts w:ascii="Times New Roman" w:eastAsia="Times New Roman" w:hAnsi="Times New Roman" w:cs="Times New Roman"/>
          <w:lang w:val="sr-Latn-CS"/>
        </w:rPr>
        <w:t>.</w:t>
      </w:r>
      <w:r w:rsidR="001D2DDE" w:rsidRPr="00F52652">
        <w:rPr>
          <w:rFonts w:ascii="Times New Roman" w:eastAsia="Times New Roman" w:hAnsi="Times New Roman" w:cs="Times New Roman"/>
          <w:lang w:val="sr-Latn-CS"/>
        </w:rPr>
        <w:t xml:space="preserve"> </w:t>
      </w:r>
      <w:r w:rsidR="001D2DDE" w:rsidRPr="001D2DDE">
        <w:rPr>
          <w:rFonts w:ascii="Times New Roman" w:eastAsia="Times New Roman" w:hAnsi="Times New Roman" w:cs="Times New Roman"/>
          <w:lang w:val="sr-Latn-CS"/>
        </w:rPr>
        <w:t xml:space="preserve">Plan uključuje kompenzacione mere ako mere ublažavanja nisu izvodljive, ekonomične ili dovoljne. Preciznije </w:t>
      </w:r>
      <w:r>
        <w:rPr>
          <w:rFonts w:ascii="Times New Roman" w:eastAsia="Times New Roman" w:hAnsi="Times New Roman" w:cs="Times New Roman"/>
          <w:lang w:val="sr-Latn-CS"/>
        </w:rPr>
        <w:t>PUSŽS</w:t>
      </w:r>
      <w:r w:rsidR="001D2DDE" w:rsidRPr="001D2DDE">
        <w:rPr>
          <w:rFonts w:ascii="Times New Roman" w:eastAsia="Times New Roman" w:hAnsi="Times New Roman" w:cs="Times New Roman"/>
          <w:lang w:val="sr-Latn-CS"/>
        </w:rPr>
        <w:t>;</w:t>
      </w:r>
    </w:p>
    <w:p w:rsidR="001D2DDE" w:rsidRPr="001D2DDE" w:rsidRDefault="001D2DDE" w:rsidP="001D2DDE">
      <w:pPr>
        <w:widowControl w:val="0"/>
        <w:numPr>
          <w:ilvl w:val="0"/>
          <w:numId w:val="1"/>
        </w:numPr>
        <w:tabs>
          <w:tab w:val="left" w:pos="450"/>
        </w:tabs>
        <w:autoSpaceDE w:val="0"/>
        <w:autoSpaceDN w:val="0"/>
        <w:spacing w:after="0" w:line="254" w:lineRule="auto"/>
        <w:ind w:right="124" w:firstLine="0"/>
        <w:jc w:val="both"/>
        <w:rPr>
          <w:rFonts w:ascii="Times New Roman" w:eastAsia="Times New Roman" w:hAnsi="Times New Roman" w:cs="Times New Roman"/>
          <w:lang w:val="sr-Latn-CS"/>
        </w:rPr>
      </w:pPr>
      <w:r w:rsidRPr="001D2DDE">
        <w:rPr>
          <w:rFonts w:ascii="Times New Roman" w:eastAsia="Times New Roman" w:hAnsi="Times New Roman" w:cs="Times New Roman"/>
          <w:w w:val="95"/>
          <w:lang w:val="sr-Latn-CS"/>
        </w:rPr>
        <w:t>Identifikuje i rezimira sve očekivane značajne štetne uticaje na životnu sredinu (uključujući i one uticaje koji uključuju autohtono stanovništvo ili prinudno raseljavanje</w:t>
      </w:r>
      <w:r w:rsidRPr="001D2DDE">
        <w:rPr>
          <w:rFonts w:ascii="Times New Roman" w:eastAsia="Times New Roman" w:hAnsi="Times New Roman" w:cs="Times New Roman"/>
          <w:lang w:val="sr-Latn-CS"/>
        </w:rPr>
        <w:t>);</w:t>
      </w:r>
    </w:p>
    <w:p w:rsidR="001D2DDE" w:rsidRPr="001D2DDE" w:rsidRDefault="001D2DDE" w:rsidP="001D2DDE">
      <w:pPr>
        <w:widowControl w:val="0"/>
        <w:numPr>
          <w:ilvl w:val="0"/>
          <w:numId w:val="1"/>
        </w:numPr>
        <w:tabs>
          <w:tab w:val="left" w:pos="488"/>
        </w:tabs>
        <w:autoSpaceDE w:val="0"/>
        <w:autoSpaceDN w:val="0"/>
        <w:spacing w:after="0" w:line="254" w:lineRule="auto"/>
        <w:ind w:right="122" w:firstLine="0"/>
        <w:jc w:val="both"/>
        <w:rPr>
          <w:rFonts w:ascii="Times New Roman" w:eastAsia="Times New Roman" w:hAnsi="Times New Roman" w:cs="Times New Roman"/>
          <w:lang w:val="sr-Latn-CS"/>
        </w:rPr>
      </w:pPr>
      <w:r w:rsidRPr="001D2DDE">
        <w:rPr>
          <w:rFonts w:ascii="Times New Roman" w:eastAsia="Times New Roman" w:hAnsi="Times New Roman" w:cs="Times New Roman"/>
          <w:lang w:val="sr-Latn-CS"/>
        </w:rPr>
        <w:t>Tehničkim detaljima opisuje svaku meru ublažavanja, uključujući vrstu uticaja na koju se odnosi i uslove pod kojima se zahteva (npr. kontinuirano ili u slučaju nepredviđenih događaja), zajedno sa dizajnom, opisom opreme i operativnim procedurama , po potrebi;</w:t>
      </w:r>
    </w:p>
    <w:p w:rsidR="001D2DDE" w:rsidRPr="001D2DDE" w:rsidRDefault="001D2DDE" w:rsidP="001D2DDE">
      <w:pPr>
        <w:widowControl w:val="0"/>
        <w:numPr>
          <w:ilvl w:val="0"/>
          <w:numId w:val="1"/>
        </w:numPr>
        <w:tabs>
          <w:tab w:val="left" w:pos="476"/>
        </w:tabs>
        <w:autoSpaceDE w:val="0"/>
        <w:autoSpaceDN w:val="0"/>
        <w:spacing w:after="0" w:line="240" w:lineRule="auto"/>
        <w:ind w:left="475" w:hanging="375"/>
        <w:jc w:val="both"/>
        <w:rPr>
          <w:rFonts w:ascii="Times New Roman" w:eastAsia="Times New Roman" w:hAnsi="Times New Roman" w:cs="Times New Roman"/>
          <w:lang w:val="sr-Latn-CS"/>
        </w:rPr>
      </w:pPr>
      <w:r w:rsidRPr="001D2DDE">
        <w:rPr>
          <w:rFonts w:ascii="Times New Roman" w:eastAsia="Times New Roman" w:hAnsi="Times New Roman" w:cs="Times New Roman"/>
          <w:lang w:val="sr-Latn-CS"/>
        </w:rPr>
        <w:t>Procenjuje potencijalne uticaje ovih mera na životnu sredinu, i</w:t>
      </w:r>
    </w:p>
    <w:p w:rsidR="00F3731A" w:rsidRPr="003B3244" w:rsidRDefault="001D2DDE" w:rsidP="001D2DDE">
      <w:pPr>
        <w:pStyle w:val="ListParagraph"/>
        <w:numPr>
          <w:ilvl w:val="0"/>
          <w:numId w:val="1"/>
        </w:numPr>
        <w:tabs>
          <w:tab w:val="left" w:pos="448"/>
        </w:tabs>
        <w:spacing w:before="0" w:line="254" w:lineRule="auto"/>
        <w:ind w:right="115" w:firstLine="0"/>
        <w:jc w:val="both"/>
        <w:rPr>
          <w:lang w:val="sr-Latn-CS"/>
        </w:rPr>
      </w:pPr>
      <w:r w:rsidRPr="001D2DDE">
        <w:rPr>
          <w:rFonts w:ascii="Calibri" w:eastAsia="Calibri" w:hAnsi="Calibri"/>
          <w:lang w:val="sr-Latn-CS"/>
        </w:rPr>
        <w:t>Obezbeđuje vezu sa drugim planovima ublažavanja (npr., za prinudno raseljavanje, autohtono stanovništvo ili kulturna dobra) koji su potrebni za projekat</w:t>
      </w:r>
      <w:r w:rsidR="00F3731A" w:rsidRPr="003B3244">
        <w:rPr>
          <w:lang w:val="sr-Latn-CS"/>
        </w:rPr>
        <w:t>.</w:t>
      </w:r>
    </w:p>
    <w:p w:rsidR="00F3731A" w:rsidRPr="003B3244" w:rsidRDefault="00F3731A" w:rsidP="00F3731A">
      <w:pPr>
        <w:pStyle w:val="ListParagraph"/>
        <w:tabs>
          <w:tab w:val="left" w:pos="448"/>
        </w:tabs>
        <w:spacing w:before="16" w:line="254" w:lineRule="auto"/>
        <w:ind w:left="100" w:right="115" w:firstLine="0"/>
        <w:jc w:val="both"/>
        <w:rPr>
          <w:lang w:val="sr-Latn-CS"/>
        </w:rPr>
      </w:pPr>
    </w:p>
    <w:p w:rsidR="00F3731A" w:rsidRPr="003B3244" w:rsidRDefault="001D2DDE" w:rsidP="00F3731A">
      <w:pPr>
        <w:pStyle w:val="Heading3"/>
        <w:rPr>
          <w:lang w:val="sr-Latn-CS"/>
        </w:rPr>
      </w:pPr>
      <w:bookmarkStart w:id="77" w:name="_Toc531255654"/>
      <w:r w:rsidRPr="001D2DDE">
        <w:rPr>
          <w:lang w:val="sr-Latn-CS"/>
        </w:rPr>
        <w:t>Praćenje</w:t>
      </w:r>
      <w:bookmarkEnd w:id="77"/>
    </w:p>
    <w:p w:rsidR="00F3731A" w:rsidRPr="003B3244" w:rsidRDefault="00F3731A" w:rsidP="00F3731A">
      <w:pPr>
        <w:pStyle w:val="Heading4"/>
        <w:spacing w:before="1"/>
        <w:ind w:left="100"/>
        <w:jc w:val="both"/>
        <w:rPr>
          <w:rFonts w:ascii="Times New Roman" w:hAnsi="Times New Roman" w:cs="Times New Roman"/>
          <w:lang w:val="sr-Latn-CS"/>
        </w:rPr>
      </w:pPr>
    </w:p>
    <w:p w:rsidR="00F3731A" w:rsidRPr="003B3244" w:rsidRDefault="006E48E8" w:rsidP="00F3731A">
      <w:pPr>
        <w:pStyle w:val="ListParagraph"/>
        <w:tabs>
          <w:tab w:val="left" w:pos="580"/>
        </w:tabs>
        <w:spacing w:before="13" w:line="254" w:lineRule="auto"/>
        <w:ind w:left="100" w:right="117" w:firstLine="0"/>
        <w:jc w:val="both"/>
        <w:rPr>
          <w:lang w:val="sr-Latn-CS"/>
        </w:rPr>
      </w:pPr>
      <w:r w:rsidRPr="006E48E8">
        <w:rPr>
          <w:lang w:val="sr-Latn-CS"/>
        </w:rPr>
        <w:t xml:space="preserve">Praćenje životne sredine tokom sprovođenja projekta obezbeđuje informacije o ključnim ekološkim aspektima projekta, posebno o uticaju projekta na životnu sredinu i efikasnosti mera za ublažavanje. Ovakve informacije omogućavaju primaocu i Banci da procene uspeh ublažavanja kao deo nadzora projekta i omogućava korektivne mere po potrebi. Stoga, </w:t>
      </w:r>
      <w:r w:rsidR="000818B6">
        <w:rPr>
          <w:lang w:val="sr-Latn-CS"/>
        </w:rPr>
        <w:t>PUSŽS</w:t>
      </w:r>
      <w:r w:rsidRPr="006E48E8">
        <w:rPr>
          <w:lang w:val="sr-Latn-CS"/>
        </w:rPr>
        <w:t xml:space="preserve"> identifikuje ciljeve praćenja i određuje vrstu praćenja, povezivanjem procenjenih uticaja u izveštaju o PSŽ-u i mera ublažavanja opisanih u </w:t>
      </w:r>
      <w:r w:rsidR="000818B6">
        <w:rPr>
          <w:lang w:val="sr-Latn-CS"/>
        </w:rPr>
        <w:t>PUSŽS</w:t>
      </w:r>
      <w:r w:rsidRPr="006E48E8">
        <w:rPr>
          <w:lang w:val="sr-Latn-CS"/>
        </w:rPr>
        <w:t xml:space="preserve">-u. Konkretno, odeljak </w:t>
      </w:r>
      <w:r w:rsidR="000818B6">
        <w:rPr>
          <w:lang w:val="sr-Latn-CS"/>
        </w:rPr>
        <w:t>PUSŽS</w:t>
      </w:r>
      <w:r w:rsidRPr="006E48E8">
        <w:rPr>
          <w:lang w:val="sr-Latn-CS"/>
        </w:rPr>
        <w:t xml:space="preserve"> o praćenju pruža (a) konkretne opise i tehničke detalje  mera praćenja, uključujući parametre koje treba meriti, metode koje treba koristiti, mesta uzorkovanja, učestalost merenja, granice detekcije (gde je to prikladno) i definisanje granica koje će ukazati na potrebu za korektivnim merama; i (b) postupke za praćenje i izveštavanje u cilju (i) osiguranja ranog otkrivanja uslova koji zahtevaju posebne mere ublažavanja, i (ii) pružanja  informacija o napretku i rezultatima ublažavanja</w:t>
      </w:r>
      <w:r w:rsidR="00F3731A" w:rsidRPr="003B3244">
        <w:rPr>
          <w:lang w:val="sr-Latn-CS"/>
        </w:rPr>
        <w:t>.</w:t>
      </w:r>
    </w:p>
    <w:p w:rsidR="00F3731A" w:rsidRPr="003B3244" w:rsidRDefault="00F3731A" w:rsidP="00F3731A">
      <w:pPr>
        <w:pStyle w:val="BodyText"/>
        <w:spacing w:before="7"/>
        <w:rPr>
          <w:rFonts w:cs="Times New Roman"/>
          <w:sz w:val="23"/>
          <w:lang w:val="sr-Latn-CS"/>
        </w:rPr>
      </w:pPr>
    </w:p>
    <w:p w:rsidR="00F3731A" w:rsidRPr="003B3244" w:rsidRDefault="006E48E8" w:rsidP="00F3731A">
      <w:pPr>
        <w:pStyle w:val="Heading3"/>
        <w:rPr>
          <w:lang w:val="sr-Latn-CS"/>
        </w:rPr>
      </w:pPr>
      <w:bookmarkStart w:id="78" w:name="_Toc531255655"/>
      <w:r w:rsidRPr="006E48E8">
        <w:rPr>
          <w:lang w:val="sr-Latn-CS"/>
        </w:rPr>
        <w:t>Raspored sprovođenja i procena troškova</w:t>
      </w:r>
      <w:bookmarkEnd w:id="78"/>
    </w:p>
    <w:p w:rsidR="00F3731A" w:rsidRPr="003B3244" w:rsidRDefault="00F3731A" w:rsidP="00F3731A">
      <w:pPr>
        <w:pStyle w:val="Heading4"/>
        <w:ind w:left="100"/>
        <w:jc w:val="both"/>
        <w:rPr>
          <w:rFonts w:ascii="Times New Roman" w:hAnsi="Times New Roman" w:cs="Times New Roman"/>
          <w:lang w:val="sr-Latn-CS"/>
        </w:rPr>
      </w:pPr>
    </w:p>
    <w:p w:rsidR="00F3731A" w:rsidRDefault="009522EF" w:rsidP="00F3731A">
      <w:pPr>
        <w:pStyle w:val="ListParagraph"/>
        <w:tabs>
          <w:tab w:val="left" w:pos="407"/>
        </w:tabs>
        <w:spacing w:before="14" w:line="254" w:lineRule="auto"/>
        <w:ind w:left="100" w:right="121" w:firstLine="0"/>
        <w:jc w:val="both"/>
        <w:rPr>
          <w:lang w:val="sr-Latn-CS"/>
        </w:rPr>
      </w:pPr>
      <w:r w:rsidRPr="009522EF">
        <w:rPr>
          <w:w w:val="95"/>
          <w:lang w:val="sr-Latn-CS"/>
        </w:rPr>
        <w:t xml:space="preserve">Za sva tri aspekta (ublažavanje, praćenje i razvoj kapaciteta), </w:t>
      </w:r>
      <w:r w:rsidR="000818B6">
        <w:rPr>
          <w:w w:val="95"/>
          <w:lang w:val="sr-Latn-CS"/>
        </w:rPr>
        <w:t>PUSŽS</w:t>
      </w:r>
      <w:r w:rsidRPr="009522EF">
        <w:rPr>
          <w:w w:val="95"/>
          <w:lang w:val="sr-Latn-CS"/>
        </w:rPr>
        <w:t xml:space="preserve"> obezbeđuje (a) raspored sprovođenja mera koje se moraju izvršiti kao deo projekta, prikazujući faze i koordinaciju sa planovima sprovođenja celokupnog projekta; i (b) procene kapitalnih i režijskih troškova i izvore finansiranja za sprovođenje </w:t>
      </w:r>
      <w:r w:rsidR="000818B6">
        <w:rPr>
          <w:w w:val="95"/>
          <w:lang w:val="sr-Latn-CS"/>
        </w:rPr>
        <w:t>PUSŽS</w:t>
      </w:r>
      <w:r w:rsidRPr="009522EF">
        <w:rPr>
          <w:w w:val="95"/>
          <w:lang w:val="sr-Latn-CS"/>
        </w:rPr>
        <w:t>-a. Ovi podaci su takođe integrisani u tabeli ukupnih troškova projekta</w:t>
      </w:r>
      <w:r w:rsidR="00F3731A" w:rsidRPr="003B3244">
        <w:rPr>
          <w:lang w:val="sr-Latn-CS"/>
        </w:rPr>
        <w:t>.</w:t>
      </w:r>
    </w:p>
    <w:p w:rsidR="00175B16" w:rsidRPr="003B3244" w:rsidRDefault="00175B16" w:rsidP="00F3731A">
      <w:pPr>
        <w:pStyle w:val="ListParagraph"/>
        <w:tabs>
          <w:tab w:val="left" w:pos="407"/>
        </w:tabs>
        <w:spacing w:before="14" w:line="254" w:lineRule="auto"/>
        <w:ind w:left="100" w:right="121" w:firstLine="0"/>
        <w:jc w:val="both"/>
        <w:rPr>
          <w:lang w:val="sr-Latn-CS"/>
        </w:rPr>
      </w:pPr>
    </w:p>
    <w:p w:rsidR="009522EF" w:rsidRDefault="009522EF" w:rsidP="00F3731A">
      <w:pPr>
        <w:pStyle w:val="Heading2"/>
        <w:rPr>
          <w:lang w:val="sr-Latn-CS"/>
        </w:rPr>
      </w:pPr>
    </w:p>
    <w:p w:rsidR="00F3731A" w:rsidRDefault="009522EF" w:rsidP="00F3731A">
      <w:pPr>
        <w:pStyle w:val="Heading2"/>
        <w:rPr>
          <w:lang w:val="sr-Latn-CS"/>
        </w:rPr>
      </w:pPr>
      <w:bookmarkStart w:id="79" w:name="_Toc531255656"/>
      <w:r w:rsidRPr="009522EF">
        <w:rPr>
          <w:lang w:val="sr-Latn-CS"/>
        </w:rPr>
        <w:lastRenderedPageBreak/>
        <w:t>Plan ublažavanja</w:t>
      </w:r>
      <w:bookmarkEnd w:id="79"/>
    </w:p>
    <w:p w:rsidR="009522EF" w:rsidRPr="003B3244" w:rsidRDefault="009522EF" w:rsidP="009522EF">
      <w:pPr>
        <w:pStyle w:val="Heading2"/>
        <w:ind w:left="0"/>
        <w:rPr>
          <w:lang w:val="sr-Latn-CS"/>
        </w:rPr>
      </w:pPr>
    </w:p>
    <w:tbl>
      <w:tblPr>
        <w:tblW w:w="930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1649"/>
        <w:gridCol w:w="1409"/>
        <w:gridCol w:w="1685"/>
        <w:gridCol w:w="1699"/>
        <w:gridCol w:w="1783"/>
      </w:tblGrid>
      <w:tr w:rsidR="00F3731A" w:rsidRPr="003B3244" w:rsidTr="00B7005F">
        <w:trPr>
          <w:trHeight w:val="508"/>
        </w:trPr>
        <w:tc>
          <w:tcPr>
            <w:tcW w:w="9303" w:type="dxa"/>
            <w:gridSpan w:val="6"/>
          </w:tcPr>
          <w:p w:rsidR="00F3731A" w:rsidRPr="003B3244" w:rsidRDefault="009522EF" w:rsidP="003B3244">
            <w:pPr>
              <w:pStyle w:val="TableParagraph"/>
              <w:spacing w:before="108"/>
              <w:ind w:left="107"/>
              <w:rPr>
                <w:sz w:val="24"/>
                <w:lang w:val="sr-Latn-CS"/>
              </w:rPr>
            </w:pPr>
            <w:r w:rsidRPr="009522EF">
              <w:rPr>
                <w:sz w:val="24"/>
                <w:lang w:val="sr-Latn-CS"/>
              </w:rPr>
              <w:t>Faza izgradnje</w:t>
            </w:r>
          </w:p>
        </w:tc>
      </w:tr>
      <w:tr w:rsidR="00B7005F" w:rsidRPr="00627140" w:rsidTr="00B7005F">
        <w:trPr>
          <w:trHeight w:val="1619"/>
        </w:trPr>
        <w:tc>
          <w:tcPr>
            <w:tcW w:w="1078" w:type="dxa"/>
          </w:tcPr>
          <w:p w:rsidR="00B7005F" w:rsidRPr="00DC33E0" w:rsidRDefault="00B7005F" w:rsidP="00B7005F">
            <w:pPr>
              <w:pStyle w:val="TableParagraph"/>
              <w:rPr>
                <w:b/>
                <w:sz w:val="26"/>
                <w:lang w:val="sr-Latn-CS"/>
              </w:rPr>
            </w:pPr>
          </w:p>
          <w:p w:rsidR="00B7005F" w:rsidRPr="00DC33E0" w:rsidRDefault="00B7005F" w:rsidP="00B7005F">
            <w:pPr>
              <w:pStyle w:val="TableParagraph"/>
              <w:spacing w:before="4"/>
              <w:rPr>
                <w:b/>
                <w:sz w:val="21"/>
                <w:lang w:val="sr-Latn-CS"/>
              </w:rPr>
            </w:pPr>
          </w:p>
          <w:p w:rsidR="00B7005F" w:rsidRPr="00DC33E0" w:rsidRDefault="00B7005F" w:rsidP="00B7005F">
            <w:pPr>
              <w:pStyle w:val="TableParagraph"/>
              <w:ind w:left="107"/>
              <w:rPr>
                <w:sz w:val="24"/>
                <w:lang w:val="sr-Latn-CS"/>
              </w:rPr>
            </w:pPr>
            <w:r w:rsidRPr="00DC33E0">
              <w:rPr>
                <w:sz w:val="24"/>
                <w:lang w:val="sr-Latn-CS"/>
              </w:rPr>
              <w:t>A</w:t>
            </w:r>
            <w:r>
              <w:rPr>
                <w:sz w:val="24"/>
                <w:lang w:val="sr-Latn-CS"/>
              </w:rPr>
              <w:t>ktivnost</w:t>
            </w:r>
          </w:p>
        </w:tc>
        <w:tc>
          <w:tcPr>
            <w:tcW w:w="1649" w:type="dxa"/>
          </w:tcPr>
          <w:p w:rsidR="00B7005F" w:rsidRPr="00DC33E0" w:rsidRDefault="00B7005F" w:rsidP="00B7005F">
            <w:pPr>
              <w:pStyle w:val="TableParagraph"/>
              <w:spacing w:before="4"/>
              <w:rPr>
                <w:b/>
                <w:sz w:val="23"/>
                <w:lang w:val="sr-Latn-CS"/>
              </w:rPr>
            </w:pPr>
          </w:p>
          <w:p w:rsidR="00B7005F" w:rsidRPr="00DC33E0" w:rsidRDefault="00B7005F" w:rsidP="00B7005F">
            <w:pPr>
              <w:pStyle w:val="TableParagraph"/>
              <w:ind w:left="107"/>
              <w:rPr>
                <w:sz w:val="24"/>
                <w:lang w:val="sr-Latn-CS"/>
              </w:rPr>
            </w:pPr>
            <w:r>
              <w:rPr>
                <w:sz w:val="24"/>
                <w:lang w:val="sr-Latn-CS"/>
              </w:rPr>
              <w:t>Očekivani uticaj na životnu sredinu</w:t>
            </w:r>
          </w:p>
        </w:tc>
        <w:tc>
          <w:tcPr>
            <w:tcW w:w="1409" w:type="dxa"/>
          </w:tcPr>
          <w:p w:rsidR="00B7005F" w:rsidRPr="00DC33E0" w:rsidRDefault="00B7005F" w:rsidP="00B7005F">
            <w:pPr>
              <w:pStyle w:val="TableParagraph"/>
              <w:spacing w:before="4"/>
              <w:rPr>
                <w:b/>
                <w:sz w:val="23"/>
                <w:lang w:val="sr-Latn-CS"/>
              </w:rPr>
            </w:pPr>
          </w:p>
          <w:p w:rsidR="00B7005F" w:rsidRPr="00DC33E0" w:rsidRDefault="00B7005F" w:rsidP="00B7005F">
            <w:pPr>
              <w:pStyle w:val="TableParagraph"/>
              <w:ind w:left="104"/>
              <w:rPr>
                <w:sz w:val="24"/>
                <w:lang w:val="sr-Latn-CS"/>
              </w:rPr>
            </w:pPr>
            <w:r w:rsidRPr="00DC33E0">
              <w:rPr>
                <w:sz w:val="24"/>
                <w:lang w:val="sr-Latn-CS"/>
              </w:rPr>
              <w:t>Pr</w:t>
            </w:r>
            <w:r>
              <w:rPr>
                <w:sz w:val="24"/>
                <w:lang w:val="sr-Latn-CS"/>
              </w:rPr>
              <w:t>edložna mera ublažavanja</w:t>
            </w:r>
          </w:p>
        </w:tc>
        <w:tc>
          <w:tcPr>
            <w:tcW w:w="1685" w:type="dxa"/>
          </w:tcPr>
          <w:p w:rsidR="00B7005F" w:rsidRPr="00DC33E0" w:rsidRDefault="00B7005F" w:rsidP="00B7005F">
            <w:pPr>
              <w:pStyle w:val="TableParagraph"/>
              <w:ind w:left="107" w:right="161"/>
              <w:rPr>
                <w:sz w:val="24"/>
                <w:lang w:val="sr-Latn-CS"/>
              </w:rPr>
            </w:pPr>
            <w:r>
              <w:rPr>
                <w:sz w:val="24"/>
                <w:lang w:val="sr-Latn-CS"/>
              </w:rPr>
              <w:t>Odgovornost za sprovođenje mera ublažavanja</w:t>
            </w:r>
          </w:p>
        </w:tc>
        <w:tc>
          <w:tcPr>
            <w:tcW w:w="1699" w:type="dxa"/>
          </w:tcPr>
          <w:p w:rsidR="00B7005F" w:rsidRPr="00DC33E0" w:rsidRDefault="00B7005F" w:rsidP="00B7005F">
            <w:pPr>
              <w:pStyle w:val="TableParagraph"/>
              <w:tabs>
                <w:tab w:val="left" w:pos="1390"/>
              </w:tabs>
              <w:spacing w:before="129"/>
              <w:ind w:left="106" w:right="97"/>
              <w:rPr>
                <w:sz w:val="24"/>
                <w:lang w:val="sr-Latn-CS"/>
              </w:rPr>
            </w:pPr>
            <w:r w:rsidRPr="00DC33E0">
              <w:rPr>
                <w:sz w:val="24"/>
                <w:lang w:val="sr-Latn-CS"/>
              </w:rPr>
              <w:t>Pe</w:t>
            </w:r>
            <w:r>
              <w:rPr>
                <w:sz w:val="24"/>
                <w:lang w:val="sr-Latn-CS"/>
              </w:rPr>
              <w:t>riod sprovođenja mera ublažavanja</w:t>
            </w:r>
          </w:p>
        </w:tc>
        <w:tc>
          <w:tcPr>
            <w:tcW w:w="1783" w:type="dxa"/>
          </w:tcPr>
          <w:p w:rsidR="00B7005F" w:rsidRPr="00DC33E0" w:rsidRDefault="00B7005F" w:rsidP="00B7005F">
            <w:pPr>
              <w:pStyle w:val="TableParagraph"/>
              <w:tabs>
                <w:tab w:val="left" w:pos="687"/>
              </w:tabs>
              <w:ind w:left="107" w:right="98"/>
              <w:rPr>
                <w:sz w:val="24"/>
                <w:lang w:val="sr-Latn-CS"/>
              </w:rPr>
            </w:pPr>
            <w:r w:rsidRPr="008F6279">
              <w:rPr>
                <w:sz w:val="24"/>
                <w:lang w:val="sr-Latn-CS"/>
              </w:rPr>
              <w:t>Troškovi povezani sa sprovođenjem mera ublažavanja</w:t>
            </w:r>
          </w:p>
        </w:tc>
      </w:tr>
      <w:tr w:rsidR="00F3731A" w:rsidRPr="003B3244" w:rsidTr="00B7005F">
        <w:trPr>
          <w:trHeight w:val="515"/>
        </w:trPr>
        <w:tc>
          <w:tcPr>
            <w:tcW w:w="1078" w:type="dxa"/>
          </w:tcPr>
          <w:p w:rsidR="00F3731A" w:rsidRPr="003B3244" w:rsidRDefault="00F3731A" w:rsidP="003B3244">
            <w:pPr>
              <w:pStyle w:val="TableParagraph"/>
              <w:spacing w:line="269" w:lineRule="exact"/>
              <w:ind w:left="107"/>
              <w:rPr>
                <w:sz w:val="24"/>
                <w:lang w:val="sr-Latn-CS"/>
              </w:rPr>
            </w:pPr>
            <w:r w:rsidRPr="003B3244">
              <w:rPr>
                <w:sz w:val="24"/>
                <w:lang w:val="sr-Latn-CS"/>
              </w:rPr>
              <w:t>1.</w:t>
            </w:r>
          </w:p>
        </w:tc>
        <w:tc>
          <w:tcPr>
            <w:tcW w:w="1649" w:type="dxa"/>
          </w:tcPr>
          <w:p w:rsidR="00F3731A" w:rsidRPr="003B3244" w:rsidRDefault="00F3731A" w:rsidP="003B3244">
            <w:pPr>
              <w:pStyle w:val="TableParagraph"/>
              <w:rPr>
                <w:sz w:val="24"/>
                <w:lang w:val="sr-Latn-CS"/>
              </w:rPr>
            </w:pPr>
          </w:p>
        </w:tc>
        <w:tc>
          <w:tcPr>
            <w:tcW w:w="1409" w:type="dxa"/>
          </w:tcPr>
          <w:p w:rsidR="00F3731A" w:rsidRPr="003B3244" w:rsidRDefault="00F3731A" w:rsidP="003B3244">
            <w:pPr>
              <w:pStyle w:val="TableParagraph"/>
              <w:rPr>
                <w:sz w:val="24"/>
                <w:lang w:val="sr-Latn-CS"/>
              </w:rPr>
            </w:pPr>
          </w:p>
        </w:tc>
        <w:tc>
          <w:tcPr>
            <w:tcW w:w="1685" w:type="dxa"/>
          </w:tcPr>
          <w:p w:rsidR="00F3731A" w:rsidRPr="003B3244" w:rsidRDefault="00F3731A" w:rsidP="003B3244">
            <w:pPr>
              <w:pStyle w:val="TableParagraph"/>
              <w:rPr>
                <w:sz w:val="24"/>
                <w:lang w:val="sr-Latn-CS"/>
              </w:rPr>
            </w:pPr>
          </w:p>
        </w:tc>
        <w:tc>
          <w:tcPr>
            <w:tcW w:w="1699" w:type="dxa"/>
          </w:tcPr>
          <w:p w:rsidR="00F3731A" w:rsidRPr="003B3244" w:rsidRDefault="00F3731A" w:rsidP="003B3244">
            <w:pPr>
              <w:pStyle w:val="TableParagraph"/>
              <w:rPr>
                <w:sz w:val="24"/>
                <w:lang w:val="sr-Latn-CS"/>
              </w:rPr>
            </w:pPr>
          </w:p>
        </w:tc>
        <w:tc>
          <w:tcPr>
            <w:tcW w:w="1783" w:type="dxa"/>
          </w:tcPr>
          <w:p w:rsidR="00F3731A" w:rsidRPr="003B3244" w:rsidRDefault="00F3731A" w:rsidP="003B3244">
            <w:pPr>
              <w:pStyle w:val="TableParagraph"/>
              <w:rPr>
                <w:sz w:val="24"/>
                <w:lang w:val="sr-Latn-CS"/>
              </w:rPr>
            </w:pPr>
          </w:p>
        </w:tc>
      </w:tr>
      <w:tr w:rsidR="00F3731A" w:rsidRPr="003B3244" w:rsidTr="00B7005F">
        <w:trPr>
          <w:trHeight w:val="515"/>
        </w:trPr>
        <w:tc>
          <w:tcPr>
            <w:tcW w:w="1078" w:type="dxa"/>
          </w:tcPr>
          <w:p w:rsidR="00F3731A" w:rsidRPr="003B3244" w:rsidRDefault="00F3731A" w:rsidP="003B3244">
            <w:pPr>
              <w:pStyle w:val="TableParagraph"/>
              <w:spacing w:line="269" w:lineRule="exact"/>
              <w:ind w:left="107"/>
              <w:rPr>
                <w:sz w:val="24"/>
                <w:lang w:val="sr-Latn-CS"/>
              </w:rPr>
            </w:pPr>
            <w:r w:rsidRPr="003B3244">
              <w:rPr>
                <w:sz w:val="24"/>
                <w:lang w:val="sr-Latn-CS"/>
              </w:rPr>
              <w:t>2.</w:t>
            </w:r>
          </w:p>
        </w:tc>
        <w:tc>
          <w:tcPr>
            <w:tcW w:w="1649" w:type="dxa"/>
          </w:tcPr>
          <w:p w:rsidR="00F3731A" w:rsidRPr="003B3244" w:rsidRDefault="00F3731A" w:rsidP="003B3244">
            <w:pPr>
              <w:pStyle w:val="TableParagraph"/>
              <w:rPr>
                <w:sz w:val="24"/>
                <w:lang w:val="sr-Latn-CS"/>
              </w:rPr>
            </w:pPr>
          </w:p>
        </w:tc>
        <w:tc>
          <w:tcPr>
            <w:tcW w:w="1409" w:type="dxa"/>
          </w:tcPr>
          <w:p w:rsidR="00F3731A" w:rsidRPr="003B3244" w:rsidRDefault="00F3731A" w:rsidP="003B3244">
            <w:pPr>
              <w:pStyle w:val="TableParagraph"/>
              <w:rPr>
                <w:sz w:val="24"/>
                <w:lang w:val="sr-Latn-CS"/>
              </w:rPr>
            </w:pPr>
          </w:p>
        </w:tc>
        <w:tc>
          <w:tcPr>
            <w:tcW w:w="1685" w:type="dxa"/>
          </w:tcPr>
          <w:p w:rsidR="00F3731A" w:rsidRPr="003B3244" w:rsidRDefault="00F3731A" w:rsidP="003B3244">
            <w:pPr>
              <w:pStyle w:val="TableParagraph"/>
              <w:rPr>
                <w:sz w:val="24"/>
                <w:lang w:val="sr-Latn-CS"/>
              </w:rPr>
            </w:pPr>
          </w:p>
        </w:tc>
        <w:tc>
          <w:tcPr>
            <w:tcW w:w="1699" w:type="dxa"/>
          </w:tcPr>
          <w:p w:rsidR="00F3731A" w:rsidRPr="003B3244" w:rsidRDefault="00F3731A" w:rsidP="003B3244">
            <w:pPr>
              <w:pStyle w:val="TableParagraph"/>
              <w:rPr>
                <w:sz w:val="24"/>
                <w:lang w:val="sr-Latn-CS"/>
              </w:rPr>
            </w:pPr>
          </w:p>
        </w:tc>
        <w:tc>
          <w:tcPr>
            <w:tcW w:w="1783" w:type="dxa"/>
          </w:tcPr>
          <w:p w:rsidR="00F3731A" w:rsidRPr="003B3244" w:rsidRDefault="00F3731A" w:rsidP="003B3244">
            <w:pPr>
              <w:pStyle w:val="TableParagraph"/>
              <w:rPr>
                <w:sz w:val="24"/>
                <w:lang w:val="sr-Latn-CS"/>
              </w:rPr>
            </w:pPr>
          </w:p>
        </w:tc>
      </w:tr>
      <w:tr w:rsidR="00F3731A" w:rsidRPr="003B3244" w:rsidTr="00B7005F">
        <w:trPr>
          <w:trHeight w:val="515"/>
        </w:trPr>
        <w:tc>
          <w:tcPr>
            <w:tcW w:w="1078" w:type="dxa"/>
          </w:tcPr>
          <w:p w:rsidR="00F3731A" w:rsidRPr="003B3244" w:rsidRDefault="00F3731A" w:rsidP="003B3244">
            <w:pPr>
              <w:pStyle w:val="TableParagraph"/>
              <w:spacing w:line="269" w:lineRule="exact"/>
              <w:ind w:left="107"/>
              <w:rPr>
                <w:sz w:val="24"/>
                <w:lang w:val="sr-Latn-CS"/>
              </w:rPr>
            </w:pPr>
            <w:r w:rsidRPr="003B3244">
              <w:rPr>
                <w:w w:val="99"/>
                <w:sz w:val="24"/>
                <w:lang w:val="sr-Latn-CS"/>
              </w:rPr>
              <w:t>…</w:t>
            </w:r>
          </w:p>
        </w:tc>
        <w:tc>
          <w:tcPr>
            <w:tcW w:w="1649" w:type="dxa"/>
          </w:tcPr>
          <w:p w:rsidR="00F3731A" w:rsidRPr="003B3244" w:rsidRDefault="00F3731A" w:rsidP="003B3244">
            <w:pPr>
              <w:pStyle w:val="TableParagraph"/>
              <w:rPr>
                <w:sz w:val="24"/>
                <w:lang w:val="sr-Latn-CS"/>
              </w:rPr>
            </w:pPr>
          </w:p>
        </w:tc>
        <w:tc>
          <w:tcPr>
            <w:tcW w:w="1409" w:type="dxa"/>
          </w:tcPr>
          <w:p w:rsidR="00F3731A" w:rsidRPr="003B3244" w:rsidRDefault="00F3731A" w:rsidP="003B3244">
            <w:pPr>
              <w:pStyle w:val="TableParagraph"/>
              <w:rPr>
                <w:sz w:val="24"/>
                <w:lang w:val="sr-Latn-CS"/>
              </w:rPr>
            </w:pPr>
          </w:p>
        </w:tc>
        <w:tc>
          <w:tcPr>
            <w:tcW w:w="1685" w:type="dxa"/>
          </w:tcPr>
          <w:p w:rsidR="00F3731A" w:rsidRPr="003B3244" w:rsidRDefault="00F3731A" w:rsidP="003B3244">
            <w:pPr>
              <w:pStyle w:val="TableParagraph"/>
              <w:rPr>
                <w:sz w:val="24"/>
                <w:lang w:val="sr-Latn-CS"/>
              </w:rPr>
            </w:pPr>
          </w:p>
        </w:tc>
        <w:tc>
          <w:tcPr>
            <w:tcW w:w="1699" w:type="dxa"/>
          </w:tcPr>
          <w:p w:rsidR="00F3731A" w:rsidRPr="003B3244" w:rsidRDefault="00F3731A" w:rsidP="003B3244">
            <w:pPr>
              <w:pStyle w:val="TableParagraph"/>
              <w:rPr>
                <w:sz w:val="24"/>
                <w:lang w:val="sr-Latn-CS"/>
              </w:rPr>
            </w:pPr>
          </w:p>
        </w:tc>
        <w:tc>
          <w:tcPr>
            <w:tcW w:w="1783" w:type="dxa"/>
          </w:tcPr>
          <w:p w:rsidR="00F3731A" w:rsidRPr="003B3244" w:rsidRDefault="00F3731A" w:rsidP="003B3244">
            <w:pPr>
              <w:pStyle w:val="TableParagraph"/>
              <w:rPr>
                <w:sz w:val="24"/>
                <w:lang w:val="sr-Latn-CS"/>
              </w:rPr>
            </w:pPr>
          </w:p>
        </w:tc>
      </w:tr>
      <w:tr w:rsidR="00F3731A" w:rsidRPr="003B3244" w:rsidTr="00B7005F">
        <w:trPr>
          <w:trHeight w:val="508"/>
        </w:trPr>
        <w:tc>
          <w:tcPr>
            <w:tcW w:w="9303" w:type="dxa"/>
            <w:gridSpan w:val="6"/>
          </w:tcPr>
          <w:p w:rsidR="00F3731A" w:rsidRPr="003B3244" w:rsidRDefault="00B7005F" w:rsidP="003B3244">
            <w:pPr>
              <w:pStyle w:val="TableParagraph"/>
              <w:spacing w:before="110"/>
              <w:ind w:left="107"/>
              <w:rPr>
                <w:sz w:val="24"/>
                <w:lang w:val="sr-Latn-CS"/>
              </w:rPr>
            </w:pPr>
            <w:r w:rsidRPr="00B7005F">
              <w:rPr>
                <w:sz w:val="24"/>
                <w:lang w:val="sr-Latn-CS"/>
              </w:rPr>
              <w:t>Operativna faza</w:t>
            </w:r>
          </w:p>
        </w:tc>
      </w:tr>
      <w:tr w:rsidR="00F3731A" w:rsidRPr="003B3244" w:rsidTr="00B7005F">
        <w:trPr>
          <w:trHeight w:val="515"/>
        </w:trPr>
        <w:tc>
          <w:tcPr>
            <w:tcW w:w="1078" w:type="dxa"/>
          </w:tcPr>
          <w:p w:rsidR="00F3731A" w:rsidRPr="003B3244" w:rsidRDefault="00F3731A" w:rsidP="003B3244">
            <w:pPr>
              <w:pStyle w:val="TableParagraph"/>
              <w:spacing w:line="269" w:lineRule="exact"/>
              <w:ind w:left="107"/>
              <w:rPr>
                <w:sz w:val="24"/>
                <w:lang w:val="sr-Latn-CS"/>
              </w:rPr>
            </w:pPr>
            <w:r w:rsidRPr="003B3244">
              <w:rPr>
                <w:sz w:val="24"/>
                <w:lang w:val="sr-Latn-CS"/>
              </w:rPr>
              <w:t>1.</w:t>
            </w:r>
          </w:p>
        </w:tc>
        <w:tc>
          <w:tcPr>
            <w:tcW w:w="1649" w:type="dxa"/>
          </w:tcPr>
          <w:p w:rsidR="00F3731A" w:rsidRPr="003B3244" w:rsidRDefault="00F3731A" w:rsidP="003B3244">
            <w:pPr>
              <w:pStyle w:val="TableParagraph"/>
              <w:rPr>
                <w:sz w:val="24"/>
                <w:lang w:val="sr-Latn-CS"/>
              </w:rPr>
            </w:pPr>
          </w:p>
        </w:tc>
        <w:tc>
          <w:tcPr>
            <w:tcW w:w="1409" w:type="dxa"/>
          </w:tcPr>
          <w:p w:rsidR="00F3731A" w:rsidRPr="003B3244" w:rsidRDefault="00F3731A" w:rsidP="003B3244">
            <w:pPr>
              <w:pStyle w:val="TableParagraph"/>
              <w:rPr>
                <w:sz w:val="24"/>
                <w:lang w:val="sr-Latn-CS"/>
              </w:rPr>
            </w:pPr>
          </w:p>
        </w:tc>
        <w:tc>
          <w:tcPr>
            <w:tcW w:w="1685" w:type="dxa"/>
          </w:tcPr>
          <w:p w:rsidR="00F3731A" w:rsidRPr="003B3244" w:rsidRDefault="00F3731A" w:rsidP="003B3244">
            <w:pPr>
              <w:pStyle w:val="TableParagraph"/>
              <w:rPr>
                <w:sz w:val="24"/>
                <w:lang w:val="sr-Latn-CS"/>
              </w:rPr>
            </w:pPr>
          </w:p>
        </w:tc>
        <w:tc>
          <w:tcPr>
            <w:tcW w:w="1699" w:type="dxa"/>
          </w:tcPr>
          <w:p w:rsidR="00F3731A" w:rsidRPr="003B3244" w:rsidRDefault="00F3731A" w:rsidP="003B3244">
            <w:pPr>
              <w:pStyle w:val="TableParagraph"/>
              <w:rPr>
                <w:sz w:val="24"/>
                <w:lang w:val="sr-Latn-CS"/>
              </w:rPr>
            </w:pPr>
          </w:p>
        </w:tc>
        <w:tc>
          <w:tcPr>
            <w:tcW w:w="1783" w:type="dxa"/>
          </w:tcPr>
          <w:p w:rsidR="00F3731A" w:rsidRPr="003B3244" w:rsidRDefault="00F3731A" w:rsidP="003B3244">
            <w:pPr>
              <w:pStyle w:val="TableParagraph"/>
              <w:rPr>
                <w:sz w:val="24"/>
                <w:lang w:val="sr-Latn-CS"/>
              </w:rPr>
            </w:pPr>
          </w:p>
        </w:tc>
      </w:tr>
      <w:tr w:rsidR="00F3731A" w:rsidRPr="003B3244" w:rsidTr="00B7005F">
        <w:trPr>
          <w:trHeight w:val="517"/>
        </w:trPr>
        <w:tc>
          <w:tcPr>
            <w:tcW w:w="1078" w:type="dxa"/>
          </w:tcPr>
          <w:p w:rsidR="00F3731A" w:rsidRPr="003B3244" w:rsidRDefault="00F3731A" w:rsidP="003B3244">
            <w:pPr>
              <w:pStyle w:val="TableParagraph"/>
              <w:spacing w:line="271" w:lineRule="exact"/>
              <w:ind w:left="107"/>
              <w:rPr>
                <w:sz w:val="24"/>
                <w:lang w:val="sr-Latn-CS"/>
              </w:rPr>
            </w:pPr>
            <w:r w:rsidRPr="003B3244">
              <w:rPr>
                <w:sz w:val="24"/>
                <w:lang w:val="sr-Latn-CS"/>
              </w:rPr>
              <w:t>2.</w:t>
            </w:r>
          </w:p>
        </w:tc>
        <w:tc>
          <w:tcPr>
            <w:tcW w:w="1649" w:type="dxa"/>
          </w:tcPr>
          <w:p w:rsidR="00F3731A" w:rsidRPr="003B3244" w:rsidRDefault="00F3731A" w:rsidP="003B3244">
            <w:pPr>
              <w:pStyle w:val="TableParagraph"/>
              <w:rPr>
                <w:sz w:val="24"/>
                <w:lang w:val="sr-Latn-CS"/>
              </w:rPr>
            </w:pPr>
          </w:p>
        </w:tc>
        <w:tc>
          <w:tcPr>
            <w:tcW w:w="1409" w:type="dxa"/>
          </w:tcPr>
          <w:p w:rsidR="00F3731A" w:rsidRPr="003B3244" w:rsidRDefault="00F3731A" w:rsidP="003B3244">
            <w:pPr>
              <w:pStyle w:val="TableParagraph"/>
              <w:rPr>
                <w:sz w:val="24"/>
                <w:lang w:val="sr-Latn-CS"/>
              </w:rPr>
            </w:pPr>
          </w:p>
        </w:tc>
        <w:tc>
          <w:tcPr>
            <w:tcW w:w="1685" w:type="dxa"/>
          </w:tcPr>
          <w:p w:rsidR="00F3731A" w:rsidRPr="003B3244" w:rsidRDefault="00F3731A" w:rsidP="003B3244">
            <w:pPr>
              <w:pStyle w:val="TableParagraph"/>
              <w:rPr>
                <w:sz w:val="24"/>
                <w:lang w:val="sr-Latn-CS"/>
              </w:rPr>
            </w:pPr>
          </w:p>
        </w:tc>
        <w:tc>
          <w:tcPr>
            <w:tcW w:w="1699" w:type="dxa"/>
          </w:tcPr>
          <w:p w:rsidR="00F3731A" w:rsidRPr="003B3244" w:rsidRDefault="00F3731A" w:rsidP="003B3244">
            <w:pPr>
              <w:pStyle w:val="TableParagraph"/>
              <w:rPr>
                <w:sz w:val="24"/>
                <w:lang w:val="sr-Latn-CS"/>
              </w:rPr>
            </w:pPr>
          </w:p>
        </w:tc>
        <w:tc>
          <w:tcPr>
            <w:tcW w:w="1783" w:type="dxa"/>
          </w:tcPr>
          <w:p w:rsidR="00F3731A" w:rsidRPr="003B3244" w:rsidRDefault="00F3731A" w:rsidP="003B3244">
            <w:pPr>
              <w:pStyle w:val="TableParagraph"/>
              <w:rPr>
                <w:sz w:val="24"/>
                <w:lang w:val="sr-Latn-CS"/>
              </w:rPr>
            </w:pPr>
          </w:p>
        </w:tc>
      </w:tr>
      <w:tr w:rsidR="00F3731A" w:rsidRPr="003B3244" w:rsidTr="00B7005F">
        <w:trPr>
          <w:trHeight w:val="515"/>
        </w:trPr>
        <w:tc>
          <w:tcPr>
            <w:tcW w:w="1078" w:type="dxa"/>
          </w:tcPr>
          <w:p w:rsidR="00F3731A" w:rsidRPr="003B3244" w:rsidRDefault="00F3731A" w:rsidP="003B3244">
            <w:pPr>
              <w:pStyle w:val="TableParagraph"/>
              <w:spacing w:line="269" w:lineRule="exact"/>
              <w:ind w:left="107"/>
              <w:rPr>
                <w:sz w:val="24"/>
                <w:lang w:val="sr-Latn-CS"/>
              </w:rPr>
            </w:pPr>
            <w:r w:rsidRPr="003B3244">
              <w:rPr>
                <w:w w:val="99"/>
                <w:sz w:val="24"/>
                <w:lang w:val="sr-Latn-CS"/>
              </w:rPr>
              <w:t>…</w:t>
            </w:r>
          </w:p>
        </w:tc>
        <w:tc>
          <w:tcPr>
            <w:tcW w:w="1649" w:type="dxa"/>
          </w:tcPr>
          <w:p w:rsidR="00F3731A" w:rsidRPr="003B3244" w:rsidRDefault="00F3731A" w:rsidP="003B3244">
            <w:pPr>
              <w:pStyle w:val="TableParagraph"/>
              <w:rPr>
                <w:sz w:val="24"/>
                <w:lang w:val="sr-Latn-CS"/>
              </w:rPr>
            </w:pPr>
          </w:p>
        </w:tc>
        <w:tc>
          <w:tcPr>
            <w:tcW w:w="1409" w:type="dxa"/>
          </w:tcPr>
          <w:p w:rsidR="00F3731A" w:rsidRPr="003B3244" w:rsidRDefault="00F3731A" w:rsidP="003B3244">
            <w:pPr>
              <w:pStyle w:val="TableParagraph"/>
              <w:rPr>
                <w:sz w:val="24"/>
                <w:lang w:val="sr-Latn-CS"/>
              </w:rPr>
            </w:pPr>
          </w:p>
        </w:tc>
        <w:tc>
          <w:tcPr>
            <w:tcW w:w="1685" w:type="dxa"/>
          </w:tcPr>
          <w:p w:rsidR="00F3731A" w:rsidRPr="003B3244" w:rsidRDefault="00F3731A" w:rsidP="003B3244">
            <w:pPr>
              <w:pStyle w:val="TableParagraph"/>
              <w:rPr>
                <w:sz w:val="24"/>
                <w:lang w:val="sr-Latn-CS"/>
              </w:rPr>
            </w:pPr>
          </w:p>
        </w:tc>
        <w:tc>
          <w:tcPr>
            <w:tcW w:w="1699" w:type="dxa"/>
          </w:tcPr>
          <w:p w:rsidR="00F3731A" w:rsidRPr="003B3244" w:rsidRDefault="00F3731A" w:rsidP="003B3244">
            <w:pPr>
              <w:pStyle w:val="TableParagraph"/>
              <w:rPr>
                <w:sz w:val="24"/>
                <w:lang w:val="sr-Latn-CS"/>
              </w:rPr>
            </w:pPr>
          </w:p>
        </w:tc>
        <w:tc>
          <w:tcPr>
            <w:tcW w:w="1783" w:type="dxa"/>
          </w:tcPr>
          <w:p w:rsidR="00F3731A" w:rsidRPr="003B3244" w:rsidRDefault="00F3731A" w:rsidP="003B3244">
            <w:pPr>
              <w:pStyle w:val="TableParagraph"/>
              <w:rPr>
                <w:sz w:val="24"/>
                <w:lang w:val="sr-Latn-CS"/>
              </w:rPr>
            </w:pPr>
          </w:p>
        </w:tc>
      </w:tr>
    </w:tbl>
    <w:p w:rsidR="00F3731A" w:rsidRPr="003B3244" w:rsidRDefault="00F3731A" w:rsidP="00F3731A">
      <w:pPr>
        <w:pStyle w:val="BodyText"/>
        <w:rPr>
          <w:rFonts w:cs="Times New Roman"/>
          <w:b/>
          <w:sz w:val="26"/>
          <w:lang w:val="sr-Latn-CS"/>
        </w:rPr>
      </w:pPr>
    </w:p>
    <w:p w:rsidR="00F3731A" w:rsidRPr="003B3244" w:rsidRDefault="00B7005F" w:rsidP="00F3731A">
      <w:pPr>
        <w:pStyle w:val="Heading2"/>
        <w:rPr>
          <w:lang w:val="sr-Latn-CS"/>
        </w:rPr>
      </w:pPr>
      <w:bookmarkStart w:id="80" w:name="_Toc531255657"/>
      <w:r w:rsidRPr="00B7005F">
        <w:rPr>
          <w:lang w:val="sr-Latn-CS"/>
        </w:rPr>
        <w:t>Plan praćenja</w:t>
      </w:r>
      <w:bookmarkEnd w:id="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17"/>
        <w:gridCol w:w="1287"/>
        <w:gridCol w:w="1399"/>
        <w:gridCol w:w="1527"/>
        <w:gridCol w:w="1782"/>
        <w:gridCol w:w="1704"/>
      </w:tblGrid>
      <w:tr w:rsidR="00F3731A" w:rsidRPr="003B3244" w:rsidTr="003B3244">
        <w:trPr>
          <w:trHeight w:val="517"/>
        </w:trPr>
        <w:tc>
          <w:tcPr>
            <w:tcW w:w="5000" w:type="pct"/>
            <w:gridSpan w:val="6"/>
          </w:tcPr>
          <w:p w:rsidR="00F3731A" w:rsidRPr="003B3244" w:rsidRDefault="00B7005F" w:rsidP="003B3244">
            <w:pPr>
              <w:pStyle w:val="TableParagraph"/>
              <w:spacing w:before="113"/>
              <w:ind w:left="107"/>
              <w:rPr>
                <w:sz w:val="24"/>
                <w:lang w:val="sr-Latn-CS"/>
              </w:rPr>
            </w:pPr>
            <w:r w:rsidRPr="00B7005F">
              <w:rPr>
                <w:sz w:val="24"/>
                <w:lang w:val="sr-Latn-CS"/>
              </w:rPr>
              <w:t>Faza izgradnje</w:t>
            </w:r>
          </w:p>
        </w:tc>
      </w:tr>
      <w:tr w:rsidR="00B7005F" w:rsidRPr="003B3244" w:rsidTr="00B7005F">
        <w:trPr>
          <w:trHeight w:val="2723"/>
        </w:trPr>
        <w:tc>
          <w:tcPr>
            <w:tcW w:w="730" w:type="pct"/>
          </w:tcPr>
          <w:p w:rsidR="00B7005F" w:rsidRPr="00DC33E0" w:rsidRDefault="00B7005F" w:rsidP="00B7005F">
            <w:pPr>
              <w:pStyle w:val="TableParagraph"/>
              <w:spacing w:line="274" w:lineRule="exact"/>
              <w:ind w:left="107"/>
              <w:rPr>
                <w:b/>
                <w:sz w:val="24"/>
                <w:lang w:val="sr-Latn-CS"/>
              </w:rPr>
            </w:pPr>
            <w:r>
              <w:rPr>
                <w:b/>
                <w:sz w:val="24"/>
                <w:lang w:val="sr-Latn-CS"/>
              </w:rPr>
              <w:t>Koji</w:t>
            </w:r>
          </w:p>
          <w:p w:rsidR="00B7005F" w:rsidRPr="00DC33E0" w:rsidRDefault="00B7005F" w:rsidP="00B7005F">
            <w:pPr>
              <w:pStyle w:val="TableParagraph"/>
              <w:spacing w:before="5"/>
              <w:rPr>
                <w:b/>
                <w:sz w:val="20"/>
                <w:lang w:val="sr-Latn-CS"/>
              </w:rPr>
            </w:pPr>
          </w:p>
          <w:p w:rsidR="00B7005F" w:rsidRPr="00DC33E0" w:rsidRDefault="00B7005F" w:rsidP="00B7005F">
            <w:pPr>
              <w:pStyle w:val="TableParagraph"/>
              <w:tabs>
                <w:tab w:val="left" w:pos="544"/>
                <w:tab w:val="left" w:pos="1006"/>
              </w:tabs>
              <w:ind w:left="107" w:right="96"/>
              <w:rPr>
                <w:i/>
                <w:sz w:val="24"/>
                <w:lang w:val="sr-Latn-CS"/>
              </w:rPr>
            </w:pPr>
            <w:r>
              <w:rPr>
                <w:i/>
                <w:sz w:val="24"/>
                <w:lang w:val="sr-Latn-CS"/>
              </w:rPr>
              <w:t>parametar će se pratiti</w:t>
            </w:r>
            <w:r w:rsidRPr="00DC33E0">
              <w:rPr>
                <w:i/>
                <w:sz w:val="24"/>
                <w:lang w:val="sr-Latn-CS"/>
              </w:rPr>
              <w:t>?</w:t>
            </w:r>
          </w:p>
        </w:tc>
        <w:tc>
          <w:tcPr>
            <w:tcW w:w="714" w:type="pct"/>
          </w:tcPr>
          <w:p w:rsidR="00B7005F" w:rsidRPr="00DC33E0" w:rsidRDefault="00B7005F" w:rsidP="00B7005F">
            <w:pPr>
              <w:pStyle w:val="TableParagraph"/>
              <w:spacing w:line="274" w:lineRule="exact"/>
              <w:ind w:left="107"/>
              <w:rPr>
                <w:b/>
                <w:sz w:val="24"/>
                <w:lang w:val="sr-Latn-CS"/>
              </w:rPr>
            </w:pPr>
            <w:r>
              <w:rPr>
                <w:b/>
                <w:sz w:val="24"/>
                <w:lang w:val="sr-Latn-CS"/>
              </w:rPr>
              <w:t>Gde</w:t>
            </w:r>
          </w:p>
          <w:p w:rsidR="00B7005F" w:rsidRPr="00DC33E0" w:rsidRDefault="00B7005F" w:rsidP="00B7005F">
            <w:pPr>
              <w:pStyle w:val="TableParagraph"/>
              <w:spacing w:before="5"/>
              <w:rPr>
                <w:b/>
                <w:sz w:val="20"/>
                <w:lang w:val="sr-Latn-CS"/>
              </w:rPr>
            </w:pPr>
          </w:p>
          <w:p w:rsidR="00B7005F" w:rsidRPr="00DC33E0" w:rsidRDefault="00B7005F" w:rsidP="00B7005F">
            <w:pPr>
              <w:pStyle w:val="TableParagraph"/>
              <w:tabs>
                <w:tab w:val="left" w:pos="940"/>
              </w:tabs>
              <w:ind w:left="107"/>
              <w:rPr>
                <w:i/>
                <w:sz w:val="24"/>
                <w:lang w:val="sr-Latn-CS"/>
              </w:rPr>
            </w:pPr>
            <w:r>
              <w:rPr>
                <w:i/>
                <w:sz w:val="24"/>
                <w:lang w:val="sr-Latn-CS"/>
              </w:rPr>
              <w:t>da li parametar treba pratiti</w:t>
            </w:r>
            <w:r w:rsidRPr="00DC33E0">
              <w:rPr>
                <w:i/>
                <w:sz w:val="24"/>
                <w:lang w:val="sr-Latn-CS"/>
              </w:rPr>
              <w:t>?</w:t>
            </w:r>
          </w:p>
        </w:tc>
        <w:tc>
          <w:tcPr>
            <w:tcW w:w="776" w:type="pct"/>
          </w:tcPr>
          <w:p w:rsidR="00B7005F" w:rsidRPr="00DC33E0" w:rsidRDefault="00B7005F" w:rsidP="00B7005F">
            <w:pPr>
              <w:pStyle w:val="TableParagraph"/>
              <w:spacing w:line="274" w:lineRule="exact"/>
              <w:ind w:left="107"/>
              <w:rPr>
                <w:b/>
                <w:sz w:val="24"/>
                <w:lang w:val="sr-Latn-CS"/>
              </w:rPr>
            </w:pPr>
            <w:r>
              <w:rPr>
                <w:b/>
                <w:sz w:val="24"/>
                <w:lang w:val="sr-Latn-CS"/>
              </w:rPr>
              <w:t>Kako</w:t>
            </w:r>
          </w:p>
          <w:p w:rsidR="00B7005F" w:rsidRPr="00DC33E0" w:rsidRDefault="00B7005F" w:rsidP="00B7005F">
            <w:pPr>
              <w:pStyle w:val="TableParagraph"/>
              <w:spacing w:before="5"/>
              <w:rPr>
                <w:b/>
                <w:sz w:val="20"/>
                <w:lang w:val="sr-Latn-CS"/>
              </w:rPr>
            </w:pPr>
          </w:p>
          <w:p w:rsidR="00B7005F" w:rsidRPr="00DC33E0" w:rsidRDefault="00B7005F" w:rsidP="00B7005F">
            <w:pPr>
              <w:pStyle w:val="TableParagraph"/>
              <w:tabs>
                <w:tab w:val="left" w:pos="1052"/>
              </w:tabs>
              <w:ind w:left="107"/>
              <w:rPr>
                <w:i/>
                <w:sz w:val="24"/>
                <w:lang w:val="sr-Latn-CS"/>
              </w:rPr>
            </w:pPr>
            <w:r w:rsidRPr="00D46662">
              <w:rPr>
                <w:i/>
                <w:sz w:val="24"/>
                <w:lang w:val="sr-Latn-CS"/>
              </w:rPr>
              <w:t xml:space="preserve">da li parametar treba pratiti </w:t>
            </w:r>
            <w:r>
              <w:rPr>
                <w:i/>
                <w:sz w:val="24"/>
                <w:lang w:val="sr-Latn-CS"/>
              </w:rPr>
              <w:t>(šta treba meriti i kako</w:t>
            </w:r>
            <w:r w:rsidRPr="00DC33E0">
              <w:rPr>
                <w:i/>
                <w:sz w:val="24"/>
                <w:lang w:val="sr-Latn-CS"/>
              </w:rPr>
              <w:t>)?</w:t>
            </w:r>
          </w:p>
        </w:tc>
        <w:tc>
          <w:tcPr>
            <w:tcW w:w="847" w:type="pct"/>
          </w:tcPr>
          <w:p w:rsidR="00B7005F" w:rsidRPr="00DC33E0" w:rsidRDefault="00B7005F" w:rsidP="00B7005F">
            <w:pPr>
              <w:pStyle w:val="TableParagraph"/>
              <w:spacing w:line="274" w:lineRule="exact"/>
              <w:ind w:left="104"/>
              <w:rPr>
                <w:b/>
                <w:sz w:val="24"/>
                <w:lang w:val="sr-Latn-CS"/>
              </w:rPr>
            </w:pPr>
            <w:r>
              <w:rPr>
                <w:b/>
                <w:sz w:val="24"/>
                <w:lang w:val="sr-Latn-CS"/>
              </w:rPr>
              <w:t>Kada</w:t>
            </w:r>
          </w:p>
          <w:p w:rsidR="00B7005F" w:rsidRPr="00DC33E0" w:rsidRDefault="00B7005F" w:rsidP="00B7005F">
            <w:pPr>
              <w:pStyle w:val="TableParagraph"/>
              <w:spacing w:before="5"/>
              <w:rPr>
                <w:b/>
                <w:sz w:val="20"/>
                <w:lang w:val="sr-Latn-CS"/>
              </w:rPr>
            </w:pPr>
          </w:p>
          <w:p w:rsidR="00B7005F" w:rsidRPr="00DC33E0" w:rsidRDefault="00B7005F" w:rsidP="00B7005F">
            <w:pPr>
              <w:pStyle w:val="TableParagraph"/>
              <w:tabs>
                <w:tab w:val="left" w:pos="1184"/>
              </w:tabs>
              <w:ind w:left="104"/>
              <w:rPr>
                <w:i/>
                <w:sz w:val="24"/>
                <w:lang w:val="sr-Latn-CS"/>
              </w:rPr>
            </w:pPr>
            <w:r>
              <w:rPr>
                <w:i/>
                <w:sz w:val="24"/>
                <w:lang w:val="sr-Latn-CS"/>
              </w:rPr>
              <w:t>da li parametar treba pratiti (vreme i frekvencija</w:t>
            </w:r>
            <w:r w:rsidRPr="00DC33E0">
              <w:rPr>
                <w:i/>
                <w:sz w:val="24"/>
                <w:lang w:val="sr-Latn-CS"/>
              </w:rPr>
              <w:t>)?</w:t>
            </w:r>
          </w:p>
        </w:tc>
        <w:tc>
          <w:tcPr>
            <w:tcW w:w="988" w:type="pct"/>
          </w:tcPr>
          <w:p w:rsidR="00B7005F" w:rsidRPr="00DC33E0" w:rsidRDefault="00B7005F" w:rsidP="00B7005F">
            <w:pPr>
              <w:pStyle w:val="TableParagraph"/>
              <w:spacing w:line="274" w:lineRule="exact"/>
              <w:ind w:left="106"/>
              <w:rPr>
                <w:b/>
                <w:sz w:val="24"/>
                <w:lang w:val="sr-Latn-CS"/>
              </w:rPr>
            </w:pPr>
            <w:r>
              <w:rPr>
                <w:b/>
                <w:sz w:val="24"/>
                <w:lang w:val="sr-Latn-CS"/>
              </w:rPr>
              <w:t>Ko</w:t>
            </w:r>
          </w:p>
          <w:p w:rsidR="00B7005F" w:rsidRPr="00DC33E0" w:rsidRDefault="00B7005F" w:rsidP="00B7005F">
            <w:pPr>
              <w:pStyle w:val="TableParagraph"/>
              <w:spacing w:before="5"/>
              <w:rPr>
                <w:b/>
                <w:sz w:val="20"/>
                <w:lang w:val="sr-Latn-CS"/>
              </w:rPr>
            </w:pPr>
          </w:p>
          <w:p w:rsidR="00B7005F" w:rsidRPr="00DC33E0" w:rsidRDefault="00B7005F" w:rsidP="00B7005F">
            <w:pPr>
              <w:pStyle w:val="TableParagraph"/>
              <w:tabs>
                <w:tab w:val="left" w:pos="1469"/>
              </w:tabs>
              <w:ind w:left="106" w:right="97"/>
              <w:rPr>
                <w:i/>
                <w:sz w:val="24"/>
                <w:lang w:val="sr-Latn-CS"/>
              </w:rPr>
            </w:pPr>
            <w:r>
              <w:rPr>
                <w:i/>
                <w:sz w:val="24"/>
                <w:lang w:val="sr-Latn-CS"/>
              </w:rPr>
              <w:t>da li parametar treba pratiti (odgovornost</w:t>
            </w:r>
            <w:r w:rsidRPr="00DC33E0">
              <w:rPr>
                <w:i/>
                <w:sz w:val="24"/>
                <w:lang w:val="sr-Latn-CS"/>
              </w:rPr>
              <w:t>)?</w:t>
            </w:r>
          </w:p>
        </w:tc>
        <w:tc>
          <w:tcPr>
            <w:tcW w:w="945" w:type="pct"/>
          </w:tcPr>
          <w:p w:rsidR="00B7005F" w:rsidRPr="00DC33E0" w:rsidRDefault="00B7005F" w:rsidP="00B7005F">
            <w:pPr>
              <w:pStyle w:val="TableParagraph"/>
              <w:spacing w:line="274" w:lineRule="exact"/>
              <w:ind w:left="106"/>
              <w:rPr>
                <w:b/>
                <w:sz w:val="24"/>
                <w:lang w:val="sr-Latn-CS"/>
              </w:rPr>
            </w:pPr>
            <w:r>
              <w:rPr>
                <w:b/>
                <w:sz w:val="24"/>
                <w:lang w:val="sr-Latn-CS"/>
              </w:rPr>
              <w:t>Koliko</w:t>
            </w:r>
          </w:p>
          <w:p w:rsidR="00B7005F" w:rsidRPr="00DC33E0" w:rsidRDefault="00B7005F" w:rsidP="00B7005F">
            <w:pPr>
              <w:pStyle w:val="TableParagraph"/>
              <w:spacing w:before="6"/>
              <w:rPr>
                <w:b/>
                <w:sz w:val="23"/>
                <w:lang w:val="sr-Latn-CS"/>
              </w:rPr>
            </w:pPr>
          </w:p>
          <w:p w:rsidR="00B7005F" w:rsidRPr="00DC33E0" w:rsidRDefault="00B7005F" w:rsidP="00B7005F">
            <w:pPr>
              <w:pStyle w:val="TableParagraph"/>
              <w:ind w:left="106" w:right="97"/>
              <w:jc w:val="both"/>
              <w:rPr>
                <w:i/>
                <w:sz w:val="24"/>
                <w:lang w:val="sr-Latn-CS"/>
              </w:rPr>
            </w:pPr>
            <w:r>
              <w:rPr>
                <w:i/>
                <w:sz w:val="24"/>
                <w:lang w:val="sr-Latn-CS"/>
              </w:rPr>
              <w:t>je trošak povezan sa sprovođenjem praćenja</w:t>
            </w:r>
          </w:p>
        </w:tc>
      </w:tr>
      <w:tr w:rsidR="00F3731A" w:rsidRPr="003B3244" w:rsidTr="00B7005F">
        <w:trPr>
          <w:trHeight w:val="373"/>
        </w:trPr>
        <w:tc>
          <w:tcPr>
            <w:tcW w:w="730" w:type="pct"/>
          </w:tcPr>
          <w:p w:rsidR="00F3731A" w:rsidRPr="003B3244" w:rsidRDefault="00F3731A" w:rsidP="003B3244">
            <w:pPr>
              <w:pStyle w:val="TableParagraph"/>
              <w:spacing w:line="269" w:lineRule="exact"/>
              <w:ind w:left="107"/>
              <w:rPr>
                <w:sz w:val="24"/>
                <w:lang w:val="sr-Latn-CS"/>
              </w:rPr>
            </w:pPr>
            <w:r w:rsidRPr="003B3244">
              <w:rPr>
                <w:sz w:val="24"/>
                <w:lang w:val="sr-Latn-CS"/>
              </w:rPr>
              <w:t>1.</w:t>
            </w:r>
          </w:p>
        </w:tc>
        <w:tc>
          <w:tcPr>
            <w:tcW w:w="714" w:type="pct"/>
          </w:tcPr>
          <w:p w:rsidR="00F3731A" w:rsidRPr="003B3244" w:rsidRDefault="00F3731A" w:rsidP="003B3244">
            <w:pPr>
              <w:pStyle w:val="TableParagraph"/>
              <w:rPr>
                <w:sz w:val="24"/>
                <w:lang w:val="sr-Latn-CS"/>
              </w:rPr>
            </w:pPr>
          </w:p>
        </w:tc>
        <w:tc>
          <w:tcPr>
            <w:tcW w:w="776" w:type="pct"/>
          </w:tcPr>
          <w:p w:rsidR="00F3731A" w:rsidRPr="003B3244" w:rsidRDefault="00F3731A" w:rsidP="003B3244">
            <w:pPr>
              <w:pStyle w:val="TableParagraph"/>
              <w:rPr>
                <w:sz w:val="24"/>
                <w:lang w:val="sr-Latn-CS"/>
              </w:rPr>
            </w:pPr>
          </w:p>
        </w:tc>
        <w:tc>
          <w:tcPr>
            <w:tcW w:w="847" w:type="pct"/>
          </w:tcPr>
          <w:p w:rsidR="00F3731A" w:rsidRPr="003B3244" w:rsidRDefault="00F3731A" w:rsidP="003B3244">
            <w:pPr>
              <w:pStyle w:val="TableParagraph"/>
              <w:rPr>
                <w:sz w:val="24"/>
                <w:lang w:val="sr-Latn-CS"/>
              </w:rPr>
            </w:pPr>
          </w:p>
        </w:tc>
        <w:tc>
          <w:tcPr>
            <w:tcW w:w="988" w:type="pct"/>
          </w:tcPr>
          <w:p w:rsidR="00F3731A" w:rsidRPr="003B3244" w:rsidRDefault="00F3731A" w:rsidP="003B3244">
            <w:pPr>
              <w:pStyle w:val="TableParagraph"/>
              <w:rPr>
                <w:sz w:val="24"/>
                <w:lang w:val="sr-Latn-CS"/>
              </w:rPr>
            </w:pPr>
          </w:p>
        </w:tc>
        <w:tc>
          <w:tcPr>
            <w:tcW w:w="945" w:type="pct"/>
          </w:tcPr>
          <w:p w:rsidR="00F3731A" w:rsidRPr="003B3244" w:rsidRDefault="00F3731A" w:rsidP="003B3244">
            <w:pPr>
              <w:pStyle w:val="TableParagraph"/>
              <w:rPr>
                <w:sz w:val="24"/>
                <w:lang w:val="sr-Latn-CS"/>
              </w:rPr>
            </w:pPr>
          </w:p>
        </w:tc>
      </w:tr>
      <w:tr w:rsidR="00F3731A" w:rsidRPr="003B3244" w:rsidTr="00B7005F">
        <w:trPr>
          <w:trHeight w:val="395"/>
        </w:trPr>
        <w:tc>
          <w:tcPr>
            <w:tcW w:w="730" w:type="pct"/>
          </w:tcPr>
          <w:p w:rsidR="00F3731A" w:rsidRPr="003B3244" w:rsidRDefault="00F3731A" w:rsidP="003B3244">
            <w:pPr>
              <w:pStyle w:val="TableParagraph"/>
              <w:spacing w:line="269" w:lineRule="exact"/>
              <w:ind w:left="107"/>
              <w:rPr>
                <w:sz w:val="24"/>
                <w:lang w:val="sr-Latn-CS"/>
              </w:rPr>
            </w:pPr>
            <w:r w:rsidRPr="003B3244">
              <w:rPr>
                <w:sz w:val="24"/>
                <w:lang w:val="sr-Latn-CS"/>
              </w:rPr>
              <w:t>2.</w:t>
            </w:r>
          </w:p>
        </w:tc>
        <w:tc>
          <w:tcPr>
            <w:tcW w:w="714" w:type="pct"/>
          </w:tcPr>
          <w:p w:rsidR="00F3731A" w:rsidRPr="003B3244" w:rsidRDefault="00F3731A" w:rsidP="003B3244">
            <w:pPr>
              <w:pStyle w:val="TableParagraph"/>
              <w:rPr>
                <w:sz w:val="24"/>
                <w:lang w:val="sr-Latn-CS"/>
              </w:rPr>
            </w:pPr>
          </w:p>
        </w:tc>
        <w:tc>
          <w:tcPr>
            <w:tcW w:w="776" w:type="pct"/>
          </w:tcPr>
          <w:p w:rsidR="00F3731A" w:rsidRPr="003B3244" w:rsidRDefault="00F3731A" w:rsidP="003B3244">
            <w:pPr>
              <w:pStyle w:val="TableParagraph"/>
              <w:rPr>
                <w:sz w:val="24"/>
                <w:lang w:val="sr-Latn-CS"/>
              </w:rPr>
            </w:pPr>
          </w:p>
        </w:tc>
        <w:tc>
          <w:tcPr>
            <w:tcW w:w="847" w:type="pct"/>
          </w:tcPr>
          <w:p w:rsidR="00F3731A" w:rsidRPr="003B3244" w:rsidRDefault="00F3731A" w:rsidP="003B3244">
            <w:pPr>
              <w:pStyle w:val="TableParagraph"/>
              <w:rPr>
                <w:sz w:val="24"/>
                <w:lang w:val="sr-Latn-CS"/>
              </w:rPr>
            </w:pPr>
          </w:p>
        </w:tc>
        <w:tc>
          <w:tcPr>
            <w:tcW w:w="988" w:type="pct"/>
          </w:tcPr>
          <w:p w:rsidR="00F3731A" w:rsidRPr="003B3244" w:rsidRDefault="00F3731A" w:rsidP="003B3244">
            <w:pPr>
              <w:pStyle w:val="TableParagraph"/>
              <w:rPr>
                <w:sz w:val="24"/>
                <w:lang w:val="sr-Latn-CS"/>
              </w:rPr>
            </w:pPr>
          </w:p>
        </w:tc>
        <w:tc>
          <w:tcPr>
            <w:tcW w:w="945" w:type="pct"/>
          </w:tcPr>
          <w:p w:rsidR="00F3731A" w:rsidRPr="003B3244" w:rsidRDefault="00F3731A" w:rsidP="003B3244">
            <w:pPr>
              <w:pStyle w:val="TableParagraph"/>
              <w:rPr>
                <w:sz w:val="24"/>
                <w:lang w:val="sr-Latn-CS"/>
              </w:rPr>
            </w:pPr>
          </w:p>
        </w:tc>
      </w:tr>
      <w:tr w:rsidR="00F3731A" w:rsidRPr="003B3244" w:rsidTr="00B7005F">
        <w:trPr>
          <w:trHeight w:val="398"/>
        </w:trPr>
        <w:tc>
          <w:tcPr>
            <w:tcW w:w="730" w:type="pct"/>
          </w:tcPr>
          <w:p w:rsidR="00F3731A" w:rsidRPr="003B3244" w:rsidRDefault="00F3731A" w:rsidP="003B3244">
            <w:pPr>
              <w:pStyle w:val="TableParagraph"/>
              <w:spacing w:line="269" w:lineRule="exact"/>
              <w:ind w:left="107"/>
              <w:rPr>
                <w:sz w:val="24"/>
                <w:lang w:val="sr-Latn-CS"/>
              </w:rPr>
            </w:pPr>
            <w:r w:rsidRPr="003B3244">
              <w:rPr>
                <w:w w:val="99"/>
                <w:sz w:val="24"/>
                <w:lang w:val="sr-Latn-CS"/>
              </w:rPr>
              <w:t>…</w:t>
            </w:r>
          </w:p>
        </w:tc>
        <w:tc>
          <w:tcPr>
            <w:tcW w:w="714" w:type="pct"/>
          </w:tcPr>
          <w:p w:rsidR="00F3731A" w:rsidRPr="003B3244" w:rsidRDefault="00F3731A" w:rsidP="003B3244">
            <w:pPr>
              <w:pStyle w:val="TableParagraph"/>
              <w:rPr>
                <w:sz w:val="24"/>
                <w:lang w:val="sr-Latn-CS"/>
              </w:rPr>
            </w:pPr>
          </w:p>
        </w:tc>
        <w:tc>
          <w:tcPr>
            <w:tcW w:w="776" w:type="pct"/>
          </w:tcPr>
          <w:p w:rsidR="00F3731A" w:rsidRPr="003B3244" w:rsidRDefault="00F3731A" w:rsidP="003B3244">
            <w:pPr>
              <w:pStyle w:val="TableParagraph"/>
              <w:rPr>
                <w:sz w:val="24"/>
                <w:lang w:val="sr-Latn-CS"/>
              </w:rPr>
            </w:pPr>
          </w:p>
        </w:tc>
        <w:tc>
          <w:tcPr>
            <w:tcW w:w="847" w:type="pct"/>
          </w:tcPr>
          <w:p w:rsidR="00F3731A" w:rsidRPr="003B3244" w:rsidRDefault="00F3731A" w:rsidP="003B3244">
            <w:pPr>
              <w:pStyle w:val="TableParagraph"/>
              <w:rPr>
                <w:sz w:val="24"/>
                <w:lang w:val="sr-Latn-CS"/>
              </w:rPr>
            </w:pPr>
          </w:p>
        </w:tc>
        <w:tc>
          <w:tcPr>
            <w:tcW w:w="988" w:type="pct"/>
          </w:tcPr>
          <w:p w:rsidR="00F3731A" w:rsidRPr="003B3244" w:rsidRDefault="00F3731A" w:rsidP="003B3244">
            <w:pPr>
              <w:pStyle w:val="TableParagraph"/>
              <w:rPr>
                <w:sz w:val="24"/>
                <w:lang w:val="sr-Latn-CS"/>
              </w:rPr>
            </w:pPr>
          </w:p>
        </w:tc>
        <w:tc>
          <w:tcPr>
            <w:tcW w:w="945" w:type="pct"/>
          </w:tcPr>
          <w:p w:rsidR="00F3731A" w:rsidRPr="003B3244" w:rsidRDefault="00F3731A" w:rsidP="003B3244">
            <w:pPr>
              <w:pStyle w:val="TableParagraph"/>
              <w:rPr>
                <w:sz w:val="24"/>
                <w:lang w:val="sr-Latn-CS"/>
              </w:rPr>
            </w:pPr>
          </w:p>
        </w:tc>
      </w:tr>
      <w:tr w:rsidR="00F3731A" w:rsidRPr="003B3244" w:rsidTr="003B3244">
        <w:trPr>
          <w:trHeight w:val="419"/>
        </w:trPr>
        <w:tc>
          <w:tcPr>
            <w:tcW w:w="5000" w:type="pct"/>
            <w:gridSpan w:val="6"/>
          </w:tcPr>
          <w:p w:rsidR="00F3731A" w:rsidRPr="003B3244" w:rsidRDefault="00B7005F" w:rsidP="003B3244">
            <w:pPr>
              <w:pStyle w:val="TableParagraph"/>
              <w:spacing w:before="65"/>
              <w:ind w:left="107"/>
              <w:rPr>
                <w:sz w:val="24"/>
                <w:lang w:val="sr-Latn-CS"/>
              </w:rPr>
            </w:pPr>
            <w:r w:rsidRPr="00B7005F">
              <w:rPr>
                <w:sz w:val="24"/>
                <w:lang w:val="sr-Latn-CS"/>
              </w:rPr>
              <w:t>Operativna faza</w:t>
            </w:r>
          </w:p>
        </w:tc>
      </w:tr>
      <w:tr w:rsidR="00F3731A" w:rsidRPr="003B3244" w:rsidTr="00B7005F">
        <w:trPr>
          <w:trHeight w:val="373"/>
        </w:trPr>
        <w:tc>
          <w:tcPr>
            <w:tcW w:w="730" w:type="pct"/>
          </w:tcPr>
          <w:p w:rsidR="00F3731A" w:rsidRPr="003B3244" w:rsidRDefault="00F3731A" w:rsidP="003B3244">
            <w:pPr>
              <w:pStyle w:val="TableParagraph"/>
              <w:spacing w:before="43"/>
              <w:ind w:left="107"/>
              <w:rPr>
                <w:sz w:val="24"/>
                <w:lang w:val="sr-Latn-CS"/>
              </w:rPr>
            </w:pPr>
            <w:r w:rsidRPr="003B3244">
              <w:rPr>
                <w:sz w:val="24"/>
                <w:lang w:val="sr-Latn-CS"/>
              </w:rPr>
              <w:t>1.</w:t>
            </w:r>
          </w:p>
        </w:tc>
        <w:tc>
          <w:tcPr>
            <w:tcW w:w="714" w:type="pct"/>
          </w:tcPr>
          <w:p w:rsidR="00F3731A" w:rsidRPr="003B3244" w:rsidRDefault="00F3731A" w:rsidP="003B3244">
            <w:pPr>
              <w:pStyle w:val="TableParagraph"/>
              <w:rPr>
                <w:sz w:val="24"/>
                <w:lang w:val="sr-Latn-CS"/>
              </w:rPr>
            </w:pPr>
          </w:p>
        </w:tc>
        <w:tc>
          <w:tcPr>
            <w:tcW w:w="776" w:type="pct"/>
          </w:tcPr>
          <w:p w:rsidR="00F3731A" w:rsidRPr="003B3244" w:rsidRDefault="00F3731A" w:rsidP="003B3244">
            <w:pPr>
              <w:pStyle w:val="TableParagraph"/>
              <w:rPr>
                <w:sz w:val="24"/>
                <w:lang w:val="sr-Latn-CS"/>
              </w:rPr>
            </w:pPr>
          </w:p>
        </w:tc>
        <w:tc>
          <w:tcPr>
            <w:tcW w:w="847" w:type="pct"/>
          </w:tcPr>
          <w:p w:rsidR="00F3731A" w:rsidRPr="003B3244" w:rsidRDefault="00F3731A" w:rsidP="003B3244">
            <w:pPr>
              <w:pStyle w:val="TableParagraph"/>
              <w:rPr>
                <w:sz w:val="24"/>
                <w:lang w:val="sr-Latn-CS"/>
              </w:rPr>
            </w:pPr>
          </w:p>
        </w:tc>
        <w:tc>
          <w:tcPr>
            <w:tcW w:w="988" w:type="pct"/>
          </w:tcPr>
          <w:p w:rsidR="00F3731A" w:rsidRPr="003B3244" w:rsidRDefault="00F3731A" w:rsidP="003B3244">
            <w:pPr>
              <w:pStyle w:val="TableParagraph"/>
              <w:rPr>
                <w:sz w:val="24"/>
                <w:lang w:val="sr-Latn-CS"/>
              </w:rPr>
            </w:pPr>
          </w:p>
        </w:tc>
        <w:tc>
          <w:tcPr>
            <w:tcW w:w="945" w:type="pct"/>
          </w:tcPr>
          <w:p w:rsidR="00F3731A" w:rsidRPr="003B3244" w:rsidRDefault="00F3731A" w:rsidP="003B3244">
            <w:pPr>
              <w:pStyle w:val="TableParagraph"/>
              <w:rPr>
                <w:sz w:val="24"/>
                <w:lang w:val="sr-Latn-CS"/>
              </w:rPr>
            </w:pPr>
          </w:p>
        </w:tc>
      </w:tr>
      <w:tr w:rsidR="00F3731A" w:rsidRPr="003B3244" w:rsidTr="00B7005F">
        <w:trPr>
          <w:trHeight w:val="398"/>
        </w:trPr>
        <w:tc>
          <w:tcPr>
            <w:tcW w:w="730" w:type="pct"/>
          </w:tcPr>
          <w:p w:rsidR="00F3731A" w:rsidRPr="003B3244" w:rsidRDefault="00F3731A" w:rsidP="003B3244">
            <w:pPr>
              <w:pStyle w:val="TableParagraph"/>
              <w:spacing w:before="53"/>
              <w:ind w:left="107"/>
              <w:rPr>
                <w:sz w:val="24"/>
                <w:lang w:val="sr-Latn-CS"/>
              </w:rPr>
            </w:pPr>
            <w:r w:rsidRPr="003B3244">
              <w:rPr>
                <w:sz w:val="24"/>
                <w:lang w:val="sr-Latn-CS"/>
              </w:rPr>
              <w:t>2.</w:t>
            </w:r>
          </w:p>
        </w:tc>
        <w:tc>
          <w:tcPr>
            <w:tcW w:w="714" w:type="pct"/>
          </w:tcPr>
          <w:p w:rsidR="00F3731A" w:rsidRPr="003B3244" w:rsidRDefault="00F3731A" w:rsidP="003B3244">
            <w:pPr>
              <w:pStyle w:val="TableParagraph"/>
              <w:rPr>
                <w:sz w:val="24"/>
                <w:lang w:val="sr-Latn-CS"/>
              </w:rPr>
            </w:pPr>
          </w:p>
        </w:tc>
        <w:tc>
          <w:tcPr>
            <w:tcW w:w="776" w:type="pct"/>
          </w:tcPr>
          <w:p w:rsidR="00F3731A" w:rsidRPr="003B3244" w:rsidRDefault="00F3731A" w:rsidP="003B3244">
            <w:pPr>
              <w:pStyle w:val="TableParagraph"/>
              <w:rPr>
                <w:sz w:val="24"/>
                <w:lang w:val="sr-Latn-CS"/>
              </w:rPr>
            </w:pPr>
          </w:p>
        </w:tc>
        <w:tc>
          <w:tcPr>
            <w:tcW w:w="847" w:type="pct"/>
          </w:tcPr>
          <w:p w:rsidR="00F3731A" w:rsidRPr="003B3244" w:rsidRDefault="00F3731A" w:rsidP="003B3244">
            <w:pPr>
              <w:pStyle w:val="TableParagraph"/>
              <w:rPr>
                <w:sz w:val="24"/>
                <w:lang w:val="sr-Latn-CS"/>
              </w:rPr>
            </w:pPr>
          </w:p>
        </w:tc>
        <w:tc>
          <w:tcPr>
            <w:tcW w:w="988" w:type="pct"/>
          </w:tcPr>
          <w:p w:rsidR="00F3731A" w:rsidRPr="003B3244" w:rsidRDefault="00F3731A" w:rsidP="003B3244">
            <w:pPr>
              <w:pStyle w:val="TableParagraph"/>
              <w:rPr>
                <w:sz w:val="24"/>
                <w:lang w:val="sr-Latn-CS"/>
              </w:rPr>
            </w:pPr>
          </w:p>
        </w:tc>
        <w:tc>
          <w:tcPr>
            <w:tcW w:w="945" w:type="pct"/>
          </w:tcPr>
          <w:p w:rsidR="00F3731A" w:rsidRPr="003B3244" w:rsidRDefault="00F3731A" w:rsidP="003B3244">
            <w:pPr>
              <w:pStyle w:val="TableParagraph"/>
              <w:rPr>
                <w:sz w:val="24"/>
                <w:lang w:val="sr-Latn-CS"/>
              </w:rPr>
            </w:pPr>
          </w:p>
        </w:tc>
      </w:tr>
    </w:tbl>
    <w:p w:rsidR="00B415AE" w:rsidRPr="003B3244" w:rsidRDefault="00B415AE" w:rsidP="0073525C">
      <w:pPr>
        <w:rPr>
          <w:lang w:val="sr-Latn-CS"/>
        </w:rPr>
      </w:pPr>
    </w:p>
    <w:sectPr w:rsidR="00B415AE" w:rsidRPr="003B3244" w:rsidSect="0073525C">
      <w:pgSz w:w="11906" w:h="16838"/>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8B6" w:rsidRDefault="000818B6" w:rsidP="00F3731A">
      <w:pPr>
        <w:spacing w:after="0" w:line="240" w:lineRule="auto"/>
      </w:pPr>
      <w:r>
        <w:separator/>
      </w:r>
    </w:p>
  </w:endnote>
  <w:endnote w:type="continuationSeparator" w:id="0">
    <w:p w:rsidR="000818B6" w:rsidRDefault="000818B6" w:rsidP="00F3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B6" w:rsidRDefault="000818B6">
    <w:pPr>
      <w:pStyle w:val="BodyText"/>
      <w:spacing w:line="14" w:lineRule="auto"/>
      <w:rPr>
        <w:sz w:val="16"/>
      </w:rPr>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6695440</wp:posOffset>
              </wp:positionH>
              <wp:positionV relativeFrom="page">
                <wp:posOffset>9973945</wp:posOffset>
              </wp:positionV>
              <wp:extent cx="205740" cy="177800"/>
              <wp:effectExtent l="0" t="0" r="3810" b="1270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8B6" w:rsidRDefault="000818B6">
                          <w:pPr>
                            <w:spacing w:line="251" w:lineRule="exact"/>
                            <w:ind w:left="40"/>
                            <w:rPr>
                              <w:sz w:val="24"/>
                            </w:rPr>
                          </w:pPr>
                          <w:r>
                            <w:fldChar w:fldCharType="begin"/>
                          </w:r>
                          <w:r>
                            <w:rPr>
                              <w:sz w:val="24"/>
                            </w:rPr>
                            <w:instrText xml:space="preserve"> PAGE </w:instrText>
                          </w:r>
                          <w:r>
                            <w:fldChar w:fldCharType="separate"/>
                          </w:r>
                          <w:r w:rsidR="007247E1">
                            <w:rPr>
                              <w:noProof/>
                              <w:sz w:val="24"/>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27.2pt;margin-top:785.35pt;width:16.2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9MrwIAAKk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" filled="f" stroked="f">
              <v:textbox inset="0,0,0,0">
                <w:txbxContent>
                  <w:p w:rsidR="000818B6" w:rsidRDefault="000818B6">
                    <w:pPr>
                      <w:spacing w:line="251" w:lineRule="exact"/>
                      <w:ind w:left="40"/>
                      <w:rPr>
                        <w:sz w:val="24"/>
                      </w:rPr>
                    </w:pPr>
                    <w:r>
                      <w:fldChar w:fldCharType="begin"/>
                    </w:r>
                    <w:r>
                      <w:rPr>
                        <w:sz w:val="24"/>
                      </w:rPr>
                      <w:instrText xml:space="preserve"> PAGE </w:instrText>
                    </w:r>
                    <w:r>
                      <w:fldChar w:fldCharType="separate"/>
                    </w:r>
                    <w:r w:rsidR="007247E1">
                      <w:rPr>
                        <w:noProof/>
                        <w:sz w:val="24"/>
                      </w:rPr>
                      <w:t>25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B6" w:rsidRDefault="000818B6">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6695440</wp:posOffset>
              </wp:positionH>
              <wp:positionV relativeFrom="page">
                <wp:posOffset>9973945</wp:posOffset>
              </wp:positionV>
              <wp:extent cx="205740" cy="177800"/>
              <wp:effectExtent l="0" t="0" r="3810" b="1270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8B6" w:rsidRDefault="000818B6">
                          <w:pPr>
                            <w:spacing w:line="251" w:lineRule="exact"/>
                            <w:ind w:left="40"/>
                            <w:rPr>
                              <w:sz w:val="24"/>
                            </w:rPr>
                          </w:pPr>
                          <w:r>
                            <w:fldChar w:fldCharType="begin"/>
                          </w:r>
                          <w:r>
                            <w:rPr>
                              <w:sz w:val="24"/>
                            </w:rPr>
                            <w:instrText xml:space="preserve"> PAGE </w:instrText>
                          </w:r>
                          <w:r>
                            <w:fldChar w:fldCharType="separate"/>
                          </w:r>
                          <w:r w:rsidR="007247E1">
                            <w:rPr>
                              <w:noProof/>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527.2pt;margin-top:785.35pt;width:16.2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dtsg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" filled="f" stroked="f">
              <v:textbox inset="0,0,0,0">
                <w:txbxContent>
                  <w:p w:rsidR="000818B6" w:rsidRDefault="000818B6">
                    <w:pPr>
                      <w:spacing w:line="251" w:lineRule="exact"/>
                      <w:ind w:left="40"/>
                      <w:rPr>
                        <w:sz w:val="24"/>
                      </w:rPr>
                    </w:pPr>
                    <w:r>
                      <w:fldChar w:fldCharType="begin"/>
                    </w:r>
                    <w:r>
                      <w:rPr>
                        <w:sz w:val="24"/>
                      </w:rPr>
                      <w:instrText xml:space="preserve"> PAGE </w:instrText>
                    </w:r>
                    <w:r>
                      <w:fldChar w:fldCharType="separate"/>
                    </w:r>
                    <w:r w:rsidR="007247E1">
                      <w:rPr>
                        <w:noProof/>
                        <w:sz w:val="24"/>
                      </w:rPr>
                      <w:t>27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533229"/>
      <w:docPartObj>
        <w:docPartGallery w:val="Page Numbers (Bottom of Page)"/>
        <w:docPartUnique/>
      </w:docPartObj>
    </w:sdtPr>
    <w:sdtEndPr>
      <w:rPr>
        <w:noProof/>
      </w:rPr>
    </w:sdtEndPr>
    <w:sdtContent>
      <w:p w:rsidR="000818B6" w:rsidRDefault="000818B6">
        <w:pPr>
          <w:pStyle w:val="Footer"/>
          <w:jc w:val="right"/>
        </w:pPr>
        <w:r>
          <w:fldChar w:fldCharType="begin"/>
        </w:r>
        <w:r>
          <w:instrText xml:space="preserve"> PAGE   \* MERGEFORMAT </w:instrText>
        </w:r>
        <w:r>
          <w:fldChar w:fldCharType="separate"/>
        </w:r>
        <w:r w:rsidR="007247E1">
          <w:rPr>
            <w:noProof/>
          </w:rPr>
          <w:t>41</w:t>
        </w:r>
        <w:r>
          <w:rPr>
            <w:noProof/>
          </w:rPr>
          <w:fldChar w:fldCharType="end"/>
        </w:r>
      </w:p>
    </w:sdtContent>
  </w:sdt>
  <w:p w:rsidR="000818B6" w:rsidRDefault="000818B6">
    <w:pPr>
      <w:pStyle w:val="BodyText"/>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8B6" w:rsidRDefault="000818B6" w:rsidP="00F3731A">
      <w:pPr>
        <w:spacing w:after="0" w:line="240" w:lineRule="auto"/>
      </w:pPr>
      <w:r>
        <w:separator/>
      </w:r>
    </w:p>
  </w:footnote>
  <w:footnote w:type="continuationSeparator" w:id="0">
    <w:p w:rsidR="000818B6" w:rsidRDefault="000818B6" w:rsidP="00F3731A">
      <w:pPr>
        <w:spacing w:after="0" w:line="240" w:lineRule="auto"/>
      </w:pPr>
      <w:r>
        <w:continuationSeparator/>
      </w:r>
    </w:p>
  </w:footnote>
  <w:footnote w:id="1">
    <w:p w:rsidR="000818B6" w:rsidRPr="00BC0348" w:rsidRDefault="000818B6" w:rsidP="00F3731A">
      <w:pPr>
        <w:pStyle w:val="FootnoteText"/>
        <w:rPr>
          <w:rFonts w:ascii="Times New Roman" w:hAnsi="Times New Roman" w:cs="Times New Roman"/>
          <w:lang w:val="sr-Latn-CS"/>
        </w:rPr>
      </w:pPr>
      <w:r w:rsidRPr="00BC0348">
        <w:rPr>
          <w:rStyle w:val="FootnoteReference"/>
          <w:rFonts w:ascii="Times New Roman" w:hAnsi="Times New Roman" w:cs="Times New Roman"/>
          <w:lang w:val="sr-Latn-CS"/>
        </w:rPr>
        <w:footnoteRef/>
      </w:r>
      <w:r w:rsidRPr="00BC0348">
        <w:rPr>
          <w:rFonts w:ascii="Times New Roman" w:hAnsi="Times New Roman" w:cs="Times New Roman"/>
          <w:lang w:val="sr-Latn-CS"/>
        </w:rPr>
        <w:t xml:space="preserve"> Izbor opština podleže promenama na osnovu procene kapaciteta i potvrde projektnih obaveza. </w:t>
      </w:r>
    </w:p>
  </w:footnote>
  <w:footnote w:id="2">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r w:rsidRPr="00BC0348">
        <w:rPr>
          <w:color w:val="000000" w:themeColor="text1"/>
          <w:sz w:val="18"/>
          <w:szCs w:val="18"/>
          <w:lang w:val="sr-Latn-CS"/>
        </w:rPr>
        <w:t>Ibid.</w:t>
      </w:r>
    </w:p>
  </w:footnote>
  <w:footnote w:id="3">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r w:rsidRPr="00BC0348">
        <w:rPr>
          <w:color w:val="000000" w:themeColor="text1"/>
          <w:sz w:val="18"/>
          <w:szCs w:val="18"/>
          <w:lang w:val="sr-Latn-CS"/>
        </w:rPr>
        <w:t xml:space="preserve"> https://www.eea.europa.eu/soer-2015/countries/kosovo</w:t>
      </w:r>
    </w:p>
  </w:footnote>
  <w:footnote w:id="4">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r w:rsidRPr="00BC0348">
        <w:rPr>
          <w:color w:val="000000" w:themeColor="text1"/>
          <w:sz w:val="18"/>
          <w:szCs w:val="18"/>
          <w:lang w:val="sr-Latn-CS"/>
        </w:rPr>
        <w:t xml:space="preserve"> http://pdf.usaid.gov/pdf_docs/Pnact349.pdf</w:t>
      </w:r>
    </w:p>
  </w:footnote>
  <w:footnote w:id="5">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r w:rsidRPr="00BC0348">
        <w:rPr>
          <w:color w:val="000000" w:themeColor="text1"/>
          <w:sz w:val="18"/>
          <w:szCs w:val="18"/>
          <w:lang w:val="sr-Latn-CS"/>
        </w:rPr>
        <w:t xml:space="preserve"> http://pdf.usaid.gov/pdf_docs/Pnact349.pdf</w:t>
      </w:r>
    </w:p>
  </w:footnote>
  <w:footnote w:id="6">
    <w:p w:rsidR="000818B6" w:rsidRPr="00BC0348" w:rsidRDefault="000818B6" w:rsidP="00F3731A">
      <w:pPr>
        <w:pStyle w:val="FootnoteText"/>
        <w:rPr>
          <w:sz w:val="18"/>
          <w:szCs w:val="18"/>
          <w:lang w:val="sr-Latn-CS"/>
        </w:rPr>
      </w:pPr>
      <w:r w:rsidRPr="00BC0348">
        <w:rPr>
          <w:rStyle w:val="FootnoteReference"/>
          <w:sz w:val="18"/>
          <w:szCs w:val="18"/>
          <w:lang w:val="sr-Latn-CS"/>
        </w:rPr>
        <w:footnoteRef/>
      </w:r>
      <w:r w:rsidRPr="00BC0348">
        <w:rPr>
          <w:sz w:val="18"/>
          <w:szCs w:val="18"/>
          <w:lang w:val="sr-Latn-CS"/>
        </w:rPr>
        <w:t xml:space="preserve"> http://documents.worldbank.org/curated/en/282091494340650708/pdf/Kosovo-SCD-FINAL-May-5-C-05052017.pdf</w:t>
      </w:r>
    </w:p>
  </w:footnote>
  <w:footnote w:id="7">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r w:rsidRPr="00BC0348">
        <w:rPr>
          <w:color w:val="000000" w:themeColor="text1"/>
          <w:sz w:val="18"/>
          <w:szCs w:val="18"/>
          <w:lang w:val="sr-Latn-CS"/>
        </w:rPr>
        <w:t xml:space="preserve"> https://www.cia.gov/library/publications/the-world-factbook/geos/kv.html</w:t>
      </w:r>
    </w:p>
  </w:footnote>
  <w:footnote w:id="8">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r w:rsidRPr="00BC0348">
        <w:rPr>
          <w:color w:val="000000" w:themeColor="text1"/>
          <w:sz w:val="18"/>
          <w:szCs w:val="18"/>
          <w:lang w:val="sr-Latn-CS"/>
        </w:rPr>
        <w:t>Ibid.</w:t>
      </w:r>
    </w:p>
  </w:footnote>
  <w:footnote w:id="9">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r w:rsidRPr="00BC0348">
        <w:rPr>
          <w:color w:val="000000" w:themeColor="text1"/>
          <w:sz w:val="18"/>
          <w:szCs w:val="18"/>
          <w:lang w:val="sr-Latn-CS"/>
        </w:rPr>
        <w:t xml:space="preserve"> https://www.cia.gov/library/publications/the-world-factbook/geos/kv.html</w:t>
      </w:r>
    </w:p>
  </w:footnote>
  <w:footnote w:id="10">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r w:rsidRPr="00BC0348">
        <w:rPr>
          <w:color w:val="000000" w:themeColor="text1"/>
          <w:sz w:val="18"/>
          <w:szCs w:val="18"/>
          <w:lang w:val="sr-Latn-CS"/>
        </w:rPr>
        <w:t xml:space="preserve"> https://www.cia.gov/library/publications/the-world-factbook/geos/kv.html</w:t>
      </w:r>
    </w:p>
  </w:footnote>
  <w:footnote w:id="11">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hyperlink r:id="rId1" w:tgtFrame="_blank" w:history="1">
        <w:r w:rsidRPr="00BC0348">
          <w:rPr>
            <w:rStyle w:val="Hyperlink"/>
            <w:rFonts w:cs="Arial"/>
            <w:color w:val="000000" w:themeColor="text1"/>
            <w:sz w:val="18"/>
            <w:szCs w:val="18"/>
            <w:lang w:val="sr-Latn-CS"/>
          </w:rPr>
          <w:t>http://www.landscapeonline.de/wp-content/uploads/DOI103097-LO201545.pdf</w:t>
        </w:r>
      </w:hyperlink>
    </w:p>
  </w:footnote>
  <w:footnote w:id="12">
    <w:p w:rsidR="000818B6" w:rsidRPr="00BC0348" w:rsidRDefault="000818B6" w:rsidP="00F3731A">
      <w:pPr>
        <w:rPr>
          <w:color w:val="000000" w:themeColor="text1"/>
          <w:sz w:val="18"/>
          <w:szCs w:val="18"/>
          <w:lang w:val="sr-Latn-CS"/>
        </w:rPr>
      </w:pPr>
      <w:r w:rsidRPr="00BC0348">
        <w:rPr>
          <w:rStyle w:val="FootnoteReference"/>
          <w:color w:val="000000" w:themeColor="text1"/>
          <w:sz w:val="18"/>
          <w:szCs w:val="18"/>
          <w:lang w:val="sr-Latn-CS"/>
        </w:rPr>
        <w:footnoteRef/>
      </w:r>
      <w:r w:rsidRPr="00BC0348">
        <w:rPr>
          <w:i/>
          <w:iCs/>
          <w:color w:val="000000" w:themeColor="text1"/>
          <w:sz w:val="18"/>
          <w:szCs w:val="18"/>
          <w:lang w:val="sr-Latn-CS"/>
        </w:rPr>
        <w:t>Biodivezitet i zaštićena područja na Kosovu (dostupna verzija u PDF)</w:t>
      </w:r>
      <w:r w:rsidRPr="00BC0348">
        <w:rPr>
          <w:color w:val="000000" w:themeColor="text1"/>
          <w:sz w:val="18"/>
          <w:szCs w:val="18"/>
          <w:lang w:val="sr-Latn-CS"/>
        </w:rPr>
        <w:t xml:space="preserve">. Dostupno na: </w:t>
      </w:r>
      <w:hyperlink r:id="rId2" w:history="1">
        <w:r w:rsidRPr="00BC0348">
          <w:rPr>
            <w:rStyle w:val="Hyperlink"/>
            <w:color w:val="000000" w:themeColor="text1"/>
            <w:sz w:val="18"/>
            <w:szCs w:val="18"/>
            <w:lang w:val="sr-Latn-CS"/>
          </w:rPr>
          <w:t>https://www.researchgate.net/publication/259368759_Biodiversity_and_Protected_Areas_in_Kosovo</w:t>
        </w:r>
      </w:hyperlink>
      <w:r w:rsidRPr="00BC0348">
        <w:rPr>
          <w:color w:val="000000" w:themeColor="text1"/>
          <w:sz w:val="18"/>
          <w:szCs w:val="18"/>
          <w:lang w:val="sr-Latn-CS"/>
        </w:rPr>
        <w:t xml:space="preserve"> [pristupljeno 26. fb. 2018].</w:t>
      </w:r>
    </w:p>
  </w:footnote>
  <w:footnote w:id="13">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r w:rsidRPr="00BC0348">
        <w:rPr>
          <w:color w:val="000000" w:themeColor="text1"/>
          <w:sz w:val="18"/>
          <w:szCs w:val="18"/>
          <w:lang w:val="sr-Latn-CS"/>
        </w:rPr>
        <w:t xml:space="preserve"> https://www.eea.europa.eu/soer-2015/countries/kosovo</w:t>
      </w:r>
    </w:p>
  </w:footnote>
  <w:footnote w:id="14">
    <w:p w:rsidR="000818B6" w:rsidRPr="00BC0348" w:rsidRDefault="000818B6" w:rsidP="00F3731A">
      <w:pPr>
        <w:pStyle w:val="FootnoteText"/>
        <w:rPr>
          <w:color w:val="000000" w:themeColor="text1"/>
          <w:sz w:val="18"/>
          <w:szCs w:val="18"/>
          <w:lang w:val="sr-Latn-CS"/>
        </w:rPr>
      </w:pPr>
      <w:r w:rsidRPr="00BC0348">
        <w:rPr>
          <w:rStyle w:val="FootnoteReference"/>
          <w:color w:val="000000" w:themeColor="text1"/>
          <w:sz w:val="18"/>
          <w:szCs w:val="18"/>
          <w:lang w:val="sr-Latn-CS"/>
        </w:rPr>
        <w:footnoteRef/>
      </w:r>
      <w:hyperlink r:id="rId3" w:tgtFrame="_blank" w:history="1">
        <w:r w:rsidRPr="00BC0348">
          <w:rPr>
            <w:rStyle w:val="Hyperlink"/>
            <w:rFonts w:cs="Arial"/>
            <w:color w:val="000000" w:themeColor="text1"/>
            <w:sz w:val="18"/>
            <w:szCs w:val="18"/>
            <w:lang w:val="sr-Latn-CS"/>
          </w:rPr>
          <w:t>http://www.landscapeonline.de/wp-content/uploads/DOI103097-LO201545.pdf</w:t>
        </w:r>
      </w:hyperlink>
    </w:p>
  </w:footnote>
  <w:footnote w:id="15">
    <w:p w:rsidR="000818B6" w:rsidRPr="00BC0348" w:rsidRDefault="000818B6" w:rsidP="00F3731A">
      <w:pPr>
        <w:pStyle w:val="FootnoteText"/>
        <w:rPr>
          <w:sz w:val="18"/>
          <w:szCs w:val="18"/>
          <w:lang w:val="sr-Latn-CS"/>
        </w:rPr>
      </w:pPr>
      <w:r w:rsidRPr="00BC0348">
        <w:rPr>
          <w:rStyle w:val="FootnoteReference"/>
          <w:sz w:val="18"/>
          <w:szCs w:val="18"/>
          <w:lang w:val="sr-Latn-CS"/>
        </w:rPr>
        <w:footnoteRef/>
      </w:r>
      <w:hyperlink r:id="rId4" w:tgtFrame="_blank" w:history="1">
        <w:r w:rsidRPr="00BC0348">
          <w:rPr>
            <w:sz w:val="18"/>
            <w:szCs w:val="18"/>
            <w:lang w:val="sr-Latn-CS"/>
          </w:rPr>
          <w:t>http://unesdoc.unesco.org/images/0013/001344/134426e.pdf</w:t>
        </w:r>
      </w:hyperlink>
      <w:r w:rsidRPr="00BC0348">
        <w:rPr>
          <w:sz w:val="18"/>
          <w:szCs w:val="18"/>
          <w:lang w:val="sr-Latn-CS"/>
        </w:rPr>
        <w:t> </w:t>
      </w:r>
    </w:p>
  </w:footnote>
  <w:footnote w:id="16">
    <w:p w:rsidR="000818B6" w:rsidRPr="00BC0348" w:rsidRDefault="000818B6" w:rsidP="00F3731A">
      <w:pPr>
        <w:pStyle w:val="FootnoteText"/>
        <w:rPr>
          <w:rFonts w:cstheme="minorHAnsi"/>
          <w:sz w:val="18"/>
          <w:szCs w:val="18"/>
          <w:lang w:val="sr-Latn-CS"/>
        </w:rPr>
      </w:pPr>
      <w:r w:rsidRPr="00BC0348">
        <w:rPr>
          <w:rStyle w:val="FootnoteReference"/>
          <w:rFonts w:cstheme="minorHAnsi"/>
          <w:sz w:val="18"/>
          <w:szCs w:val="18"/>
          <w:lang w:val="sr-Latn-CS"/>
        </w:rPr>
        <w:footnoteRef/>
      </w:r>
      <w:hyperlink r:id="rId5" w:history="1">
        <w:r w:rsidRPr="00BC0348">
          <w:rPr>
            <w:rStyle w:val="Hyperlink"/>
            <w:rFonts w:cstheme="minorHAnsi"/>
            <w:sz w:val="18"/>
            <w:szCs w:val="18"/>
            <w:lang w:val="sr-Latn-CS"/>
          </w:rPr>
          <w:t>http://documents.worldbank.org/curated/en/282091494340650708/pdf/Kosovo-SCD-FINAL-May-5-C-05052017.pdf</w:t>
        </w:r>
      </w:hyperlink>
    </w:p>
  </w:footnote>
  <w:footnote w:id="17">
    <w:p w:rsidR="000818B6" w:rsidRPr="00BC0348" w:rsidRDefault="000818B6" w:rsidP="00F3731A">
      <w:pPr>
        <w:pStyle w:val="FootnoteText"/>
        <w:rPr>
          <w:rFonts w:cstheme="minorHAnsi"/>
          <w:sz w:val="18"/>
          <w:szCs w:val="18"/>
          <w:lang w:val="sr-Latn-CS"/>
        </w:rPr>
      </w:pPr>
      <w:r w:rsidRPr="00BC0348">
        <w:rPr>
          <w:rStyle w:val="FootnoteReference"/>
          <w:rFonts w:cstheme="minorHAnsi"/>
          <w:sz w:val="18"/>
          <w:szCs w:val="18"/>
          <w:lang w:val="sr-Latn-CS"/>
        </w:rPr>
        <w:footnoteRef/>
      </w:r>
      <w:r w:rsidRPr="00BC0348">
        <w:rPr>
          <w:rFonts w:cstheme="minorHAnsi"/>
          <w:sz w:val="18"/>
          <w:szCs w:val="18"/>
          <w:lang w:val="sr-Latn-CS"/>
        </w:rPr>
        <w:t xml:space="preserve"> Ibid.</w:t>
      </w:r>
    </w:p>
  </w:footnote>
  <w:footnote w:id="18">
    <w:p w:rsidR="000818B6" w:rsidRPr="00BC0348" w:rsidRDefault="000818B6" w:rsidP="00F3731A">
      <w:pPr>
        <w:pStyle w:val="FootnoteText"/>
        <w:rPr>
          <w:lang w:val="sr-Latn-CS"/>
        </w:rPr>
      </w:pPr>
      <w:r w:rsidRPr="00BC0348">
        <w:rPr>
          <w:rStyle w:val="FootnoteReference"/>
          <w:rFonts w:cstheme="minorHAnsi"/>
          <w:sz w:val="18"/>
          <w:szCs w:val="18"/>
          <w:lang w:val="sr-Latn-CS"/>
        </w:rPr>
        <w:footnoteRef/>
      </w:r>
      <w:r w:rsidRPr="00BC0348">
        <w:rPr>
          <w:rFonts w:cstheme="minorHAnsi"/>
          <w:sz w:val="18"/>
          <w:szCs w:val="18"/>
          <w:lang w:val="sr-Latn-CS"/>
        </w:rPr>
        <w:t xml:space="preserve"> Ibid.</w:t>
      </w:r>
    </w:p>
  </w:footnote>
  <w:footnote w:id="19">
    <w:p w:rsidR="000818B6" w:rsidRPr="00BC0348" w:rsidRDefault="000818B6" w:rsidP="00425591">
      <w:pPr>
        <w:pStyle w:val="FootnoteText"/>
        <w:rPr>
          <w:lang w:val="sr-Latn-CS"/>
        </w:rPr>
      </w:pPr>
      <w:r w:rsidRPr="00BC0348">
        <w:rPr>
          <w:rStyle w:val="FootnoteReference"/>
          <w:lang w:val="sr-Latn-CS"/>
        </w:rPr>
        <w:footnoteRef/>
      </w:r>
      <w:r w:rsidRPr="00BC0348">
        <w:rPr>
          <w:lang w:val="sr-Latn-CS"/>
        </w:rPr>
        <w:t>Promene u prethodno odabranim opštinama koje proizlaze iz ove procene ne trebaju dobiti nikakve primedbe od Svetske banke.</w:t>
      </w:r>
    </w:p>
    <w:p w:rsidR="000818B6" w:rsidRPr="00BC0348" w:rsidRDefault="000818B6" w:rsidP="00425591">
      <w:pPr>
        <w:pStyle w:val="FootnoteText"/>
        <w:rPr>
          <w:lang w:val="sr-Latn-CS"/>
        </w:rPr>
      </w:pPr>
    </w:p>
  </w:footnote>
  <w:footnote w:id="20">
    <w:p w:rsidR="000818B6" w:rsidRPr="00BC0348" w:rsidRDefault="000818B6">
      <w:pPr>
        <w:pStyle w:val="FootnoteText"/>
        <w:rPr>
          <w:lang w:val="sr-Latn-CS"/>
        </w:rPr>
      </w:pPr>
      <w:r w:rsidRPr="00BC0348">
        <w:rPr>
          <w:rStyle w:val="FootnoteReference"/>
          <w:lang w:val="sr-Latn-CS"/>
        </w:rPr>
        <w:footnoteRef/>
      </w:r>
      <w:r w:rsidRPr="00BC0348">
        <w:rPr>
          <w:lang w:val="sr-Latn-CS"/>
        </w:rPr>
        <w:t xml:space="preserve"> Jedna četvrtina anketiranih mladih u istraživanju Pulsa javnosti iz 2018. godine pokazala je da je učešće u zajedničkim aktivnostima najbolji način za poboljšanje odnosa kosovskih Srba i kosovskih Albanaca. UNDP Kosovo (2018), Analiza pulsa javnosti</w:t>
      </w:r>
    </w:p>
  </w:footnote>
  <w:footnote w:id="21">
    <w:p w:rsidR="000818B6" w:rsidRPr="00BC0348" w:rsidRDefault="000818B6" w:rsidP="0017764D">
      <w:pPr>
        <w:pStyle w:val="FootnoteText"/>
        <w:rPr>
          <w:lang w:val="sr-Latn-CS"/>
        </w:rPr>
      </w:pPr>
      <w:r w:rsidRPr="00BC0348">
        <w:rPr>
          <w:rStyle w:val="FootnoteReference"/>
          <w:lang w:val="sr-Latn-CS"/>
        </w:rPr>
        <w:footnoteRef/>
      </w:r>
      <w:r w:rsidRPr="00BC0348">
        <w:rPr>
          <w:sz w:val="18"/>
          <w:szCs w:val="18"/>
          <w:lang w:val="sr-Latn-CS"/>
        </w:rPr>
        <w:t>Podizanjem svesti i praktičnih saznanja o klimatskim promenama među ciljanim mladima, projekat podstiče izbor i izradu inicijativa usmerenih na mlade koja uključuje klimatske promene. Primeri mogu obuhvatiti renoviranje infrastrukture pod klimatskim nadzorom ili inicijative za promenu ponašanja (npr. smanjenje čvrstog otpada, energetska efikasnost u stambenom objektu, prevoz bez emisije).</w:t>
      </w:r>
    </w:p>
  </w:footnote>
  <w:footnote w:id="22">
    <w:p w:rsidR="000818B6" w:rsidRPr="00BC0348" w:rsidRDefault="000818B6" w:rsidP="00A35B2B">
      <w:pPr>
        <w:pStyle w:val="FootnoteText"/>
        <w:rPr>
          <w:lang w:val="sr-Latn-CS"/>
        </w:rPr>
      </w:pPr>
      <w:r w:rsidRPr="00BC0348">
        <w:rPr>
          <w:rStyle w:val="FootnoteReference"/>
          <w:lang w:val="sr-Latn-CS"/>
        </w:rPr>
        <w:footnoteRef/>
      </w:r>
      <w:r w:rsidRPr="00BC0348">
        <w:rPr>
          <w:lang w:val="sr-Latn-CS"/>
        </w:rPr>
        <w:t>https://gzk.rks-gov.net/ActDetail.aspx?ActID=2708</w:t>
      </w:r>
    </w:p>
  </w:footnote>
  <w:footnote w:id="23">
    <w:p w:rsidR="000818B6" w:rsidRPr="00BC0348" w:rsidRDefault="000818B6" w:rsidP="00EA52A6">
      <w:pPr>
        <w:pStyle w:val="FootnoteText"/>
        <w:rPr>
          <w:lang w:val="sr-Latn-CS"/>
        </w:rPr>
      </w:pPr>
      <w:r w:rsidRPr="00BC0348">
        <w:rPr>
          <w:rStyle w:val="FootnoteReference"/>
          <w:lang w:val="sr-Latn-CS"/>
        </w:rPr>
        <w:footnoteRef/>
      </w:r>
      <w:r w:rsidRPr="00BC0348">
        <w:rPr>
          <w:lang w:val="sr-Latn-CS"/>
        </w:rPr>
        <w:t xml:space="preserve"> http://www.gazetazyrtare.com/e-gov/index.php?option=com_content&amp;task=view&amp;id=109&amp;Itemid=28&amp;lang=en</w:t>
      </w:r>
    </w:p>
  </w:footnote>
  <w:footnote w:id="24">
    <w:p w:rsidR="000818B6" w:rsidRPr="00BC0348" w:rsidRDefault="000818B6" w:rsidP="00EA52A6">
      <w:pPr>
        <w:pStyle w:val="FootnoteText"/>
        <w:rPr>
          <w:sz w:val="18"/>
          <w:szCs w:val="18"/>
          <w:lang w:val="sr-Latn-CS"/>
        </w:rPr>
      </w:pPr>
      <w:r w:rsidRPr="00BC0348">
        <w:rPr>
          <w:rStyle w:val="FootnoteReference"/>
          <w:sz w:val="18"/>
          <w:szCs w:val="18"/>
          <w:lang w:val="sr-Latn-CS"/>
        </w:rPr>
        <w:footnoteRef/>
      </w:r>
      <w:r w:rsidRPr="00BC0348">
        <w:rPr>
          <w:sz w:val="18"/>
          <w:szCs w:val="18"/>
          <w:lang w:val="sr-Latn-CS"/>
        </w:rPr>
        <w:t xml:space="preserve"> http://www.unmikonline.org/regulations/unmikgazette/02english/E2004regs/RE2004_37_ALE2004_15.pdf</w:t>
      </w:r>
    </w:p>
  </w:footnote>
  <w:footnote w:id="25">
    <w:p w:rsidR="000818B6" w:rsidRPr="00BC0348" w:rsidRDefault="000818B6" w:rsidP="00EA52A6">
      <w:pPr>
        <w:pStyle w:val="FootnoteText"/>
        <w:rPr>
          <w:lang w:val="sr-Latn-CS"/>
        </w:rPr>
      </w:pPr>
      <w:r w:rsidRPr="00BC0348">
        <w:rPr>
          <w:rStyle w:val="FootnoteReference"/>
          <w:lang w:val="sr-Latn-CS"/>
        </w:rPr>
        <w:footnoteRef/>
      </w:r>
      <w:r w:rsidRPr="00BC0348">
        <w:rPr>
          <w:lang w:val="sr-Latn-CS"/>
        </w:rPr>
        <w:t xml:space="preserve"> http://www.gazetazyrtare.com/e-gov/index.php?option=com_content&amp;task=view&amp;id=83&amp;Itemid=28&amp;lang=en</w:t>
      </w:r>
    </w:p>
  </w:footnote>
  <w:footnote w:id="26">
    <w:p w:rsidR="000818B6" w:rsidRPr="00BC0348" w:rsidRDefault="000818B6" w:rsidP="00EA52A6">
      <w:pPr>
        <w:pStyle w:val="FootnoteText"/>
        <w:rPr>
          <w:sz w:val="18"/>
          <w:szCs w:val="18"/>
          <w:lang w:val="sr-Latn-CS"/>
        </w:rPr>
      </w:pPr>
      <w:r w:rsidRPr="00BC0348">
        <w:rPr>
          <w:rStyle w:val="FootnoteReference"/>
          <w:sz w:val="18"/>
          <w:szCs w:val="18"/>
          <w:lang w:val="sr-Latn-CS"/>
        </w:rPr>
        <w:footnoteRef/>
      </w:r>
      <w:r w:rsidRPr="00BC0348">
        <w:rPr>
          <w:sz w:val="18"/>
          <w:szCs w:val="18"/>
          <w:lang w:val="sr-Latn-CS"/>
        </w:rPr>
        <w:t xml:space="preserve"> http://documents.worldbank.org/curated/en/282091494340650708/pdf/Kosovo-SCD-FINAL-May-5-C-05052017.pdf</w:t>
      </w:r>
    </w:p>
  </w:footnote>
  <w:footnote w:id="27">
    <w:p w:rsidR="000818B6" w:rsidRPr="00BC0348" w:rsidRDefault="000818B6" w:rsidP="00EA52A6">
      <w:pPr>
        <w:pStyle w:val="FootnoteText"/>
        <w:rPr>
          <w:sz w:val="18"/>
          <w:szCs w:val="18"/>
          <w:lang w:val="sr-Latn-CS"/>
        </w:rPr>
      </w:pPr>
      <w:r w:rsidRPr="00BC0348">
        <w:rPr>
          <w:rStyle w:val="FootnoteReference"/>
          <w:sz w:val="18"/>
          <w:szCs w:val="18"/>
          <w:lang w:val="sr-Latn-CS"/>
        </w:rPr>
        <w:footnoteRef/>
      </w:r>
      <w:r w:rsidRPr="00BC0348">
        <w:rPr>
          <w:sz w:val="18"/>
          <w:szCs w:val="18"/>
          <w:lang w:val="sr-Latn-CS"/>
        </w:rPr>
        <w:t xml:space="preserve"> http://www.gazetazyrtare.com/e-gov/index.php?option=com_content&amp;task=view&amp;id=268&amp;Itemid=28&amp;lang=en</w:t>
      </w:r>
    </w:p>
  </w:footnote>
  <w:footnote w:id="28">
    <w:p w:rsidR="000818B6" w:rsidRPr="00BC0348" w:rsidRDefault="000818B6" w:rsidP="00EA52A6">
      <w:pPr>
        <w:pStyle w:val="FootnoteText"/>
        <w:rPr>
          <w:lang w:val="sr-Latn-CS"/>
        </w:rPr>
      </w:pPr>
      <w:r w:rsidRPr="00BC0348">
        <w:rPr>
          <w:sz w:val="14"/>
          <w:szCs w:val="14"/>
          <w:lang w:val="sr-Latn-CS"/>
        </w:rPr>
        <w:footnoteRef/>
      </w:r>
      <w:r w:rsidRPr="00BC0348">
        <w:rPr>
          <w:sz w:val="18"/>
          <w:szCs w:val="18"/>
          <w:lang w:val="sr-Latn-CS"/>
        </w:rPr>
        <w:t xml:space="preserve"> http://mkrs-ks.org/repository/docs/eng_strategy_for_heritage.pdf</w:t>
      </w:r>
    </w:p>
  </w:footnote>
  <w:footnote w:id="29">
    <w:p w:rsidR="000818B6" w:rsidRPr="00BC0348" w:rsidRDefault="000818B6">
      <w:pPr>
        <w:pStyle w:val="FootnoteText"/>
        <w:rPr>
          <w:lang w:val="sr-Latn-CS"/>
        </w:rPr>
      </w:pPr>
      <w:r w:rsidRPr="00BC0348">
        <w:rPr>
          <w:rStyle w:val="FootnoteReference"/>
          <w:lang w:val="sr-Latn-CS"/>
        </w:rPr>
        <w:footnoteRef/>
      </w:r>
      <w:r w:rsidRPr="00BC0348">
        <w:rPr>
          <w:lang w:val="sr-Latn-CS"/>
        </w:rPr>
        <w:t xml:space="preserve"> http://mkrs-ks.org/repository/docs/eng_strategy_for_heritage.pdf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AA6"/>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258E7"/>
    <w:multiLevelType w:val="hybridMultilevel"/>
    <w:tmpl w:val="B9E048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7872"/>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4F18"/>
    <w:multiLevelType w:val="hybridMultilevel"/>
    <w:tmpl w:val="C68A2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757BD"/>
    <w:multiLevelType w:val="hybridMultilevel"/>
    <w:tmpl w:val="E252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00D5"/>
    <w:multiLevelType w:val="multilevel"/>
    <w:tmpl w:val="124100D5"/>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ED4740"/>
    <w:multiLevelType w:val="hybridMultilevel"/>
    <w:tmpl w:val="51B2B0FC"/>
    <w:lvl w:ilvl="0" w:tplc="41C450F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903B5"/>
    <w:multiLevelType w:val="hybridMultilevel"/>
    <w:tmpl w:val="C99E446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24C81"/>
    <w:multiLevelType w:val="hybridMultilevel"/>
    <w:tmpl w:val="7F8ECE76"/>
    <w:lvl w:ilvl="0" w:tplc="C8307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6165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B55F2"/>
    <w:multiLevelType w:val="hybridMultilevel"/>
    <w:tmpl w:val="C60EB826"/>
    <w:lvl w:ilvl="0" w:tplc="37CCDE1A">
      <w:numFmt w:val="bullet"/>
      <w:lvlText w:val=""/>
      <w:lvlJc w:val="left"/>
      <w:pPr>
        <w:ind w:left="467" w:hanging="360"/>
      </w:pPr>
      <w:rPr>
        <w:rFonts w:ascii="Symbol" w:eastAsia="Symbol" w:hAnsi="Symbol" w:cs="Symbol" w:hint="default"/>
        <w:w w:val="100"/>
        <w:sz w:val="24"/>
        <w:szCs w:val="24"/>
      </w:rPr>
    </w:lvl>
    <w:lvl w:ilvl="1" w:tplc="05587744">
      <w:numFmt w:val="bullet"/>
      <w:lvlText w:val="•"/>
      <w:lvlJc w:val="left"/>
      <w:pPr>
        <w:ind w:left="881" w:hanging="360"/>
      </w:pPr>
      <w:rPr>
        <w:rFonts w:hint="default"/>
      </w:rPr>
    </w:lvl>
    <w:lvl w:ilvl="2" w:tplc="D9EE09B4">
      <w:numFmt w:val="bullet"/>
      <w:lvlText w:val="•"/>
      <w:lvlJc w:val="left"/>
      <w:pPr>
        <w:ind w:left="1302" w:hanging="360"/>
      </w:pPr>
      <w:rPr>
        <w:rFonts w:hint="default"/>
      </w:rPr>
    </w:lvl>
    <w:lvl w:ilvl="3" w:tplc="7ED07730">
      <w:numFmt w:val="bullet"/>
      <w:lvlText w:val="•"/>
      <w:lvlJc w:val="left"/>
      <w:pPr>
        <w:ind w:left="1723" w:hanging="360"/>
      </w:pPr>
      <w:rPr>
        <w:rFonts w:hint="default"/>
      </w:rPr>
    </w:lvl>
    <w:lvl w:ilvl="4" w:tplc="050C02AE">
      <w:numFmt w:val="bullet"/>
      <w:lvlText w:val="•"/>
      <w:lvlJc w:val="left"/>
      <w:pPr>
        <w:ind w:left="2144" w:hanging="360"/>
      </w:pPr>
      <w:rPr>
        <w:rFonts w:hint="default"/>
      </w:rPr>
    </w:lvl>
    <w:lvl w:ilvl="5" w:tplc="3AFC242E">
      <w:numFmt w:val="bullet"/>
      <w:lvlText w:val="•"/>
      <w:lvlJc w:val="left"/>
      <w:pPr>
        <w:ind w:left="2565" w:hanging="360"/>
      </w:pPr>
      <w:rPr>
        <w:rFonts w:hint="default"/>
      </w:rPr>
    </w:lvl>
    <w:lvl w:ilvl="6" w:tplc="652488D6">
      <w:numFmt w:val="bullet"/>
      <w:lvlText w:val="•"/>
      <w:lvlJc w:val="left"/>
      <w:pPr>
        <w:ind w:left="2986" w:hanging="360"/>
      </w:pPr>
      <w:rPr>
        <w:rFonts w:hint="default"/>
      </w:rPr>
    </w:lvl>
    <w:lvl w:ilvl="7" w:tplc="FBBC282E">
      <w:numFmt w:val="bullet"/>
      <w:lvlText w:val="•"/>
      <w:lvlJc w:val="left"/>
      <w:pPr>
        <w:ind w:left="3407" w:hanging="360"/>
      </w:pPr>
      <w:rPr>
        <w:rFonts w:hint="default"/>
      </w:rPr>
    </w:lvl>
    <w:lvl w:ilvl="8" w:tplc="C67C2A5C">
      <w:numFmt w:val="bullet"/>
      <w:lvlText w:val="•"/>
      <w:lvlJc w:val="left"/>
      <w:pPr>
        <w:ind w:left="3828" w:hanging="360"/>
      </w:pPr>
      <w:rPr>
        <w:rFonts w:hint="default"/>
      </w:rPr>
    </w:lvl>
  </w:abstractNum>
  <w:abstractNum w:abstractNumId="11" w15:restartNumberingAfterBreak="0">
    <w:nsid w:val="1FAB1EA9"/>
    <w:multiLevelType w:val="hybridMultilevel"/>
    <w:tmpl w:val="07B287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20462"/>
    <w:multiLevelType w:val="hybridMultilevel"/>
    <w:tmpl w:val="C434A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8318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B2C0C"/>
    <w:multiLevelType w:val="hybridMultilevel"/>
    <w:tmpl w:val="19BA3FBA"/>
    <w:lvl w:ilvl="0" w:tplc="28C4380C">
      <w:numFmt w:val="bullet"/>
      <w:lvlText w:val="-"/>
      <w:lvlJc w:val="left"/>
      <w:pPr>
        <w:ind w:left="828" w:hanging="360"/>
      </w:pPr>
      <w:rPr>
        <w:rFonts w:ascii="Times New Roman" w:eastAsia="Times New Roman" w:hAnsi="Times New Roman" w:cs="Times New Roman" w:hint="default"/>
        <w:w w:val="100"/>
        <w:sz w:val="22"/>
        <w:szCs w:val="22"/>
      </w:rPr>
    </w:lvl>
    <w:lvl w:ilvl="1" w:tplc="7040D6C6">
      <w:numFmt w:val="bullet"/>
      <w:lvlText w:val="•"/>
      <w:lvlJc w:val="left"/>
      <w:pPr>
        <w:ind w:left="1311" w:hanging="360"/>
      </w:pPr>
      <w:rPr>
        <w:rFonts w:hint="default"/>
      </w:rPr>
    </w:lvl>
    <w:lvl w:ilvl="2" w:tplc="F098C19E">
      <w:numFmt w:val="bullet"/>
      <w:lvlText w:val="•"/>
      <w:lvlJc w:val="left"/>
      <w:pPr>
        <w:ind w:left="1802" w:hanging="360"/>
      </w:pPr>
      <w:rPr>
        <w:rFonts w:hint="default"/>
      </w:rPr>
    </w:lvl>
    <w:lvl w:ilvl="3" w:tplc="3EE6761E">
      <w:numFmt w:val="bullet"/>
      <w:lvlText w:val="•"/>
      <w:lvlJc w:val="left"/>
      <w:pPr>
        <w:ind w:left="2293" w:hanging="360"/>
      </w:pPr>
      <w:rPr>
        <w:rFonts w:hint="default"/>
      </w:rPr>
    </w:lvl>
    <w:lvl w:ilvl="4" w:tplc="C0807E84">
      <w:numFmt w:val="bullet"/>
      <w:lvlText w:val="•"/>
      <w:lvlJc w:val="left"/>
      <w:pPr>
        <w:ind w:left="2785" w:hanging="360"/>
      </w:pPr>
      <w:rPr>
        <w:rFonts w:hint="default"/>
      </w:rPr>
    </w:lvl>
    <w:lvl w:ilvl="5" w:tplc="1BC6DA06">
      <w:numFmt w:val="bullet"/>
      <w:lvlText w:val="•"/>
      <w:lvlJc w:val="left"/>
      <w:pPr>
        <w:ind w:left="3276" w:hanging="360"/>
      </w:pPr>
      <w:rPr>
        <w:rFonts w:hint="default"/>
      </w:rPr>
    </w:lvl>
    <w:lvl w:ilvl="6" w:tplc="D1DC8C98">
      <w:numFmt w:val="bullet"/>
      <w:lvlText w:val="•"/>
      <w:lvlJc w:val="left"/>
      <w:pPr>
        <w:ind w:left="3767" w:hanging="360"/>
      </w:pPr>
      <w:rPr>
        <w:rFonts w:hint="default"/>
      </w:rPr>
    </w:lvl>
    <w:lvl w:ilvl="7" w:tplc="2D56A66C">
      <w:numFmt w:val="bullet"/>
      <w:lvlText w:val="•"/>
      <w:lvlJc w:val="left"/>
      <w:pPr>
        <w:ind w:left="4259" w:hanging="360"/>
      </w:pPr>
      <w:rPr>
        <w:rFonts w:hint="default"/>
      </w:rPr>
    </w:lvl>
    <w:lvl w:ilvl="8" w:tplc="238AEFEC">
      <w:numFmt w:val="bullet"/>
      <w:lvlText w:val="•"/>
      <w:lvlJc w:val="left"/>
      <w:pPr>
        <w:ind w:left="4750" w:hanging="360"/>
      </w:pPr>
      <w:rPr>
        <w:rFonts w:hint="default"/>
      </w:rPr>
    </w:lvl>
  </w:abstractNum>
  <w:abstractNum w:abstractNumId="15" w15:restartNumberingAfterBreak="0">
    <w:nsid w:val="29D50B79"/>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E32E0"/>
    <w:multiLevelType w:val="hybridMultilevel"/>
    <w:tmpl w:val="D1E6FBFE"/>
    <w:lvl w:ilvl="0" w:tplc="7C240E1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439E6"/>
    <w:multiLevelType w:val="multilevel"/>
    <w:tmpl w:val="0C7C4F1A"/>
    <w:lvl w:ilvl="0">
      <w:start w:val="1"/>
      <w:numFmt w:val="none"/>
      <w:pStyle w:val="Heading1a"/>
      <w:suff w:val="nothing"/>
      <w:lvlText w:val="%1"/>
      <w:lvlJc w:val="left"/>
      <w:pPr>
        <w:ind w:left="0" w:firstLine="0"/>
      </w:pPr>
      <w:rPr>
        <w:rFonts w:cs="Times New Roman"/>
      </w:rPr>
    </w:lvl>
    <w:lvl w:ilvl="1">
      <w:start w:val="1"/>
      <w:numFmt w:val="decimal"/>
      <w:pStyle w:val="MainParanoChapter"/>
      <w:lvlText w:val="%2."/>
      <w:lvlJc w:val="left"/>
      <w:pPr>
        <w:tabs>
          <w:tab w:val="num" w:pos="0"/>
        </w:tabs>
        <w:ind w:left="0" w:firstLine="0"/>
      </w:pPr>
      <w:rPr>
        <w:rFonts w:cs="Times New Roman"/>
      </w:rPr>
    </w:lvl>
    <w:lvl w:ilvl="2">
      <w:start w:val="1"/>
      <w:numFmt w:val="lowerLetter"/>
      <w:pStyle w:val="Sub-Para1underX"/>
      <w:lvlText w:val="(%3)"/>
      <w:lvlJc w:val="left"/>
      <w:pPr>
        <w:tabs>
          <w:tab w:val="num" w:pos="1080"/>
        </w:tabs>
        <w:ind w:left="720" w:hanging="360"/>
      </w:pPr>
      <w:rPr>
        <w:rFonts w:cs="Times New Roman"/>
      </w:rPr>
    </w:lvl>
    <w:lvl w:ilvl="3">
      <w:start w:val="1"/>
      <w:numFmt w:val="lowerRoman"/>
      <w:pStyle w:val="Sub-Para2underX"/>
      <w:lvlText w:val="(%4)"/>
      <w:lvlJc w:val="left"/>
      <w:pPr>
        <w:tabs>
          <w:tab w:val="num" w:pos="1800"/>
        </w:tabs>
        <w:ind w:left="1080" w:hanging="360"/>
      </w:pPr>
      <w:rPr>
        <w:rFonts w:cs="Times New Roman"/>
      </w:rPr>
    </w:lvl>
    <w:lvl w:ilvl="4">
      <w:start w:val="1"/>
      <w:numFmt w:val="lowerLetter"/>
      <w:pStyle w:val="Sub-Para3underX"/>
      <w:lvlText w:val="%5."/>
      <w:lvlJc w:val="left"/>
      <w:pPr>
        <w:tabs>
          <w:tab w:val="num" w:pos="1440"/>
        </w:tabs>
        <w:ind w:left="1440" w:hanging="360"/>
      </w:pPr>
      <w:rPr>
        <w:rFonts w:cs="Times New Roman"/>
      </w:rPr>
    </w:lvl>
    <w:lvl w:ilvl="5">
      <w:start w:val="1"/>
      <w:numFmt w:val="lowerRoman"/>
      <w:pStyle w:val="Sub-Para4underX"/>
      <w:lvlText w:val="%6."/>
      <w:lvlJc w:val="left"/>
      <w:pPr>
        <w:tabs>
          <w:tab w:val="num" w:pos="2160"/>
        </w:tabs>
        <w:ind w:left="180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C026758"/>
    <w:multiLevelType w:val="hybridMultilevel"/>
    <w:tmpl w:val="6284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234AD"/>
    <w:multiLevelType w:val="hybridMultilevel"/>
    <w:tmpl w:val="F760BA82"/>
    <w:lvl w:ilvl="0" w:tplc="966E6260">
      <w:numFmt w:val="bullet"/>
      <w:lvlText w:val=""/>
      <w:lvlJc w:val="left"/>
      <w:pPr>
        <w:ind w:left="467" w:hanging="360"/>
      </w:pPr>
      <w:rPr>
        <w:rFonts w:ascii="Symbol" w:eastAsia="Symbol" w:hAnsi="Symbol" w:cs="Symbol" w:hint="default"/>
        <w:w w:val="100"/>
        <w:sz w:val="24"/>
        <w:szCs w:val="24"/>
      </w:rPr>
    </w:lvl>
    <w:lvl w:ilvl="1" w:tplc="84F89FA4">
      <w:numFmt w:val="bullet"/>
      <w:lvlText w:val="•"/>
      <w:lvlJc w:val="left"/>
      <w:pPr>
        <w:ind w:left="881" w:hanging="360"/>
      </w:pPr>
      <w:rPr>
        <w:rFonts w:hint="default"/>
      </w:rPr>
    </w:lvl>
    <w:lvl w:ilvl="2" w:tplc="F3D6139A">
      <w:numFmt w:val="bullet"/>
      <w:lvlText w:val="•"/>
      <w:lvlJc w:val="left"/>
      <w:pPr>
        <w:ind w:left="1302" w:hanging="360"/>
      </w:pPr>
      <w:rPr>
        <w:rFonts w:hint="default"/>
      </w:rPr>
    </w:lvl>
    <w:lvl w:ilvl="3" w:tplc="3782E638">
      <w:numFmt w:val="bullet"/>
      <w:lvlText w:val="•"/>
      <w:lvlJc w:val="left"/>
      <w:pPr>
        <w:ind w:left="1723" w:hanging="360"/>
      </w:pPr>
      <w:rPr>
        <w:rFonts w:hint="default"/>
      </w:rPr>
    </w:lvl>
    <w:lvl w:ilvl="4" w:tplc="6E70446C">
      <w:numFmt w:val="bullet"/>
      <w:lvlText w:val="•"/>
      <w:lvlJc w:val="left"/>
      <w:pPr>
        <w:ind w:left="2144" w:hanging="360"/>
      </w:pPr>
      <w:rPr>
        <w:rFonts w:hint="default"/>
      </w:rPr>
    </w:lvl>
    <w:lvl w:ilvl="5" w:tplc="3676DA38">
      <w:numFmt w:val="bullet"/>
      <w:lvlText w:val="•"/>
      <w:lvlJc w:val="left"/>
      <w:pPr>
        <w:ind w:left="2565" w:hanging="360"/>
      </w:pPr>
      <w:rPr>
        <w:rFonts w:hint="default"/>
      </w:rPr>
    </w:lvl>
    <w:lvl w:ilvl="6" w:tplc="1A466E20">
      <w:numFmt w:val="bullet"/>
      <w:lvlText w:val="•"/>
      <w:lvlJc w:val="left"/>
      <w:pPr>
        <w:ind w:left="2986" w:hanging="360"/>
      </w:pPr>
      <w:rPr>
        <w:rFonts w:hint="default"/>
      </w:rPr>
    </w:lvl>
    <w:lvl w:ilvl="7" w:tplc="56DA6DE2">
      <w:numFmt w:val="bullet"/>
      <w:lvlText w:val="•"/>
      <w:lvlJc w:val="left"/>
      <w:pPr>
        <w:ind w:left="3407" w:hanging="360"/>
      </w:pPr>
      <w:rPr>
        <w:rFonts w:hint="default"/>
      </w:rPr>
    </w:lvl>
    <w:lvl w:ilvl="8" w:tplc="0D2CCD6E">
      <w:numFmt w:val="bullet"/>
      <w:lvlText w:val="•"/>
      <w:lvlJc w:val="left"/>
      <w:pPr>
        <w:ind w:left="3828" w:hanging="360"/>
      </w:pPr>
      <w:rPr>
        <w:rFonts w:hint="default"/>
      </w:rPr>
    </w:lvl>
  </w:abstractNum>
  <w:abstractNum w:abstractNumId="20" w15:restartNumberingAfterBreak="0">
    <w:nsid w:val="3ED0040E"/>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12D13"/>
    <w:multiLevelType w:val="hybridMultilevel"/>
    <w:tmpl w:val="E6306CEA"/>
    <w:lvl w:ilvl="0" w:tplc="04090001">
      <w:start w:val="1"/>
      <w:numFmt w:val="bullet"/>
      <w:lvlText w:val=""/>
      <w:lvlJc w:val="left"/>
      <w:pPr>
        <w:ind w:left="1252" w:hanging="360"/>
      </w:pPr>
      <w:rPr>
        <w:rFonts w:ascii="Symbol" w:hAnsi="Symbol" w:hint="default"/>
      </w:rPr>
    </w:lvl>
    <w:lvl w:ilvl="1" w:tplc="04090003" w:tentative="1">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22" w15:restartNumberingAfterBreak="0">
    <w:nsid w:val="4BE31B6B"/>
    <w:multiLevelType w:val="hybridMultilevel"/>
    <w:tmpl w:val="FAD4205E"/>
    <w:lvl w:ilvl="0" w:tplc="2420513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C36960"/>
    <w:multiLevelType w:val="hybridMultilevel"/>
    <w:tmpl w:val="AF70F236"/>
    <w:lvl w:ilvl="0" w:tplc="83D29EE4">
      <w:numFmt w:val="bullet"/>
      <w:lvlText w:val=""/>
      <w:lvlJc w:val="left"/>
      <w:pPr>
        <w:ind w:left="467" w:hanging="360"/>
      </w:pPr>
      <w:rPr>
        <w:rFonts w:ascii="Symbol" w:eastAsia="Symbol" w:hAnsi="Symbol" w:cs="Symbol" w:hint="default"/>
        <w:w w:val="100"/>
        <w:sz w:val="24"/>
        <w:szCs w:val="24"/>
      </w:rPr>
    </w:lvl>
    <w:lvl w:ilvl="1" w:tplc="04AA34DE">
      <w:numFmt w:val="bullet"/>
      <w:lvlText w:val="•"/>
      <w:lvlJc w:val="left"/>
      <w:pPr>
        <w:ind w:left="773" w:hanging="360"/>
      </w:pPr>
      <w:rPr>
        <w:rFonts w:hint="default"/>
      </w:rPr>
    </w:lvl>
    <w:lvl w:ilvl="2" w:tplc="AE8CB980">
      <w:numFmt w:val="bullet"/>
      <w:lvlText w:val="•"/>
      <w:lvlJc w:val="left"/>
      <w:pPr>
        <w:ind w:left="1086" w:hanging="360"/>
      </w:pPr>
      <w:rPr>
        <w:rFonts w:hint="default"/>
      </w:rPr>
    </w:lvl>
    <w:lvl w:ilvl="3" w:tplc="DF02D54C">
      <w:numFmt w:val="bullet"/>
      <w:lvlText w:val="•"/>
      <w:lvlJc w:val="left"/>
      <w:pPr>
        <w:ind w:left="1399" w:hanging="360"/>
      </w:pPr>
      <w:rPr>
        <w:rFonts w:hint="default"/>
      </w:rPr>
    </w:lvl>
    <w:lvl w:ilvl="4" w:tplc="60F2C2A0">
      <w:numFmt w:val="bullet"/>
      <w:lvlText w:val="•"/>
      <w:lvlJc w:val="left"/>
      <w:pPr>
        <w:ind w:left="1712" w:hanging="360"/>
      </w:pPr>
      <w:rPr>
        <w:rFonts w:hint="default"/>
      </w:rPr>
    </w:lvl>
    <w:lvl w:ilvl="5" w:tplc="EE1A0EE0">
      <w:numFmt w:val="bullet"/>
      <w:lvlText w:val="•"/>
      <w:lvlJc w:val="left"/>
      <w:pPr>
        <w:ind w:left="2025" w:hanging="360"/>
      </w:pPr>
      <w:rPr>
        <w:rFonts w:hint="default"/>
      </w:rPr>
    </w:lvl>
    <w:lvl w:ilvl="6" w:tplc="E4DA2116">
      <w:numFmt w:val="bullet"/>
      <w:lvlText w:val="•"/>
      <w:lvlJc w:val="left"/>
      <w:pPr>
        <w:ind w:left="2338" w:hanging="360"/>
      </w:pPr>
      <w:rPr>
        <w:rFonts w:hint="default"/>
      </w:rPr>
    </w:lvl>
    <w:lvl w:ilvl="7" w:tplc="99D2BC94">
      <w:numFmt w:val="bullet"/>
      <w:lvlText w:val="•"/>
      <w:lvlJc w:val="left"/>
      <w:pPr>
        <w:ind w:left="2651" w:hanging="360"/>
      </w:pPr>
      <w:rPr>
        <w:rFonts w:hint="default"/>
      </w:rPr>
    </w:lvl>
    <w:lvl w:ilvl="8" w:tplc="1046A480">
      <w:numFmt w:val="bullet"/>
      <w:lvlText w:val="•"/>
      <w:lvlJc w:val="left"/>
      <w:pPr>
        <w:ind w:left="2964" w:hanging="360"/>
      </w:pPr>
      <w:rPr>
        <w:rFonts w:hint="default"/>
      </w:rPr>
    </w:lvl>
  </w:abstractNum>
  <w:abstractNum w:abstractNumId="24" w15:restartNumberingAfterBreak="0">
    <w:nsid w:val="5A6A639B"/>
    <w:multiLevelType w:val="hybridMultilevel"/>
    <w:tmpl w:val="0AEC66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D2B7E"/>
    <w:multiLevelType w:val="hybridMultilevel"/>
    <w:tmpl w:val="DF8C865E"/>
    <w:lvl w:ilvl="0" w:tplc="ABB2361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D2643BC"/>
    <w:multiLevelType w:val="hybridMultilevel"/>
    <w:tmpl w:val="54A0EA6E"/>
    <w:lvl w:ilvl="0" w:tplc="495235EA">
      <w:numFmt w:val="bullet"/>
      <w:lvlText w:val=""/>
      <w:lvlJc w:val="left"/>
      <w:pPr>
        <w:ind w:left="467" w:hanging="360"/>
      </w:pPr>
      <w:rPr>
        <w:rFonts w:ascii="Symbol" w:eastAsia="Symbol" w:hAnsi="Symbol" w:cs="Symbol" w:hint="default"/>
        <w:w w:val="100"/>
        <w:sz w:val="24"/>
        <w:szCs w:val="24"/>
      </w:rPr>
    </w:lvl>
    <w:lvl w:ilvl="1" w:tplc="B6CC54D4">
      <w:numFmt w:val="bullet"/>
      <w:lvlText w:val="•"/>
      <w:lvlJc w:val="left"/>
      <w:pPr>
        <w:ind w:left="881" w:hanging="360"/>
      </w:pPr>
      <w:rPr>
        <w:rFonts w:hint="default"/>
      </w:rPr>
    </w:lvl>
    <w:lvl w:ilvl="2" w:tplc="B4EC5A64">
      <w:numFmt w:val="bullet"/>
      <w:lvlText w:val="•"/>
      <w:lvlJc w:val="left"/>
      <w:pPr>
        <w:ind w:left="1302" w:hanging="360"/>
      </w:pPr>
      <w:rPr>
        <w:rFonts w:hint="default"/>
      </w:rPr>
    </w:lvl>
    <w:lvl w:ilvl="3" w:tplc="4B4E6800">
      <w:numFmt w:val="bullet"/>
      <w:lvlText w:val="•"/>
      <w:lvlJc w:val="left"/>
      <w:pPr>
        <w:ind w:left="1723" w:hanging="360"/>
      </w:pPr>
      <w:rPr>
        <w:rFonts w:hint="default"/>
      </w:rPr>
    </w:lvl>
    <w:lvl w:ilvl="4" w:tplc="3E1876D2">
      <w:numFmt w:val="bullet"/>
      <w:lvlText w:val="•"/>
      <w:lvlJc w:val="left"/>
      <w:pPr>
        <w:ind w:left="2144" w:hanging="360"/>
      </w:pPr>
      <w:rPr>
        <w:rFonts w:hint="default"/>
      </w:rPr>
    </w:lvl>
    <w:lvl w:ilvl="5" w:tplc="BA0E5866">
      <w:numFmt w:val="bullet"/>
      <w:lvlText w:val="•"/>
      <w:lvlJc w:val="left"/>
      <w:pPr>
        <w:ind w:left="2565" w:hanging="360"/>
      </w:pPr>
      <w:rPr>
        <w:rFonts w:hint="default"/>
      </w:rPr>
    </w:lvl>
    <w:lvl w:ilvl="6" w:tplc="A6382902">
      <w:numFmt w:val="bullet"/>
      <w:lvlText w:val="•"/>
      <w:lvlJc w:val="left"/>
      <w:pPr>
        <w:ind w:left="2986" w:hanging="360"/>
      </w:pPr>
      <w:rPr>
        <w:rFonts w:hint="default"/>
      </w:rPr>
    </w:lvl>
    <w:lvl w:ilvl="7" w:tplc="98E62972">
      <w:numFmt w:val="bullet"/>
      <w:lvlText w:val="•"/>
      <w:lvlJc w:val="left"/>
      <w:pPr>
        <w:ind w:left="3407" w:hanging="360"/>
      </w:pPr>
      <w:rPr>
        <w:rFonts w:hint="default"/>
      </w:rPr>
    </w:lvl>
    <w:lvl w:ilvl="8" w:tplc="69008B7E">
      <w:numFmt w:val="bullet"/>
      <w:lvlText w:val="•"/>
      <w:lvlJc w:val="left"/>
      <w:pPr>
        <w:ind w:left="3828" w:hanging="360"/>
      </w:pPr>
      <w:rPr>
        <w:rFonts w:hint="default"/>
      </w:rPr>
    </w:lvl>
  </w:abstractNum>
  <w:abstractNum w:abstractNumId="27" w15:restartNumberingAfterBreak="0">
    <w:nsid w:val="5F947EB3"/>
    <w:multiLevelType w:val="hybridMultilevel"/>
    <w:tmpl w:val="FE92EFFA"/>
    <w:lvl w:ilvl="0" w:tplc="0DA6E9B6">
      <w:start w:val="1"/>
      <w:numFmt w:val="lowerLetter"/>
      <w:lvlText w:val="(%1)"/>
      <w:lvlJc w:val="left"/>
      <w:pPr>
        <w:ind w:left="0" w:hanging="350"/>
      </w:pPr>
      <w:rPr>
        <w:rFonts w:ascii="Arial" w:eastAsia="Arial" w:hAnsi="Arial" w:cs="Arial" w:hint="default"/>
        <w:spacing w:val="-1"/>
        <w:w w:val="86"/>
        <w:sz w:val="22"/>
        <w:szCs w:val="22"/>
      </w:rPr>
    </w:lvl>
    <w:lvl w:ilvl="1" w:tplc="805E1C82">
      <w:numFmt w:val="bullet"/>
      <w:lvlText w:val="•"/>
      <w:lvlJc w:val="left"/>
      <w:pPr>
        <w:ind w:left="948" w:hanging="350"/>
      </w:pPr>
      <w:rPr>
        <w:rFonts w:hint="default"/>
      </w:rPr>
    </w:lvl>
    <w:lvl w:ilvl="2" w:tplc="0674C924">
      <w:numFmt w:val="bullet"/>
      <w:lvlText w:val="•"/>
      <w:lvlJc w:val="left"/>
      <w:pPr>
        <w:ind w:left="1896" w:hanging="350"/>
      </w:pPr>
      <w:rPr>
        <w:rFonts w:hint="default"/>
      </w:rPr>
    </w:lvl>
    <w:lvl w:ilvl="3" w:tplc="EF7056F0">
      <w:numFmt w:val="bullet"/>
      <w:lvlText w:val="•"/>
      <w:lvlJc w:val="left"/>
      <w:pPr>
        <w:ind w:left="2844" w:hanging="350"/>
      </w:pPr>
      <w:rPr>
        <w:rFonts w:hint="default"/>
      </w:rPr>
    </w:lvl>
    <w:lvl w:ilvl="4" w:tplc="86E6CD20">
      <w:numFmt w:val="bullet"/>
      <w:lvlText w:val="•"/>
      <w:lvlJc w:val="left"/>
      <w:pPr>
        <w:ind w:left="3792" w:hanging="350"/>
      </w:pPr>
      <w:rPr>
        <w:rFonts w:hint="default"/>
      </w:rPr>
    </w:lvl>
    <w:lvl w:ilvl="5" w:tplc="BF383DF8">
      <w:numFmt w:val="bullet"/>
      <w:lvlText w:val="•"/>
      <w:lvlJc w:val="left"/>
      <w:pPr>
        <w:ind w:left="4740" w:hanging="350"/>
      </w:pPr>
      <w:rPr>
        <w:rFonts w:hint="default"/>
      </w:rPr>
    </w:lvl>
    <w:lvl w:ilvl="6" w:tplc="B80415F8">
      <w:numFmt w:val="bullet"/>
      <w:lvlText w:val="•"/>
      <w:lvlJc w:val="left"/>
      <w:pPr>
        <w:ind w:left="5688" w:hanging="350"/>
      </w:pPr>
      <w:rPr>
        <w:rFonts w:hint="default"/>
      </w:rPr>
    </w:lvl>
    <w:lvl w:ilvl="7" w:tplc="138AE4CE">
      <w:numFmt w:val="bullet"/>
      <w:lvlText w:val="•"/>
      <w:lvlJc w:val="left"/>
      <w:pPr>
        <w:ind w:left="6636" w:hanging="350"/>
      </w:pPr>
      <w:rPr>
        <w:rFonts w:hint="default"/>
      </w:rPr>
    </w:lvl>
    <w:lvl w:ilvl="8" w:tplc="4134DCDC">
      <w:numFmt w:val="bullet"/>
      <w:lvlText w:val="•"/>
      <w:lvlJc w:val="left"/>
      <w:pPr>
        <w:ind w:left="7584" w:hanging="350"/>
      </w:pPr>
      <w:rPr>
        <w:rFonts w:hint="default"/>
      </w:rPr>
    </w:lvl>
  </w:abstractNum>
  <w:abstractNum w:abstractNumId="28" w15:restartNumberingAfterBreak="0">
    <w:nsid w:val="64CA5D9E"/>
    <w:multiLevelType w:val="hybridMultilevel"/>
    <w:tmpl w:val="79AC20F0"/>
    <w:lvl w:ilvl="0" w:tplc="DA266216">
      <w:numFmt w:val="bullet"/>
      <w:lvlText w:val=""/>
      <w:lvlJc w:val="left"/>
      <w:pPr>
        <w:ind w:left="467" w:hanging="360"/>
      </w:pPr>
      <w:rPr>
        <w:rFonts w:ascii="Symbol" w:eastAsia="Symbol" w:hAnsi="Symbol" w:cs="Symbol" w:hint="default"/>
        <w:w w:val="100"/>
        <w:sz w:val="24"/>
        <w:szCs w:val="24"/>
      </w:rPr>
    </w:lvl>
    <w:lvl w:ilvl="1" w:tplc="68DE9294">
      <w:numFmt w:val="bullet"/>
      <w:lvlText w:val="•"/>
      <w:lvlJc w:val="left"/>
      <w:pPr>
        <w:ind w:left="773" w:hanging="360"/>
      </w:pPr>
      <w:rPr>
        <w:rFonts w:hint="default"/>
      </w:rPr>
    </w:lvl>
    <w:lvl w:ilvl="2" w:tplc="B798BA3A">
      <w:numFmt w:val="bullet"/>
      <w:lvlText w:val="•"/>
      <w:lvlJc w:val="left"/>
      <w:pPr>
        <w:ind w:left="1086" w:hanging="360"/>
      </w:pPr>
      <w:rPr>
        <w:rFonts w:hint="default"/>
      </w:rPr>
    </w:lvl>
    <w:lvl w:ilvl="3" w:tplc="D258FBA8">
      <w:numFmt w:val="bullet"/>
      <w:lvlText w:val="•"/>
      <w:lvlJc w:val="left"/>
      <w:pPr>
        <w:ind w:left="1399" w:hanging="360"/>
      </w:pPr>
      <w:rPr>
        <w:rFonts w:hint="default"/>
      </w:rPr>
    </w:lvl>
    <w:lvl w:ilvl="4" w:tplc="FDAC70BE">
      <w:numFmt w:val="bullet"/>
      <w:lvlText w:val="•"/>
      <w:lvlJc w:val="left"/>
      <w:pPr>
        <w:ind w:left="1712" w:hanging="360"/>
      </w:pPr>
      <w:rPr>
        <w:rFonts w:hint="default"/>
      </w:rPr>
    </w:lvl>
    <w:lvl w:ilvl="5" w:tplc="A4B89F9C">
      <w:numFmt w:val="bullet"/>
      <w:lvlText w:val="•"/>
      <w:lvlJc w:val="left"/>
      <w:pPr>
        <w:ind w:left="2025" w:hanging="360"/>
      </w:pPr>
      <w:rPr>
        <w:rFonts w:hint="default"/>
      </w:rPr>
    </w:lvl>
    <w:lvl w:ilvl="6" w:tplc="8F3C696C">
      <w:numFmt w:val="bullet"/>
      <w:lvlText w:val="•"/>
      <w:lvlJc w:val="left"/>
      <w:pPr>
        <w:ind w:left="2338" w:hanging="360"/>
      </w:pPr>
      <w:rPr>
        <w:rFonts w:hint="default"/>
      </w:rPr>
    </w:lvl>
    <w:lvl w:ilvl="7" w:tplc="BAB2B21E">
      <w:numFmt w:val="bullet"/>
      <w:lvlText w:val="•"/>
      <w:lvlJc w:val="left"/>
      <w:pPr>
        <w:ind w:left="2651" w:hanging="360"/>
      </w:pPr>
      <w:rPr>
        <w:rFonts w:hint="default"/>
      </w:rPr>
    </w:lvl>
    <w:lvl w:ilvl="8" w:tplc="D7905B22">
      <w:numFmt w:val="bullet"/>
      <w:lvlText w:val="•"/>
      <w:lvlJc w:val="left"/>
      <w:pPr>
        <w:ind w:left="2964" w:hanging="360"/>
      </w:pPr>
      <w:rPr>
        <w:rFonts w:hint="default"/>
      </w:rPr>
    </w:lvl>
  </w:abstractNum>
  <w:abstractNum w:abstractNumId="29" w15:restartNumberingAfterBreak="0">
    <w:nsid w:val="661172C5"/>
    <w:multiLevelType w:val="hybridMultilevel"/>
    <w:tmpl w:val="07B287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329D3"/>
    <w:multiLevelType w:val="hybridMultilevel"/>
    <w:tmpl w:val="6616EB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E3DBC"/>
    <w:multiLevelType w:val="hybridMultilevel"/>
    <w:tmpl w:val="2F009752"/>
    <w:lvl w:ilvl="0" w:tplc="A3F0986A">
      <w:numFmt w:val="bullet"/>
      <w:lvlText w:val=""/>
      <w:lvlJc w:val="left"/>
      <w:pPr>
        <w:ind w:left="467" w:hanging="360"/>
      </w:pPr>
      <w:rPr>
        <w:rFonts w:ascii="Symbol" w:eastAsia="Symbol" w:hAnsi="Symbol" w:cs="Symbol" w:hint="default"/>
        <w:w w:val="100"/>
        <w:sz w:val="24"/>
        <w:szCs w:val="24"/>
      </w:rPr>
    </w:lvl>
    <w:lvl w:ilvl="1" w:tplc="946C928E">
      <w:numFmt w:val="bullet"/>
      <w:lvlText w:val="•"/>
      <w:lvlJc w:val="left"/>
      <w:pPr>
        <w:ind w:left="773" w:hanging="360"/>
      </w:pPr>
      <w:rPr>
        <w:rFonts w:hint="default"/>
      </w:rPr>
    </w:lvl>
    <w:lvl w:ilvl="2" w:tplc="C9649B88">
      <w:numFmt w:val="bullet"/>
      <w:lvlText w:val="•"/>
      <w:lvlJc w:val="left"/>
      <w:pPr>
        <w:ind w:left="1086" w:hanging="360"/>
      </w:pPr>
      <w:rPr>
        <w:rFonts w:hint="default"/>
      </w:rPr>
    </w:lvl>
    <w:lvl w:ilvl="3" w:tplc="1F4E6570">
      <w:numFmt w:val="bullet"/>
      <w:lvlText w:val="•"/>
      <w:lvlJc w:val="left"/>
      <w:pPr>
        <w:ind w:left="1399" w:hanging="360"/>
      </w:pPr>
      <w:rPr>
        <w:rFonts w:hint="default"/>
      </w:rPr>
    </w:lvl>
    <w:lvl w:ilvl="4" w:tplc="FE94226A">
      <w:numFmt w:val="bullet"/>
      <w:lvlText w:val="•"/>
      <w:lvlJc w:val="left"/>
      <w:pPr>
        <w:ind w:left="1712" w:hanging="360"/>
      </w:pPr>
      <w:rPr>
        <w:rFonts w:hint="default"/>
      </w:rPr>
    </w:lvl>
    <w:lvl w:ilvl="5" w:tplc="AB3E07B4">
      <w:numFmt w:val="bullet"/>
      <w:lvlText w:val="•"/>
      <w:lvlJc w:val="left"/>
      <w:pPr>
        <w:ind w:left="2025" w:hanging="360"/>
      </w:pPr>
      <w:rPr>
        <w:rFonts w:hint="default"/>
      </w:rPr>
    </w:lvl>
    <w:lvl w:ilvl="6" w:tplc="E3420CAE">
      <w:numFmt w:val="bullet"/>
      <w:lvlText w:val="•"/>
      <w:lvlJc w:val="left"/>
      <w:pPr>
        <w:ind w:left="2338" w:hanging="360"/>
      </w:pPr>
      <w:rPr>
        <w:rFonts w:hint="default"/>
      </w:rPr>
    </w:lvl>
    <w:lvl w:ilvl="7" w:tplc="BF4C6A84">
      <w:numFmt w:val="bullet"/>
      <w:lvlText w:val="•"/>
      <w:lvlJc w:val="left"/>
      <w:pPr>
        <w:ind w:left="2651" w:hanging="360"/>
      </w:pPr>
      <w:rPr>
        <w:rFonts w:hint="default"/>
      </w:rPr>
    </w:lvl>
    <w:lvl w:ilvl="8" w:tplc="CB68E54A">
      <w:numFmt w:val="bullet"/>
      <w:lvlText w:val="•"/>
      <w:lvlJc w:val="left"/>
      <w:pPr>
        <w:ind w:left="2964" w:hanging="360"/>
      </w:pPr>
      <w:rPr>
        <w:rFonts w:hint="default"/>
      </w:rPr>
    </w:lvl>
  </w:abstractNum>
  <w:abstractNum w:abstractNumId="32" w15:restartNumberingAfterBreak="0">
    <w:nsid w:val="72BF5796"/>
    <w:multiLevelType w:val="hybridMultilevel"/>
    <w:tmpl w:val="DDC0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64FD7"/>
    <w:multiLevelType w:val="multilevel"/>
    <w:tmpl w:val="82CAE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867554"/>
    <w:multiLevelType w:val="hybridMultilevel"/>
    <w:tmpl w:val="BCDA9402"/>
    <w:lvl w:ilvl="0" w:tplc="8648FCE2">
      <w:numFmt w:val="bullet"/>
      <w:lvlText w:val=""/>
      <w:lvlJc w:val="left"/>
      <w:pPr>
        <w:ind w:left="467" w:hanging="360"/>
      </w:pPr>
      <w:rPr>
        <w:rFonts w:ascii="Symbol" w:eastAsia="Symbol" w:hAnsi="Symbol" w:cs="Symbol" w:hint="default"/>
        <w:w w:val="100"/>
        <w:sz w:val="24"/>
        <w:szCs w:val="24"/>
      </w:rPr>
    </w:lvl>
    <w:lvl w:ilvl="1" w:tplc="0E4CFA12">
      <w:numFmt w:val="bullet"/>
      <w:lvlText w:val="•"/>
      <w:lvlJc w:val="left"/>
      <w:pPr>
        <w:ind w:left="881" w:hanging="360"/>
      </w:pPr>
      <w:rPr>
        <w:rFonts w:hint="default"/>
      </w:rPr>
    </w:lvl>
    <w:lvl w:ilvl="2" w:tplc="0E30B400">
      <w:numFmt w:val="bullet"/>
      <w:lvlText w:val="•"/>
      <w:lvlJc w:val="left"/>
      <w:pPr>
        <w:ind w:left="1302" w:hanging="360"/>
      </w:pPr>
      <w:rPr>
        <w:rFonts w:hint="default"/>
      </w:rPr>
    </w:lvl>
    <w:lvl w:ilvl="3" w:tplc="F7A4D8B2">
      <w:numFmt w:val="bullet"/>
      <w:lvlText w:val="•"/>
      <w:lvlJc w:val="left"/>
      <w:pPr>
        <w:ind w:left="1723" w:hanging="360"/>
      </w:pPr>
      <w:rPr>
        <w:rFonts w:hint="default"/>
      </w:rPr>
    </w:lvl>
    <w:lvl w:ilvl="4" w:tplc="CE4A68DA">
      <w:numFmt w:val="bullet"/>
      <w:lvlText w:val="•"/>
      <w:lvlJc w:val="left"/>
      <w:pPr>
        <w:ind w:left="2144" w:hanging="360"/>
      </w:pPr>
      <w:rPr>
        <w:rFonts w:hint="default"/>
      </w:rPr>
    </w:lvl>
    <w:lvl w:ilvl="5" w:tplc="CF8CD15E">
      <w:numFmt w:val="bullet"/>
      <w:lvlText w:val="•"/>
      <w:lvlJc w:val="left"/>
      <w:pPr>
        <w:ind w:left="2565" w:hanging="360"/>
      </w:pPr>
      <w:rPr>
        <w:rFonts w:hint="default"/>
      </w:rPr>
    </w:lvl>
    <w:lvl w:ilvl="6" w:tplc="B06EF5F0">
      <w:numFmt w:val="bullet"/>
      <w:lvlText w:val="•"/>
      <w:lvlJc w:val="left"/>
      <w:pPr>
        <w:ind w:left="2986" w:hanging="360"/>
      </w:pPr>
      <w:rPr>
        <w:rFonts w:hint="default"/>
      </w:rPr>
    </w:lvl>
    <w:lvl w:ilvl="7" w:tplc="9170ECBC">
      <w:numFmt w:val="bullet"/>
      <w:lvlText w:val="•"/>
      <w:lvlJc w:val="left"/>
      <w:pPr>
        <w:ind w:left="3407" w:hanging="360"/>
      </w:pPr>
      <w:rPr>
        <w:rFonts w:hint="default"/>
      </w:rPr>
    </w:lvl>
    <w:lvl w:ilvl="8" w:tplc="B1B4F73C">
      <w:numFmt w:val="bullet"/>
      <w:lvlText w:val="•"/>
      <w:lvlJc w:val="left"/>
      <w:pPr>
        <w:ind w:left="3828" w:hanging="360"/>
      </w:pPr>
      <w:rPr>
        <w:rFonts w:hint="default"/>
      </w:rPr>
    </w:lvl>
  </w:abstractNum>
  <w:num w:numId="1">
    <w:abstractNumId w:val="27"/>
  </w:num>
  <w:num w:numId="2">
    <w:abstractNumId w:val="14"/>
  </w:num>
  <w:num w:numId="3">
    <w:abstractNumId w:val="26"/>
  </w:num>
  <w:num w:numId="4">
    <w:abstractNumId w:val="31"/>
  </w:num>
  <w:num w:numId="5">
    <w:abstractNumId w:val="34"/>
  </w:num>
  <w:num w:numId="6">
    <w:abstractNumId w:val="28"/>
  </w:num>
  <w:num w:numId="7">
    <w:abstractNumId w:val="19"/>
  </w:num>
  <w:num w:numId="8">
    <w:abstractNumId w:val="23"/>
  </w:num>
  <w:num w:numId="9">
    <w:abstractNumId w:val="10"/>
  </w:num>
  <w:num w:numId="10">
    <w:abstractNumId w:val="33"/>
  </w:num>
  <w:num w:numId="11">
    <w:abstractNumId w:val="18"/>
  </w:num>
  <w:num w:numId="12">
    <w:abstractNumId w:val="4"/>
  </w:num>
  <w:num w:numId="13">
    <w:abstractNumId w:val="25"/>
  </w:num>
  <w:num w:numId="14">
    <w:abstractNumId w:val="3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1"/>
  </w:num>
  <w:num w:numId="18">
    <w:abstractNumId w:val="22"/>
  </w:num>
  <w:num w:numId="19">
    <w:abstractNumId w:val="24"/>
  </w:num>
  <w:num w:numId="20">
    <w:abstractNumId w:val="29"/>
  </w:num>
  <w:num w:numId="21">
    <w:abstractNumId w:val="12"/>
  </w:num>
  <w:num w:numId="22">
    <w:abstractNumId w:val="1"/>
  </w:num>
  <w:num w:numId="23">
    <w:abstractNumId w:val="6"/>
  </w:num>
  <w:num w:numId="24">
    <w:abstractNumId w:val="9"/>
  </w:num>
  <w:num w:numId="25">
    <w:abstractNumId w:val="13"/>
  </w:num>
  <w:num w:numId="26">
    <w:abstractNumId w:val="2"/>
  </w:num>
  <w:num w:numId="27">
    <w:abstractNumId w:val="15"/>
  </w:num>
  <w:num w:numId="28">
    <w:abstractNumId w:val="8"/>
  </w:num>
  <w:num w:numId="29">
    <w:abstractNumId w:val="11"/>
  </w:num>
  <w:num w:numId="30">
    <w:abstractNumId w:val="16"/>
  </w:num>
  <w:num w:numId="31">
    <w:abstractNumId w:val="7"/>
  </w:num>
  <w:num w:numId="32">
    <w:abstractNumId w:val="20"/>
  </w:num>
  <w:num w:numId="33">
    <w:abstractNumId w:val="0"/>
  </w:num>
  <w:num w:numId="34">
    <w:abstractNumId w:val="30"/>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1A"/>
    <w:rsid w:val="00002910"/>
    <w:rsid w:val="000051FB"/>
    <w:rsid w:val="000109E6"/>
    <w:rsid w:val="0001393E"/>
    <w:rsid w:val="00037293"/>
    <w:rsid w:val="000452C7"/>
    <w:rsid w:val="000706F2"/>
    <w:rsid w:val="00075B23"/>
    <w:rsid w:val="000818B6"/>
    <w:rsid w:val="00091B29"/>
    <w:rsid w:val="00096DA7"/>
    <w:rsid w:val="000A417E"/>
    <w:rsid w:val="000A5EBA"/>
    <w:rsid w:val="000C548C"/>
    <w:rsid w:val="000E6C63"/>
    <w:rsid w:val="000F4C33"/>
    <w:rsid w:val="0010029B"/>
    <w:rsid w:val="00103B13"/>
    <w:rsid w:val="0012262F"/>
    <w:rsid w:val="0013476A"/>
    <w:rsid w:val="00143951"/>
    <w:rsid w:val="00147953"/>
    <w:rsid w:val="00175B16"/>
    <w:rsid w:val="00176C8C"/>
    <w:rsid w:val="0017764D"/>
    <w:rsid w:val="00184B63"/>
    <w:rsid w:val="001A6BE3"/>
    <w:rsid w:val="001B3820"/>
    <w:rsid w:val="001C4673"/>
    <w:rsid w:val="001D2DDE"/>
    <w:rsid w:val="001D6BA0"/>
    <w:rsid w:val="001E57CF"/>
    <w:rsid w:val="00210BE8"/>
    <w:rsid w:val="00213F4D"/>
    <w:rsid w:val="002179CD"/>
    <w:rsid w:val="0022433F"/>
    <w:rsid w:val="00235318"/>
    <w:rsid w:val="0025449D"/>
    <w:rsid w:val="00261257"/>
    <w:rsid w:val="002822ED"/>
    <w:rsid w:val="002A24C8"/>
    <w:rsid w:val="002B31CC"/>
    <w:rsid w:val="002C2F4A"/>
    <w:rsid w:val="002C3F40"/>
    <w:rsid w:val="002C442E"/>
    <w:rsid w:val="002D77A5"/>
    <w:rsid w:val="002F73D8"/>
    <w:rsid w:val="00324656"/>
    <w:rsid w:val="0033295F"/>
    <w:rsid w:val="00340E58"/>
    <w:rsid w:val="00373965"/>
    <w:rsid w:val="00375E26"/>
    <w:rsid w:val="00383FBC"/>
    <w:rsid w:val="00390FC9"/>
    <w:rsid w:val="003B22BD"/>
    <w:rsid w:val="003B276C"/>
    <w:rsid w:val="003B3244"/>
    <w:rsid w:val="003C113B"/>
    <w:rsid w:val="003D1682"/>
    <w:rsid w:val="003E0727"/>
    <w:rsid w:val="00400AFF"/>
    <w:rsid w:val="00421FBE"/>
    <w:rsid w:val="00425591"/>
    <w:rsid w:val="00450201"/>
    <w:rsid w:val="00464487"/>
    <w:rsid w:val="00464A32"/>
    <w:rsid w:val="00471C7B"/>
    <w:rsid w:val="004A1C66"/>
    <w:rsid w:val="004A7FAE"/>
    <w:rsid w:val="004B1524"/>
    <w:rsid w:val="004B3B6E"/>
    <w:rsid w:val="004D1C25"/>
    <w:rsid w:val="004E269A"/>
    <w:rsid w:val="004E37BC"/>
    <w:rsid w:val="004F17BA"/>
    <w:rsid w:val="00506444"/>
    <w:rsid w:val="00510D01"/>
    <w:rsid w:val="00515762"/>
    <w:rsid w:val="00525D8B"/>
    <w:rsid w:val="00531B0D"/>
    <w:rsid w:val="00580ED9"/>
    <w:rsid w:val="00593338"/>
    <w:rsid w:val="005A539A"/>
    <w:rsid w:val="005C5D10"/>
    <w:rsid w:val="005E03DF"/>
    <w:rsid w:val="00615EF0"/>
    <w:rsid w:val="00627140"/>
    <w:rsid w:val="00656EC9"/>
    <w:rsid w:val="006A2BAA"/>
    <w:rsid w:val="006A50D2"/>
    <w:rsid w:val="006C528D"/>
    <w:rsid w:val="006C73F8"/>
    <w:rsid w:val="006C775B"/>
    <w:rsid w:val="006D13DF"/>
    <w:rsid w:val="006E48E8"/>
    <w:rsid w:val="00704791"/>
    <w:rsid w:val="00710482"/>
    <w:rsid w:val="00720143"/>
    <w:rsid w:val="007247E1"/>
    <w:rsid w:val="00725FCA"/>
    <w:rsid w:val="00726220"/>
    <w:rsid w:val="00732172"/>
    <w:rsid w:val="0073525C"/>
    <w:rsid w:val="00740DBF"/>
    <w:rsid w:val="00766C16"/>
    <w:rsid w:val="00781EB3"/>
    <w:rsid w:val="00792FB6"/>
    <w:rsid w:val="00794C8F"/>
    <w:rsid w:val="007A2553"/>
    <w:rsid w:val="007B0F91"/>
    <w:rsid w:val="007B24AB"/>
    <w:rsid w:val="007C2266"/>
    <w:rsid w:val="007C712A"/>
    <w:rsid w:val="008160B0"/>
    <w:rsid w:val="0083389E"/>
    <w:rsid w:val="0083420C"/>
    <w:rsid w:val="00860B0B"/>
    <w:rsid w:val="0087453B"/>
    <w:rsid w:val="00880331"/>
    <w:rsid w:val="008A4E45"/>
    <w:rsid w:val="008C5096"/>
    <w:rsid w:val="008C5E26"/>
    <w:rsid w:val="008D3789"/>
    <w:rsid w:val="008D70DE"/>
    <w:rsid w:val="0090008B"/>
    <w:rsid w:val="00922FF3"/>
    <w:rsid w:val="009522EF"/>
    <w:rsid w:val="00967B8D"/>
    <w:rsid w:val="00995EEB"/>
    <w:rsid w:val="009A7E16"/>
    <w:rsid w:val="009B76B8"/>
    <w:rsid w:val="009C58FA"/>
    <w:rsid w:val="00A228B2"/>
    <w:rsid w:val="00A27D76"/>
    <w:rsid w:val="00A3567A"/>
    <w:rsid w:val="00A35B2B"/>
    <w:rsid w:val="00A42A8C"/>
    <w:rsid w:val="00A44F23"/>
    <w:rsid w:val="00A61082"/>
    <w:rsid w:val="00A64F52"/>
    <w:rsid w:val="00A65283"/>
    <w:rsid w:val="00A65679"/>
    <w:rsid w:val="00A66CBE"/>
    <w:rsid w:val="00A81EDB"/>
    <w:rsid w:val="00A822C5"/>
    <w:rsid w:val="00A966AA"/>
    <w:rsid w:val="00AA54A5"/>
    <w:rsid w:val="00AC7499"/>
    <w:rsid w:val="00AF0B1D"/>
    <w:rsid w:val="00B415AE"/>
    <w:rsid w:val="00B64EAB"/>
    <w:rsid w:val="00B7005F"/>
    <w:rsid w:val="00B811C0"/>
    <w:rsid w:val="00B8231E"/>
    <w:rsid w:val="00B934EF"/>
    <w:rsid w:val="00BA37CB"/>
    <w:rsid w:val="00BC0348"/>
    <w:rsid w:val="00BC1E13"/>
    <w:rsid w:val="00BC6E77"/>
    <w:rsid w:val="00BD789F"/>
    <w:rsid w:val="00BF6562"/>
    <w:rsid w:val="00BF70D1"/>
    <w:rsid w:val="00C002D4"/>
    <w:rsid w:val="00C01594"/>
    <w:rsid w:val="00C1751A"/>
    <w:rsid w:val="00C402AC"/>
    <w:rsid w:val="00C4259D"/>
    <w:rsid w:val="00C65FB5"/>
    <w:rsid w:val="00C8558B"/>
    <w:rsid w:val="00CA1B56"/>
    <w:rsid w:val="00CB016C"/>
    <w:rsid w:val="00CF37A6"/>
    <w:rsid w:val="00CF67C9"/>
    <w:rsid w:val="00D0540A"/>
    <w:rsid w:val="00D12E20"/>
    <w:rsid w:val="00D40759"/>
    <w:rsid w:val="00D60135"/>
    <w:rsid w:val="00D64B25"/>
    <w:rsid w:val="00D73821"/>
    <w:rsid w:val="00D76A6C"/>
    <w:rsid w:val="00DB55EB"/>
    <w:rsid w:val="00DC5A28"/>
    <w:rsid w:val="00DD4620"/>
    <w:rsid w:val="00DD68FE"/>
    <w:rsid w:val="00DD7A50"/>
    <w:rsid w:val="00DE5F4A"/>
    <w:rsid w:val="00DF687E"/>
    <w:rsid w:val="00E42F92"/>
    <w:rsid w:val="00E431E9"/>
    <w:rsid w:val="00E572EF"/>
    <w:rsid w:val="00E616AD"/>
    <w:rsid w:val="00E704A7"/>
    <w:rsid w:val="00E92CC1"/>
    <w:rsid w:val="00EA52A6"/>
    <w:rsid w:val="00EA7588"/>
    <w:rsid w:val="00EB6AB6"/>
    <w:rsid w:val="00ED221C"/>
    <w:rsid w:val="00EE203A"/>
    <w:rsid w:val="00EF0E9D"/>
    <w:rsid w:val="00EF352F"/>
    <w:rsid w:val="00F02681"/>
    <w:rsid w:val="00F05E79"/>
    <w:rsid w:val="00F3731A"/>
    <w:rsid w:val="00F37CAB"/>
    <w:rsid w:val="00F417EB"/>
    <w:rsid w:val="00F47D66"/>
    <w:rsid w:val="00F52652"/>
    <w:rsid w:val="00F76423"/>
    <w:rsid w:val="00F954F4"/>
    <w:rsid w:val="00F9615B"/>
    <w:rsid w:val="00FB5EF1"/>
    <w:rsid w:val="00FD6B16"/>
    <w:rsid w:val="00FD74B0"/>
    <w:rsid w:val="00FE270D"/>
    <w:rsid w:val="00FE7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93849D1-8BC3-4FCC-B256-02364EB1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1A"/>
    <w:rPr>
      <w:lang w:val="en-GB"/>
    </w:rPr>
  </w:style>
  <w:style w:type="paragraph" w:styleId="Heading1">
    <w:name w:val="heading 1"/>
    <w:basedOn w:val="Normal"/>
    <w:link w:val="Heading1Char"/>
    <w:uiPriority w:val="1"/>
    <w:qFormat/>
    <w:rsid w:val="00F3731A"/>
    <w:pPr>
      <w:widowControl w:val="0"/>
      <w:autoSpaceDE w:val="0"/>
      <w:autoSpaceDN w:val="0"/>
      <w:spacing w:before="23" w:after="0" w:line="240" w:lineRule="auto"/>
      <w:ind w:left="840"/>
      <w:outlineLvl w:val="0"/>
    </w:pPr>
    <w:rPr>
      <w:rFonts w:ascii="Times New Roman" w:eastAsia="Trebuchet MS" w:hAnsi="Times New Roman" w:cs="Trebuchet MS"/>
      <w:b/>
      <w:sz w:val="28"/>
      <w:szCs w:val="32"/>
      <w:lang w:val="en-US"/>
    </w:rPr>
  </w:style>
  <w:style w:type="paragraph" w:styleId="Heading2">
    <w:name w:val="heading 2"/>
    <w:basedOn w:val="Normal"/>
    <w:link w:val="Heading2Char"/>
    <w:uiPriority w:val="1"/>
    <w:qFormat/>
    <w:rsid w:val="00F3731A"/>
    <w:pPr>
      <w:widowControl w:val="0"/>
      <w:autoSpaceDE w:val="0"/>
      <w:autoSpaceDN w:val="0"/>
      <w:spacing w:after="0" w:line="240" w:lineRule="auto"/>
      <w:ind w:left="460"/>
      <w:outlineLvl w:val="1"/>
    </w:pPr>
    <w:rPr>
      <w:rFonts w:ascii="Times New Roman" w:eastAsia="Times New Roman" w:hAnsi="Times New Roman" w:cs="Times New Roman"/>
      <w:b/>
      <w:bCs/>
      <w:sz w:val="26"/>
      <w:szCs w:val="24"/>
      <w:lang w:val="en-US"/>
    </w:rPr>
  </w:style>
  <w:style w:type="paragraph" w:styleId="Heading3">
    <w:name w:val="heading 3"/>
    <w:basedOn w:val="Normal"/>
    <w:link w:val="Heading3Char"/>
    <w:uiPriority w:val="1"/>
    <w:qFormat/>
    <w:rsid w:val="00F3731A"/>
    <w:pPr>
      <w:widowControl w:val="0"/>
      <w:autoSpaceDE w:val="0"/>
      <w:autoSpaceDN w:val="0"/>
      <w:spacing w:before="1" w:after="0" w:line="240" w:lineRule="auto"/>
      <w:ind w:left="840"/>
      <w:jc w:val="both"/>
      <w:outlineLvl w:val="2"/>
    </w:pPr>
    <w:rPr>
      <w:rFonts w:ascii="Times New Roman" w:eastAsia="Trebuchet MS" w:hAnsi="Times New Roman" w:cs="Trebuchet MS"/>
      <w:b/>
      <w:sz w:val="24"/>
      <w:szCs w:val="24"/>
      <w:lang w:val="en-US"/>
    </w:rPr>
  </w:style>
  <w:style w:type="paragraph" w:styleId="Heading4">
    <w:name w:val="heading 4"/>
    <w:basedOn w:val="Normal"/>
    <w:link w:val="Heading4Char"/>
    <w:uiPriority w:val="1"/>
    <w:qFormat/>
    <w:rsid w:val="00F3731A"/>
    <w:pPr>
      <w:widowControl w:val="0"/>
      <w:autoSpaceDE w:val="0"/>
      <w:autoSpaceDN w:val="0"/>
      <w:spacing w:after="0" w:line="240" w:lineRule="auto"/>
      <w:ind w:left="840"/>
      <w:outlineLvl w:val="3"/>
    </w:pPr>
    <w:rPr>
      <w:rFonts w:ascii="Trebuchet MS" w:eastAsia="Trebuchet MS" w:hAnsi="Trebuchet MS" w:cs="Trebuchet MS"/>
      <w:b/>
      <w:bCs/>
      <w:lang w:val="en-US"/>
    </w:rPr>
  </w:style>
  <w:style w:type="paragraph" w:styleId="Heading5">
    <w:name w:val="heading 5"/>
    <w:basedOn w:val="Normal"/>
    <w:link w:val="Heading5Char"/>
    <w:uiPriority w:val="1"/>
    <w:qFormat/>
    <w:rsid w:val="00F3731A"/>
    <w:pPr>
      <w:widowControl w:val="0"/>
      <w:autoSpaceDE w:val="0"/>
      <w:autoSpaceDN w:val="0"/>
      <w:spacing w:after="0" w:line="240" w:lineRule="auto"/>
      <w:ind w:left="840"/>
      <w:jc w:val="both"/>
      <w:outlineLvl w:val="4"/>
    </w:pPr>
    <w:rPr>
      <w:rFonts w:ascii="Arial" w:eastAsia="Arial" w:hAnsi="Arial" w:cs="Arial"/>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731A"/>
    <w:rPr>
      <w:rFonts w:ascii="Times New Roman" w:eastAsia="Trebuchet MS" w:hAnsi="Times New Roman" w:cs="Trebuchet MS"/>
      <w:b/>
      <w:sz w:val="28"/>
      <w:szCs w:val="32"/>
      <w:lang w:val="en-US"/>
    </w:rPr>
  </w:style>
  <w:style w:type="character" w:customStyle="1" w:styleId="Heading2Char">
    <w:name w:val="Heading 2 Char"/>
    <w:basedOn w:val="DefaultParagraphFont"/>
    <w:link w:val="Heading2"/>
    <w:uiPriority w:val="1"/>
    <w:rsid w:val="00F3731A"/>
    <w:rPr>
      <w:rFonts w:ascii="Times New Roman" w:eastAsia="Times New Roman" w:hAnsi="Times New Roman" w:cs="Times New Roman"/>
      <w:b/>
      <w:bCs/>
      <w:sz w:val="26"/>
      <w:szCs w:val="24"/>
      <w:lang w:val="en-US"/>
    </w:rPr>
  </w:style>
  <w:style w:type="character" w:customStyle="1" w:styleId="Heading3Char">
    <w:name w:val="Heading 3 Char"/>
    <w:basedOn w:val="DefaultParagraphFont"/>
    <w:link w:val="Heading3"/>
    <w:uiPriority w:val="1"/>
    <w:rsid w:val="00F3731A"/>
    <w:rPr>
      <w:rFonts w:ascii="Times New Roman" w:eastAsia="Trebuchet MS" w:hAnsi="Times New Roman" w:cs="Trebuchet MS"/>
      <w:b/>
      <w:sz w:val="24"/>
      <w:szCs w:val="24"/>
      <w:lang w:val="en-US"/>
    </w:rPr>
  </w:style>
  <w:style w:type="character" w:customStyle="1" w:styleId="Heading4Char">
    <w:name w:val="Heading 4 Char"/>
    <w:basedOn w:val="DefaultParagraphFont"/>
    <w:link w:val="Heading4"/>
    <w:uiPriority w:val="1"/>
    <w:rsid w:val="00F3731A"/>
    <w:rPr>
      <w:rFonts w:ascii="Trebuchet MS" w:eastAsia="Trebuchet MS" w:hAnsi="Trebuchet MS" w:cs="Trebuchet MS"/>
      <w:b/>
      <w:bCs/>
      <w:lang w:val="en-US"/>
    </w:rPr>
  </w:style>
  <w:style w:type="character" w:customStyle="1" w:styleId="Heading5Char">
    <w:name w:val="Heading 5 Char"/>
    <w:basedOn w:val="DefaultParagraphFont"/>
    <w:link w:val="Heading5"/>
    <w:uiPriority w:val="1"/>
    <w:rsid w:val="00F3731A"/>
    <w:rPr>
      <w:rFonts w:ascii="Arial" w:eastAsia="Arial" w:hAnsi="Arial" w:cs="Arial"/>
      <w:b/>
      <w:bCs/>
      <w:i/>
      <w:lang w:val="en-US"/>
    </w:rPr>
  </w:style>
  <w:style w:type="paragraph" w:styleId="TOC1">
    <w:name w:val="toc 1"/>
    <w:basedOn w:val="Normal"/>
    <w:uiPriority w:val="39"/>
    <w:qFormat/>
    <w:rsid w:val="00F3731A"/>
    <w:pPr>
      <w:widowControl w:val="0"/>
      <w:autoSpaceDE w:val="0"/>
      <w:autoSpaceDN w:val="0"/>
      <w:spacing w:after="0" w:line="240" w:lineRule="auto"/>
      <w:ind w:left="840"/>
    </w:pPr>
    <w:rPr>
      <w:rFonts w:ascii="Times New Roman" w:eastAsia="Times New Roman" w:hAnsi="Times New Roman" w:cs="Times New Roman"/>
      <w:sz w:val="24"/>
      <w:szCs w:val="24"/>
      <w:lang w:val="en-US"/>
    </w:rPr>
  </w:style>
  <w:style w:type="paragraph" w:styleId="TOC2">
    <w:name w:val="toc 2"/>
    <w:basedOn w:val="Normal"/>
    <w:uiPriority w:val="39"/>
    <w:qFormat/>
    <w:rsid w:val="00F3731A"/>
    <w:pPr>
      <w:widowControl w:val="0"/>
      <w:autoSpaceDE w:val="0"/>
      <w:autoSpaceDN w:val="0"/>
      <w:spacing w:after="0" w:line="240" w:lineRule="auto"/>
      <w:ind w:left="1060"/>
    </w:pPr>
    <w:rPr>
      <w:rFonts w:ascii="Times New Roman" w:eastAsia="Times New Roman" w:hAnsi="Times New Roman" w:cs="Times New Roman"/>
      <w:sz w:val="24"/>
      <w:szCs w:val="24"/>
      <w:lang w:val="en-US"/>
    </w:rPr>
  </w:style>
  <w:style w:type="paragraph" w:styleId="TOC3">
    <w:name w:val="toc 3"/>
    <w:basedOn w:val="Normal"/>
    <w:uiPriority w:val="39"/>
    <w:qFormat/>
    <w:rsid w:val="00F3731A"/>
    <w:pPr>
      <w:widowControl w:val="0"/>
      <w:autoSpaceDE w:val="0"/>
      <w:autoSpaceDN w:val="0"/>
      <w:spacing w:after="0" w:line="240" w:lineRule="auto"/>
      <w:ind w:left="1279"/>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F3731A"/>
    <w:pPr>
      <w:widowControl w:val="0"/>
      <w:autoSpaceDE w:val="0"/>
      <w:autoSpaceDN w:val="0"/>
      <w:spacing w:after="0" w:line="240" w:lineRule="auto"/>
      <w:jc w:val="both"/>
    </w:pPr>
    <w:rPr>
      <w:rFonts w:ascii="Times New Roman" w:eastAsia="Arial" w:hAnsi="Times New Roman" w:cs="Arial"/>
      <w:lang w:val="en-US"/>
    </w:rPr>
  </w:style>
  <w:style w:type="character" w:customStyle="1" w:styleId="BodyTextChar">
    <w:name w:val="Body Text Char"/>
    <w:basedOn w:val="DefaultParagraphFont"/>
    <w:link w:val="BodyText"/>
    <w:uiPriority w:val="1"/>
    <w:rsid w:val="00F3731A"/>
    <w:rPr>
      <w:rFonts w:ascii="Times New Roman" w:eastAsia="Arial" w:hAnsi="Times New Roman" w:cs="Arial"/>
      <w:lang w:val="en-US"/>
    </w:rPr>
  </w:style>
  <w:style w:type="paragraph" w:styleId="ListParagraph">
    <w:name w:val="List Paragraph"/>
    <w:aliases w:val="List Paragraph (numbered (a)) Char,List Paragraph Char Char Char,List Paragraph (numbered (a)),List Paragraph1,Numbered List Paragraph,Main numbered paragraph,Use Case List Paragraph,IBL List Paragraph,Paragraph,Resume Title,Citation List"/>
    <w:basedOn w:val="Normal"/>
    <w:link w:val="ListParagraphChar"/>
    <w:uiPriority w:val="99"/>
    <w:qFormat/>
    <w:rsid w:val="00F3731A"/>
    <w:pPr>
      <w:widowControl w:val="0"/>
      <w:autoSpaceDE w:val="0"/>
      <w:autoSpaceDN w:val="0"/>
      <w:spacing w:before="120" w:after="0" w:line="240" w:lineRule="auto"/>
      <w:ind w:left="892" w:hanging="360"/>
    </w:pPr>
    <w:rPr>
      <w:rFonts w:ascii="Times New Roman" w:eastAsia="Times New Roman" w:hAnsi="Times New Roman" w:cs="Times New Roman"/>
      <w:lang w:val="en-US"/>
    </w:rPr>
  </w:style>
  <w:style w:type="paragraph" w:customStyle="1" w:styleId="TableParagraph">
    <w:name w:val="Table Paragraph"/>
    <w:basedOn w:val="Normal"/>
    <w:uiPriority w:val="1"/>
    <w:qFormat/>
    <w:rsid w:val="00F3731A"/>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59"/>
    <w:rsid w:val="00F3731A"/>
    <w:pPr>
      <w:numPr>
        <w:numId w:val="24"/>
      </w:numPr>
      <w:tabs>
        <w:tab w:val="num" w:pos="720"/>
      </w:tabs>
      <w:spacing w:after="0" w:line="240" w:lineRule="auto"/>
      <w:ind w:hanging="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D,ALTS FOOTNOTE,FOOTNOTES,Footnote Text Char Char Char Char Char Char,Footnote Text Char1,Footnote Text Char2 Char Char,Footnote Text Char3 Char,Testo_note,Testo_note1,Testo_note2,f,fn,footnote text,ft,ft Char1 Char Char Char,single space"/>
    <w:basedOn w:val="Normal"/>
    <w:link w:val="FootnoteTextChar"/>
    <w:uiPriority w:val="99"/>
    <w:unhideWhenUsed/>
    <w:qFormat/>
    <w:rsid w:val="00F3731A"/>
    <w:pPr>
      <w:spacing w:after="0" w:line="240" w:lineRule="auto"/>
    </w:pPr>
    <w:rPr>
      <w:sz w:val="20"/>
      <w:szCs w:val="20"/>
      <w:lang w:val="en-US"/>
    </w:rPr>
  </w:style>
  <w:style w:type="character" w:customStyle="1" w:styleId="FootnoteTextChar">
    <w:name w:val="Footnote Text Char"/>
    <w:aliases w:val="AD Char,ALTS FOOTNOTE Char,FOOTNOTES Char,Footnote Text Char Char Char Char Char Char Char,Footnote Text Char1 Char,Footnote Text Char2 Char Char Char,Footnote Text Char3 Char Char,Testo_note Char,Testo_note1 Char,Testo_note2 Char"/>
    <w:basedOn w:val="DefaultParagraphFont"/>
    <w:link w:val="FootnoteText"/>
    <w:uiPriority w:val="99"/>
    <w:rsid w:val="00F3731A"/>
    <w:rPr>
      <w:sz w:val="20"/>
      <w:szCs w:val="20"/>
      <w:lang w:val="en-US"/>
    </w:rPr>
  </w:style>
  <w:style w:type="character" w:styleId="FootnoteReference">
    <w:name w:val="footnote reference"/>
    <w:aliases w:val="16 Point,FO,Footnote Reference Number,Footnote Reference Superscript,Footnote Reference_LVL6,Footnote Reference_LVL61,Footnote Reference_LVL62,Footnote Reference_LVL63,Footnote symbol,R,Ref,Superscript 6 Point,fr,ftref,Знак сноски-FN"/>
    <w:basedOn w:val="DefaultParagraphFont"/>
    <w:link w:val="BVIfnrCarCar"/>
    <w:uiPriority w:val="99"/>
    <w:unhideWhenUsed/>
    <w:qFormat/>
    <w:rsid w:val="00F3731A"/>
    <w:rPr>
      <w:vertAlign w:val="superscript"/>
    </w:rPr>
  </w:style>
  <w:style w:type="paragraph" w:customStyle="1" w:styleId="BVIfnrCarCar">
    <w:name w:val="BVI fnr Car Car"/>
    <w:aliases w:val=" BVI fnr Car Car Car Car Char,BVI fnr Car,BVI fnr Car Car Car Car Char"/>
    <w:basedOn w:val="Normal"/>
    <w:link w:val="FootnoteReference"/>
    <w:uiPriority w:val="99"/>
    <w:rsid w:val="00F3731A"/>
    <w:pPr>
      <w:spacing w:line="240" w:lineRule="exact"/>
    </w:pPr>
    <w:rPr>
      <w:vertAlign w:val="superscript"/>
      <w:lang w:val="sq-AL"/>
    </w:rPr>
  </w:style>
  <w:style w:type="character" w:customStyle="1" w:styleId="ListParagraphChar">
    <w:name w:val="List Paragraph Char"/>
    <w:aliases w:val="List Paragraph (numbered (a)) Char Char,List Paragraph Char Char Char Char,List Paragraph (numbered (a)) Char1,List Paragraph1 Char,Numbered List Paragraph Char,Main numbered paragraph Char,Use Case List Paragraph Char,Paragraph Char"/>
    <w:link w:val="ListParagraph"/>
    <w:uiPriority w:val="99"/>
    <w:qFormat/>
    <w:locked/>
    <w:rsid w:val="00F3731A"/>
    <w:rPr>
      <w:rFonts w:ascii="Times New Roman" w:eastAsia="Times New Roman" w:hAnsi="Times New Roman" w:cs="Times New Roman"/>
      <w:lang w:val="en-US"/>
    </w:rPr>
  </w:style>
  <w:style w:type="table" w:customStyle="1" w:styleId="TableGrid3">
    <w:name w:val="Table Grid3"/>
    <w:basedOn w:val="TableNormal"/>
    <w:next w:val="TableGrid"/>
    <w:uiPriority w:val="39"/>
    <w:rsid w:val="00F373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31A"/>
    <w:rPr>
      <w:color w:val="0563C1" w:themeColor="hyperlink"/>
      <w:u w:val="single"/>
    </w:rPr>
  </w:style>
  <w:style w:type="paragraph" w:styleId="Footer">
    <w:name w:val="footer"/>
    <w:basedOn w:val="Normal"/>
    <w:link w:val="FooterChar"/>
    <w:uiPriority w:val="99"/>
    <w:unhideWhenUsed/>
    <w:rsid w:val="00F3731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731A"/>
    <w:rPr>
      <w:lang w:val="en-US"/>
    </w:rPr>
  </w:style>
  <w:style w:type="paragraph" w:customStyle="1" w:styleId="Normal86">
    <w:name w:val="Normal_86"/>
    <w:qFormat/>
    <w:rsid w:val="00F3731A"/>
    <w:rPr>
      <w:lang w:val="en-US"/>
    </w:rPr>
  </w:style>
  <w:style w:type="table" w:customStyle="1" w:styleId="TableGrid11129">
    <w:name w:val="Table Grid111_29"/>
    <w:basedOn w:val="TableNormal"/>
    <w:next w:val="TableNormal"/>
    <w:uiPriority w:val="39"/>
    <w:rsid w:val="00F373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1">
    <w:name w:val="Normal_31"/>
    <w:qFormat/>
    <w:rsid w:val="00F3731A"/>
    <w:pPr>
      <w:spacing w:line="256" w:lineRule="auto"/>
    </w:pPr>
    <w:rPr>
      <w:lang w:val="en-US"/>
    </w:rPr>
  </w:style>
  <w:style w:type="paragraph" w:styleId="BodyTextIndent">
    <w:name w:val="Body Text Indent"/>
    <w:basedOn w:val="Normal"/>
    <w:link w:val="BodyTextIndentChar"/>
    <w:uiPriority w:val="99"/>
    <w:semiHidden/>
    <w:unhideWhenUsed/>
    <w:rsid w:val="00F3731A"/>
    <w:pPr>
      <w:widowControl w:val="0"/>
      <w:autoSpaceDE w:val="0"/>
      <w:autoSpaceDN w:val="0"/>
      <w:spacing w:after="120" w:line="240" w:lineRule="auto"/>
      <w:ind w:left="283"/>
    </w:pPr>
    <w:rPr>
      <w:rFonts w:ascii="Arial" w:eastAsia="Arial" w:hAnsi="Arial" w:cs="Arial"/>
      <w:lang w:val="en-US"/>
    </w:rPr>
  </w:style>
  <w:style w:type="character" w:customStyle="1" w:styleId="BodyTextIndentChar">
    <w:name w:val="Body Text Indent Char"/>
    <w:basedOn w:val="DefaultParagraphFont"/>
    <w:link w:val="BodyTextIndent"/>
    <w:uiPriority w:val="99"/>
    <w:semiHidden/>
    <w:rsid w:val="00F3731A"/>
    <w:rPr>
      <w:rFonts w:ascii="Arial" w:eastAsia="Arial" w:hAnsi="Arial" w:cs="Arial"/>
      <w:lang w:val="en-US"/>
    </w:rPr>
  </w:style>
  <w:style w:type="paragraph" w:styleId="BalloonText">
    <w:name w:val="Balloon Text"/>
    <w:basedOn w:val="Normal"/>
    <w:link w:val="BalloonTextChar"/>
    <w:uiPriority w:val="99"/>
    <w:semiHidden/>
    <w:unhideWhenUsed/>
    <w:rsid w:val="00F3731A"/>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F3731A"/>
    <w:rPr>
      <w:rFonts w:ascii="Segoe UI" w:eastAsia="Arial" w:hAnsi="Segoe UI" w:cs="Segoe UI"/>
      <w:sz w:val="18"/>
      <w:szCs w:val="18"/>
      <w:lang w:val="en-US"/>
    </w:rPr>
  </w:style>
  <w:style w:type="paragraph" w:styleId="Header">
    <w:name w:val="header"/>
    <w:basedOn w:val="Normal"/>
    <w:link w:val="HeaderChar"/>
    <w:uiPriority w:val="99"/>
    <w:unhideWhenUsed/>
    <w:rsid w:val="00F3731A"/>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F3731A"/>
    <w:rPr>
      <w:rFonts w:ascii="Arial" w:eastAsia="Arial" w:hAnsi="Arial" w:cs="Arial"/>
      <w:lang w:val="en-US"/>
    </w:rPr>
  </w:style>
  <w:style w:type="paragraph" w:styleId="TOCHeading">
    <w:name w:val="TOC Heading"/>
    <w:basedOn w:val="Heading1"/>
    <w:next w:val="Normal"/>
    <w:uiPriority w:val="39"/>
    <w:unhideWhenUsed/>
    <w:qFormat/>
    <w:rsid w:val="00F3731A"/>
    <w:pPr>
      <w:keepNext/>
      <w:keepLines/>
      <w:widowControl/>
      <w:autoSpaceDE/>
      <w:autoSpaceDN/>
      <w:spacing w:before="240" w:line="259" w:lineRule="auto"/>
      <w:ind w:left="0"/>
      <w:outlineLvl w:val="9"/>
    </w:pPr>
    <w:rPr>
      <w:rFonts w:asciiTheme="majorHAnsi" w:eastAsiaTheme="majorEastAsia" w:hAnsiTheme="majorHAnsi" w:cstheme="majorBidi"/>
      <w:b w:val="0"/>
      <w:color w:val="2E74B5" w:themeColor="accent1" w:themeShade="BF"/>
      <w:sz w:val="32"/>
    </w:rPr>
  </w:style>
  <w:style w:type="character" w:styleId="CommentReference">
    <w:name w:val="annotation reference"/>
    <w:basedOn w:val="DefaultParagraphFont"/>
    <w:uiPriority w:val="99"/>
    <w:semiHidden/>
    <w:unhideWhenUsed/>
    <w:rsid w:val="00F3731A"/>
    <w:rPr>
      <w:sz w:val="16"/>
      <w:szCs w:val="16"/>
    </w:rPr>
  </w:style>
  <w:style w:type="paragraph" w:styleId="CommentText">
    <w:name w:val="annotation text"/>
    <w:basedOn w:val="Normal"/>
    <w:link w:val="CommentTextChar"/>
    <w:uiPriority w:val="99"/>
    <w:semiHidden/>
    <w:unhideWhenUsed/>
    <w:rsid w:val="00F3731A"/>
    <w:pPr>
      <w:spacing w:line="240" w:lineRule="auto"/>
    </w:pPr>
    <w:rPr>
      <w:sz w:val="20"/>
      <w:szCs w:val="20"/>
    </w:rPr>
  </w:style>
  <w:style w:type="character" w:customStyle="1" w:styleId="CommentTextChar">
    <w:name w:val="Comment Text Char"/>
    <w:basedOn w:val="DefaultParagraphFont"/>
    <w:link w:val="CommentText"/>
    <w:uiPriority w:val="99"/>
    <w:semiHidden/>
    <w:rsid w:val="00F3731A"/>
    <w:rPr>
      <w:sz w:val="20"/>
      <w:szCs w:val="20"/>
      <w:lang w:val="en-GB"/>
    </w:rPr>
  </w:style>
  <w:style w:type="paragraph" w:styleId="CommentSubject">
    <w:name w:val="annotation subject"/>
    <w:basedOn w:val="CommentText"/>
    <w:next w:val="CommentText"/>
    <w:link w:val="CommentSubjectChar"/>
    <w:uiPriority w:val="99"/>
    <w:semiHidden/>
    <w:unhideWhenUsed/>
    <w:rsid w:val="00F3731A"/>
    <w:rPr>
      <w:b/>
      <w:bCs/>
    </w:rPr>
  </w:style>
  <w:style w:type="character" w:customStyle="1" w:styleId="CommentSubjectChar">
    <w:name w:val="Comment Subject Char"/>
    <w:basedOn w:val="CommentTextChar"/>
    <w:link w:val="CommentSubject"/>
    <w:uiPriority w:val="99"/>
    <w:semiHidden/>
    <w:rsid w:val="00F3731A"/>
    <w:rPr>
      <w:b/>
      <w:bCs/>
      <w:sz w:val="20"/>
      <w:szCs w:val="20"/>
      <w:lang w:val="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F3731A"/>
    <w:pPr>
      <w:spacing w:line="240" w:lineRule="exact"/>
    </w:pPr>
    <w:rPr>
      <w:rFonts w:eastAsia="Times New Roman"/>
      <w:sz w:val="24"/>
      <w:szCs w:val="24"/>
      <w:vertAlign w:val="superscript"/>
      <w:lang w:val="en-US"/>
    </w:rPr>
  </w:style>
  <w:style w:type="paragraph" w:customStyle="1" w:styleId="Heading1a">
    <w:name w:val="Heading 1a"/>
    <w:basedOn w:val="Normal"/>
    <w:next w:val="Normal"/>
    <w:uiPriority w:val="99"/>
    <w:rsid w:val="00F3731A"/>
    <w:pPr>
      <w:keepNext/>
      <w:keepLines/>
      <w:numPr>
        <w:numId w:val="15"/>
      </w:numPr>
      <w:spacing w:before="1440" w:after="240" w:line="240" w:lineRule="auto"/>
      <w:jc w:val="center"/>
      <w:outlineLvl w:val="0"/>
    </w:pPr>
    <w:rPr>
      <w:rFonts w:ascii="Times New Roman" w:eastAsia="Times New Roman" w:hAnsi="Times New Roman" w:cs="Times New Roman"/>
      <w:b/>
      <w:caps/>
      <w:sz w:val="32"/>
      <w:szCs w:val="24"/>
      <w:lang w:val="en-US"/>
    </w:rPr>
  </w:style>
  <w:style w:type="character" w:customStyle="1" w:styleId="MainParanoChapterCharChar1">
    <w:name w:val="Main Para no Chapter # Char Char1"/>
    <w:basedOn w:val="DefaultParagraphFont"/>
    <w:link w:val="MainParanoChapter"/>
    <w:uiPriority w:val="99"/>
    <w:locked/>
    <w:rsid w:val="00F3731A"/>
    <w:rPr>
      <w:rFonts w:ascii="Times New Roman" w:eastAsia="Times New Roman" w:hAnsi="Times New Roman" w:cs="Times New Roman"/>
      <w:sz w:val="24"/>
      <w:szCs w:val="24"/>
    </w:rPr>
  </w:style>
  <w:style w:type="paragraph" w:customStyle="1" w:styleId="MainParanoChapter">
    <w:name w:val="Main Para no Chapter #"/>
    <w:basedOn w:val="Normal"/>
    <w:link w:val="MainParanoChapterCharChar1"/>
    <w:uiPriority w:val="99"/>
    <w:rsid w:val="00F3731A"/>
    <w:pPr>
      <w:numPr>
        <w:ilvl w:val="1"/>
        <w:numId w:val="15"/>
      </w:numPr>
      <w:spacing w:after="240" w:line="240" w:lineRule="auto"/>
      <w:outlineLvl w:val="1"/>
    </w:pPr>
    <w:rPr>
      <w:rFonts w:ascii="Times New Roman" w:eastAsia="Times New Roman" w:hAnsi="Times New Roman" w:cs="Times New Roman"/>
      <w:sz w:val="24"/>
      <w:szCs w:val="24"/>
      <w:lang w:val="sq-AL"/>
    </w:rPr>
  </w:style>
  <w:style w:type="paragraph" w:customStyle="1" w:styleId="Sub-Para1underX">
    <w:name w:val="Sub-Para 1 under X."/>
    <w:basedOn w:val="Normal"/>
    <w:uiPriority w:val="99"/>
    <w:rsid w:val="00F3731A"/>
    <w:pPr>
      <w:numPr>
        <w:ilvl w:val="2"/>
        <w:numId w:val="15"/>
      </w:numPr>
      <w:spacing w:after="240" w:line="240" w:lineRule="auto"/>
      <w:outlineLvl w:val="2"/>
    </w:pPr>
    <w:rPr>
      <w:rFonts w:ascii="Times New Roman" w:eastAsia="Times New Roman" w:hAnsi="Times New Roman" w:cs="Times New Roman"/>
      <w:sz w:val="24"/>
      <w:szCs w:val="24"/>
      <w:lang w:val="en-US"/>
    </w:rPr>
  </w:style>
  <w:style w:type="paragraph" w:customStyle="1" w:styleId="Sub-Para2underX">
    <w:name w:val="Sub-Para 2 under X."/>
    <w:basedOn w:val="Normal"/>
    <w:uiPriority w:val="99"/>
    <w:rsid w:val="00F3731A"/>
    <w:pPr>
      <w:numPr>
        <w:ilvl w:val="3"/>
        <w:numId w:val="15"/>
      </w:numPr>
      <w:spacing w:after="240" w:line="240" w:lineRule="auto"/>
      <w:outlineLvl w:val="3"/>
    </w:pPr>
    <w:rPr>
      <w:rFonts w:ascii="Times New Roman" w:eastAsia="Times New Roman" w:hAnsi="Times New Roman" w:cs="Times New Roman"/>
      <w:sz w:val="24"/>
      <w:szCs w:val="24"/>
      <w:lang w:val="en-US"/>
    </w:rPr>
  </w:style>
  <w:style w:type="paragraph" w:customStyle="1" w:styleId="Sub-Para3underX">
    <w:name w:val="Sub-Para 3 under X."/>
    <w:basedOn w:val="Normal"/>
    <w:uiPriority w:val="99"/>
    <w:rsid w:val="00F3731A"/>
    <w:pPr>
      <w:numPr>
        <w:ilvl w:val="4"/>
        <w:numId w:val="15"/>
      </w:numPr>
      <w:spacing w:after="240" w:line="240" w:lineRule="auto"/>
      <w:outlineLvl w:val="4"/>
    </w:pPr>
    <w:rPr>
      <w:rFonts w:ascii="Times New Roman" w:eastAsia="Times New Roman" w:hAnsi="Times New Roman" w:cs="Times New Roman"/>
      <w:sz w:val="24"/>
      <w:szCs w:val="24"/>
      <w:lang w:val="en-US"/>
    </w:rPr>
  </w:style>
  <w:style w:type="paragraph" w:customStyle="1" w:styleId="Sub-Para4underX">
    <w:name w:val="Sub-Para 4 under X."/>
    <w:basedOn w:val="Normal"/>
    <w:uiPriority w:val="99"/>
    <w:rsid w:val="00F3731A"/>
    <w:pPr>
      <w:numPr>
        <w:ilvl w:val="5"/>
        <w:numId w:val="15"/>
      </w:numPr>
      <w:spacing w:after="240" w:line="240" w:lineRule="auto"/>
      <w:outlineLvl w:val="5"/>
    </w:pPr>
    <w:rPr>
      <w:rFonts w:ascii="Times New Roman" w:eastAsia="Times New Roman" w:hAnsi="Times New Roman" w:cs="Times New Roman"/>
      <w:sz w:val="24"/>
      <w:szCs w:val="24"/>
      <w:lang w:val="en-US"/>
    </w:rPr>
  </w:style>
  <w:style w:type="paragraph" w:styleId="Revision">
    <w:name w:val="Revision"/>
    <w:hidden/>
    <w:uiPriority w:val="99"/>
    <w:semiHidden/>
    <w:rsid w:val="00F3731A"/>
    <w:pPr>
      <w:spacing w:after="0" w:line="240" w:lineRule="auto"/>
    </w:pPr>
    <w:rPr>
      <w:lang w:val="en-GB"/>
    </w:rPr>
  </w:style>
  <w:style w:type="character" w:customStyle="1" w:styleId="order">
    <w:name w:val="order"/>
    <w:basedOn w:val="DefaultParagraphFont"/>
    <w:rsid w:val="00F3731A"/>
  </w:style>
  <w:style w:type="character" w:customStyle="1" w:styleId="Date1">
    <w:name w:val="Date1"/>
    <w:basedOn w:val="DefaultParagraphFont"/>
    <w:rsid w:val="00F3731A"/>
  </w:style>
  <w:style w:type="character" w:customStyle="1" w:styleId="law-name">
    <w:name w:val="law-name"/>
    <w:basedOn w:val="DefaultParagraphFont"/>
    <w:rsid w:val="00F3731A"/>
  </w:style>
  <w:style w:type="paragraph" w:customStyle="1" w:styleId="Default">
    <w:name w:val="Default"/>
    <w:rsid w:val="00F3731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EndnoteText">
    <w:name w:val="endnote text"/>
    <w:basedOn w:val="Normal"/>
    <w:link w:val="EndnoteTextChar"/>
    <w:uiPriority w:val="99"/>
    <w:semiHidden/>
    <w:unhideWhenUsed/>
    <w:rsid w:val="00740D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DBF"/>
    <w:rPr>
      <w:sz w:val="20"/>
      <w:szCs w:val="20"/>
      <w:lang w:val="en-GB"/>
    </w:rPr>
  </w:style>
  <w:style w:type="character" w:styleId="EndnoteReference">
    <w:name w:val="endnote reference"/>
    <w:basedOn w:val="DefaultParagraphFont"/>
    <w:uiPriority w:val="99"/>
    <w:semiHidden/>
    <w:unhideWhenUsed/>
    <w:rsid w:val="00740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8053">
      <w:bodyDiv w:val="1"/>
      <w:marLeft w:val="0"/>
      <w:marRight w:val="0"/>
      <w:marTop w:val="0"/>
      <w:marBottom w:val="0"/>
      <w:divBdr>
        <w:top w:val="none" w:sz="0" w:space="0" w:color="auto"/>
        <w:left w:val="none" w:sz="0" w:space="0" w:color="auto"/>
        <w:bottom w:val="none" w:sz="0" w:space="0" w:color="auto"/>
        <w:right w:val="none" w:sz="0" w:space="0" w:color="auto"/>
      </w:divBdr>
    </w:div>
    <w:div w:id="1203131133">
      <w:bodyDiv w:val="1"/>
      <w:marLeft w:val="0"/>
      <w:marRight w:val="0"/>
      <w:marTop w:val="0"/>
      <w:marBottom w:val="0"/>
      <w:divBdr>
        <w:top w:val="none" w:sz="0" w:space="0" w:color="auto"/>
        <w:left w:val="none" w:sz="0" w:space="0" w:color="auto"/>
        <w:bottom w:val="none" w:sz="0" w:space="0" w:color="auto"/>
        <w:right w:val="none" w:sz="0" w:space="0" w:color="auto"/>
      </w:divBdr>
    </w:div>
    <w:div w:id="1249118391">
      <w:bodyDiv w:val="1"/>
      <w:marLeft w:val="0"/>
      <w:marRight w:val="0"/>
      <w:marTop w:val="0"/>
      <w:marBottom w:val="0"/>
      <w:divBdr>
        <w:top w:val="none" w:sz="0" w:space="0" w:color="auto"/>
        <w:left w:val="none" w:sz="0" w:space="0" w:color="auto"/>
        <w:bottom w:val="none" w:sz="0" w:space="0" w:color="auto"/>
        <w:right w:val="none" w:sz="0" w:space="0" w:color="auto"/>
      </w:divBdr>
    </w:div>
    <w:div w:id="1390684504">
      <w:bodyDiv w:val="1"/>
      <w:marLeft w:val="0"/>
      <w:marRight w:val="0"/>
      <w:marTop w:val="0"/>
      <w:marBottom w:val="0"/>
      <w:divBdr>
        <w:top w:val="none" w:sz="0" w:space="0" w:color="auto"/>
        <w:left w:val="none" w:sz="0" w:space="0" w:color="auto"/>
        <w:bottom w:val="none" w:sz="0" w:space="0" w:color="auto"/>
        <w:right w:val="none" w:sz="0" w:space="0" w:color="auto"/>
      </w:divBdr>
    </w:div>
    <w:div w:id="1520003384">
      <w:bodyDiv w:val="1"/>
      <w:marLeft w:val="0"/>
      <w:marRight w:val="0"/>
      <w:marTop w:val="0"/>
      <w:marBottom w:val="0"/>
      <w:divBdr>
        <w:top w:val="none" w:sz="0" w:space="0" w:color="auto"/>
        <w:left w:val="none" w:sz="0" w:space="0" w:color="auto"/>
        <w:bottom w:val="none" w:sz="0" w:space="0" w:color="auto"/>
        <w:right w:val="none" w:sz="0" w:space="0" w:color="auto"/>
      </w:divBdr>
    </w:div>
    <w:div w:id="19761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zk.rks-gov.net/ActDetail.aspx?ActID=2708"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kuvendikosoves.org/?cid=2.1,191,567" TargetMode="External"/><Relationship Id="rId4" Type="http://schemas.openxmlformats.org/officeDocument/2006/relationships/settings" Target="settings.xml"/><Relationship Id="rId9" Type="http://schemas.openxmlformats.org/officeDocument/2006/relationships/hyperlink" Target="http://www.kuvendikosoves.org/?cid=2.1,191,1060"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landscapeonline.de/wp-content/uploads/DOI103097-LO201545.pdf" TargetMode="External"/><Relationship Id="rId2" Type="http://schemas.openxmlformats.org/officeDocument/2006/relationships/hyperlink" Target="https://www.researchgate.net/publication/259368759_Biodiversity_and_Protected_Areas_in_Kosovo" TargetMode="External"/><Relationship Id="rId1" Type="http://schemas.openxmlformats.org/officeDocument/2006/relationships/hyperlink" Target="http://www.landscapeonline.de/wp-content/uploads/DOI103097-LO201545.pdf" TargetMode="External"/><Relationship Id="rId5" Type="http://schemas.openxmlformats.org/officeDocument/2006/relationships/hyperlink" Target="http://documents.worldbank.org/curated/en/282091494340650708/pdf/Kosovo-SCD-FINAL-May-5-C-05052017.pdf" TargetMode="External"/><Relationship Id="rId4" Type="http://schemas.openxmlformats.org/officeDocument/2006/relationships/hyperlink" Target="http://unesdoc.unesco.org/images/0013/001344/13442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ED16-E3EC-412A-8EB2-A21C177C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41</Pages>
  <Words>16546</Words>
  <Characters>94313</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Lumnije Azemi</dc:creator>
  <cp:lastModifiedBy>mapl</cp:lastModifiedBy>
  <cp:revision>6</cp:revision>
  <cp:lastPrinted>2018-11-30T12:28:00Z</cp:lastPrinted>
  <dcterms:created xsi:type="dcterms:W3CDTF">2018-11-29T10:55:00Z</dcterms:created>
  <dcterms:modified xsi:type="dcterms:W3CDTF">2018-11-30T12:28:00Z</dcterms:modified>
</cp:coreProperties>
</file>