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FE" w:rsidRPr="002B370E" w:rsidRDefault="003436FE">
      <w:pPr>
        <w:pStyle w:val="Podnaslov"/>
        <w:spacing w:after="240"/>
        <w:rPr>
          <w:lang w:val="en-GB"/>
        </w:rPr>
      </w:pPr>
      <w:r w:rsidRPr="002B370E">
        <w:rPr>
          <w:lang w:val="en-GB"/>
        </w:rPr>
        <w:t>REFERENCE: &lt;</w:t>
      </w:r>
      <w:r w:rsidRPr="005D1583">
        <w:rPr>
          <w:highlight w:val="yellow"/>
          <w:lang w:val="en-GB"/>
        </w:rPr>
        <w:t>____________________</w:t>
      </w:r>
      <w:r w:rsidRPr="002B370E">
        <w:rPr>
          <w:lang w:val="en-GB"/>
        </w:rPr>
        <w:t>&gt;</w:t>
      </w:r>
    </w:p>
    <w:p w:rsidR="003436FE" w:rsidRPr="002B370E" w:rsidRDefault="003436FE">
      <w:pPr>
        <w:pStyle w:val="Podnaslov"/>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Podnaslov"/>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Practical Guide,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iperpovezava"/>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The services required by the Contracting Authority are described in the Terms of Reference.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Contracting Authority</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21 days before deadline for tenders </w:t>
            </w:r>
            <w:r w:rsidRPr="002B370E">
              <w:rPr>
                <w:sz w:val="22"/>
                <w:szCs w:val="22"/>
              </w:rPr>
              <w:t>&gt;</w:t>
            </w:r>
          </w:p>
        </w:tc>
        <w:tc>
          <w:tcPr>
            <w:tcW w:w="15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11 days before deadline for tenders </w:t>
            </w:r>
            <w:r w:rsidRPr="002B370E">
              <w:rPr>
                <w:sz w:val="22"/>
                <w:szCs w:val="22"/>
              </w:rPr>
              <w:t>&gt;</w:t>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t>* All times are in the time zone of the country of the Contracting Authority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rsidR="003436FE" w:rsidRPr="002B370E" w:rsidRDefault="003436FE" w:rsidP="003436FE">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 2.3.3</w:t>
      </w:r>
      <w:r w:rsidR="004E248D">
        <w:rPr>
          <w:sz w:val="22"/>
          <w:szCs w:val="22"/>
        </w:rPr>
        <w:t>.1</w:t>
      </w:r>
      <w:r w:rsidR="00BF0BD3">
        <w:rPr>
          <w:sz w:val="22"/>
          <w:szCs w:val="22"/>
        </w:rPr>
        <w:t>.</w:t>
      </w:r>
      <w:r w:rsidR="004E248D">
        <w:rPr>
          <w:sz w:val="22"/>
          <w:szCs w:val="22"/>
        </w:rPr>
        <w:t xml:space="preserve"> or 2.3.3.2</w:t>
      </w:r>
      <w:r w:rsidR="00BF0BD3">
        <w:rPr>
          <w:sz w:val="22"/>
          <w:szCs w:val="22"/>
        </w:rPr>
        <w:t>.</w:t>
      </w:r>
      <w:r w:rsidR="004E248D">
        <w:rPr>
          <w:sz w:val="22"/>
          <w:szCs w:val="22"/>
        </w:rPr>
        <w:t xml:space="preserve"> </w:t>
      </w:r>
      <w:r w:rsidRPr="002B370E">
        <w:rPr>
          <w:sz w:val="22"/>
          <w:szCs w:val="22"/>
        </w:rPr>
        <w:t xml:space="preserve">of the </w:t>
      </w:r>
      <w:r w:rsidRPr="002B370E">
        <w:rPr>
          <w:b/>
          <w:sz w:val="22"/>
          <w:szCs w:val="22"/>
        </w:rPr>
        <w:t>Practical Guide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rsidR="003436FE" w:rsidRDefault="004E248D" w:rsidP="00C3216F">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2.3.</w:t>
      </w:r>
      <w:r>
        <w:rPr>
          <w:sz w:val="22"/>
          <w:szCs w:val="22"/>
        </w:rPr>
        <w:t>3.1</w:t>
      </w:r>
      <w:r w:rsidR="00BF0BD3">
        <w:rPr>
          <w:sz w:val="22"/>
          <w:szCs w:val="22"/>
        </w:rPr>
        <w:t>.</w:t>
      </w:r>
      <w:r w:rsidRPr="000E6A9C">
        <w:rPr>
          <w:sz w:val="22"/>
          <w:szCs w:val="22"/>
        </w:rPr>
        <w:t xml:space="preserve"> of the </w:t>
      </w:r>
      <w:r w:rsidRPr="00D9170B">
        <w:rPr>
          <w:b/>
          <w:sz w:val="22"/>
          <w:szCs w:val="22"/>
        </w:rPr>
        <w:t>Practical Guide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subject to financial penalties representing 2</w:t>
      </w:r>
      <w:r w:rsidR="003436FE" w:rsidRPr="002B370E">
        <w:rPr>
          <w:w w:val="50"/>
          <w:sz w:val="22"/>
          <w:szCs w:val="22"/>
        </w:rPr>
        <w:t> </w:t>
      </w:r>
      <w:r w:rsidR="003436FE" w:rsidRPr="002B370E">
        <w:rPr>
          <w:sz w:val="22"/>
          <w:szCs w:val="22"/>
        </w:rPr>
        <w:t>% to 10</w:t>
      </w:r>
      <w:r w:rsidR="003436FE" w:rsidRPr="002B370E">
        <w:rPr>
          <w:w w:val="50"/>
          <w:sz w:val="22"/>
          <w:szCs w:val="22"/>
        </w:rPr>
        <w:t> </w:t>
      </w:r>
      <w:r w:rsidR="003436FE" w:rsidRPr="002B370E">
        <w:rPr>
          <w:sz w:val="22"/>
          <w:szCs w:val="22"/>
        </w:rPr>
        <w:t xml:space="preserve">% of the total value of the contract </w:t>
      </w:r>
      <w:r w:rsidRPr="002B370E">
        <w:rPr>
          <w:sz w:val="22"/>
          <w:szCs w:val="22"/>
        </w:rPr>
        <w:t xml:space="preserve">in accordance with </w:t>
      </w:r>
      <w:r>
        <w:rPr>
          <w:sz w:val="22"/>
          <w:szCs w:val="22"/>
        </w:rPr>
        <w:t xml:space="preserve">the conditions set in </w:t>
      </w:r>
      <w:r w:rsidRPr="002B370E">
        <w:rPr>
          <w:sz w:val="22"/>
          <w:szCs w:val="22"/>
        </w:rPr>
        <w:t xml:space="preserve">Section </w:t>
      </w:r>
      <w:r w:rsidRPr="002B370E">
        <w:rPr>
          <w:sz w:val="22"/>
          <w:szCs w:val="22"/>
        </w:rPr>
        <w:lastRenderedPageBreak/>
        <w:t>2.3.4</w:t>
      </w:r>
      <w:r w:rsidR="00BF0BD3">
        <w:rPr>
          <w:sz w:val="22"/>
          <w:szCs w:val="22"/>
        </w:rPr>
        <w:t>.</w:t>
      </w:r>
      <w:r w:rsidRPr="002B370E">
        <w:rPr>
          <w:sz w:val="22"/>
          <w:szCs w:val="22"/>
        </w:rPr>
        <w:t xml:space="preserve"> of the </w:t>
      </w:r>
      <w:r w:rsidRPr="002B370E">
        <w:rPr>
          <w:b/>
          <w:sz w:val="22"/>
          <w:szCs w:val="22"/>
        </w:rPr>
        <w:t>Practical Guide</w:t>
      </w:r>
      <w:r w:rsidR="003436FE" w:rsidRPr="002B370E">
        <w:rPr>
          <w:sz w:val="22"/>
          <w:szCs w:val="22"/>
        </w:rPr>
        <w:t xml:space="preserve">. This </w:t>
      </w:r>
      <w:r w:rsidRPr="000E6A9C">
        <w:rPr>
          <w:sz w:val="22"/>
          <w:szCs w:val="22"/>
        </w:rPr>
        <w:t>information may be published on the Commission website in accordance with the conditions set in Section 2.3.4</w:t>
      </w:r>
      <w:r w:rsidR="00BF0BD3">
        <w:rPr>
          <w:sz w:val="22"/>
          <w:szCs w:val="22"/>
        </w:rPr>
        <w:t>.</w:t>
      </w:r>
      <w:r w:rsidRPr="000E6A9C">
        <w:rPr>
          <w:sz w:val="22"/>
          <w:szCs w:val="22"/>
        </w:rPr>
        <w:t xml:space="preserve"> of the Practical Guide</w:t>
      </w:r>
      <w:r w:rsidR="003436FE" w:rsidRPr="002B370E">
        <w:rPr>
          <w:sz w:val="22"/>
          <w:szCs w:val="22"/>
        </w:rPr>
        <w:t xml:space="preserve">. </w:t>
      </w:r>
    </w:p>
    <w:p w:rsidR="00381AB8" w:rsidRPr="00C3216F" w:rsidRDefault="00381AB8" w:rsidP="00C3216F">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rsidR="003436FE" w:rsidRPr="00632671" w:rsidRDefault="00180127" w:rsidP="003436FE">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tenderer must intend to provide the majority of the services itself </w:t>
      </w:r>
      <w:r w:rsidR="004E248D">
        <w:rPr>
          <w:sz w:val="22"/>
          <w:szCs w:val="22"/>
        </w:rPr>
        <w:t xml:space="preserve">except for the tasks entrusted to experts either as natural persons or single-member companies. </w:t>
      </w:r>
    </w:p>
    <w:p w:rsidR="003436FE" w:rsidRPr="00632671" w:rsidRDefault="00997B52" w:rsidP="003436FE">
      <w:pPr>
        <w:pStyle w:val="Telobesedila"/>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Sub-contracting is now allowed</w:t>
      </w:r>
      <w:r w:rsidR="003436FE" w:rsidRPr="00632671">
        <w:rPr>
          <w:sz w:val="22"/>
          <w:szCs w:val="22"/>
        </w:rPr>
        <w:t>.</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Naslov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ffers, all correspondence and documents related to the tender exchanged by the tenderer and the Contracting Authority must be written in English.</w:t>
      </w:r>
    </w:p>
    <w:p w:rsidR="003436FE" w:rsidRPr="002B370E" w:rsidRDefault="003436FE" w:rsidP="003436FE">
      <w:pPr>
        <w:pStyle w:val="Naslov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3436FE" w:rsidRPr="002B370E" w:rsidRDefault="003436FE" w:rsidP="003436FE">
      <w:pPr>
        <w:widowControl w:val="0"/>
        <w:spacing w:before="120" w:after="120"/>
        <w:jc w:val="both"/>
        <w:rPr>
          <w:sz w:val="22"/>
          <w:szCs w:val="22"/>
        </w:rPr>
      </w:pPr>
      <w:r w:rsidRPr="002B370E">
        <w:rPr>
          <w:sz w:val="22"/>
          <w:szCs w:val="22"/>
        </w:rPr>
        <w:t>The tender must comprise of a Technical offer and a Financial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fldSimple w:instr=" REF _Ref499982672 \r \h  \* MERGEFORMAT ">
        <w:r w:rsidR="007A0123">
          <w:rPr>
            <w:sz w:val="22"/>
            <w:szCs w:val="22"/>
          </w:rPr>
          <w:t>8</w:t>
        </w:r>
      </w:fldSimple>
      <w:r w:rsidRPr="002B370E">
        <w:rPr>
          <w:sz w:val="22"/>
          <w:szCs w:val="22"/>
        </w:rPr>
        <w:t xml:space="preserve">). Each Technical offer and Financial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and &lt;</w:t>
      </w:r>
      <w:r w:rsidRPr="005D1583">
        <w:rPr>
          <w:sz w:val="22"/>
          <w:szCs w:val="22"/>
          <w:highlight w:val="yellow"/>
        </w:rPr>
        <w:t>number</w:t>
      </w:r>
      <w:r w:rsidRPr="002B370E">
        <w:rPr>
          <w:sz w:val="22"/>
          <w:szCs w:val="22"/>
        </w:rPr>
        <w:t xml:space="preserve"> &gt;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fldSimple w:instr=" REF _Ref499982672 \r \h  \* MERGEFORMAT ">
        <w:r w:rsidR="007A0123">
          <w:rPr>
            <w:sz w:val="22"/>
            <w:szCs w:val="22"/>
          </w:rPr>
          <w:t>8</w:t>
        </w:r>
      </w:fldSimple>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5C3E9F" w:rsidRDefault="003436FE" w:rsidP="003436FE">
      <w:pPr>
        <w:numPr>
          <w:ilvl w:val="0"/>
          <w:numId w:val="27"/>
        </w:numPr>
        <w:tabs>
          <w:tab w:val="clear" w:pos="360"/>
          <w:tab w:val="num" w:pos="851"/>
        </w:tabs>
        <w:spacing w:before="120" w:after="120"/>
        <w:ind w:left="851" w:hanging="284"/>
        <w:jc w:val="both"/>
        <w:rPr>
          <w:sz w:val="22"/>
          <w:szCs w:val="22"/>
        </w:rPr>
      </w:pPr>
      <w:r w:rsidRPr="005C3E9F">
        <w:rPr>
          <w:sz w:val="22"/>
          <w:szCs w:val="22"/>
        </w:rPr>
        <w:t>Signed statements of exclusivity and availability (using the template included with the tender submission form), one for each key expert, the purpose of which are as follows:</w:t>
      </w:r>
    </w:p>
    <w:p w:rsidR="003436FE" w:rsidRPr="005C3E9F" w:rsidRDefault="003436FE" w:rsidP="003436FE">
      <w:pPr>
        <w:numPr>
          <w:ilvl w:val="0"/>
          <w:numId w:val="35"/>
        </w:numPr>
        <w:tabs>
          <w:tab w:val="clear" w:pos="360"/>
        </w:tabs>
        <w:spacing w:before="120" w:after="120"/>
        <w:ind w:left="1276"/>
        <w:jc w:val="both"/>
        <w:rPr>
          <w:sz w:val="22"/>
          <w:szCs w:val="22"/>
        </w:rPr>
      </w:pPr>
      <w:r w:rsidRPr="005C3E9F">
        <w:rPr>
          <w:sz w:val="22"/>
          <w:szCs w:val="22"/>
        </w:rPr>
        <w:t>The key experts proposed in this tender must not be part of any other tender submitted for this tender procedure. They must therefore commit themselves exclusively to the tenderer.</w:t>
      </w:r>
    </w:p>
    <w:p w:rsidR="003436FE" w:rsidRPr="005C3E9F" w:rsidRDefault="003436FE" w:rsidP="003436FE">
      <w:pPr>
        <w:keepNext/>
        <w:numPr>
          <w:ilvl w:val="0"/>
          <w:numId w:val="35"/>
        </w:numPr>
        <w:tabs>
          <w:tab w:val="clear" w:pos="360"/>
        </w:tabs>
        <w:spacing w:before="120" w:after="120"/>
        <w:ind w:left="1276" w:hanging="357"/>
        <w:jc w:val="both"/>
        <w:rPr>
          <w:sz w:val="22"/>
          <w:szCs w:val="22"/>
        </w:rPr>
      </w:pPr>
      <w:r w:rsidRPr="005C3E9F">
        <w:rPr>
          <w:sz w:val="22"/>
          <w:szCs w:val="22"/>
        </w:rPr>
        <w:t>Each key expert must also undertake to be available, able and willing to work for the whole period scheduled for his/her input to implement the tasks set out in the Terms of Reference and/or in the Organisation and methodology.</w:t>
      </w:r>
    </w:p>
    <w:p w:rsidR="003436FE" w:rsidRPr="005C3E9F" w:rsidRDefault="003436FE" w:rsidP="003436FE">
      <w:pPr>
        <w:pStyle w:val="Telobesedila2"/>
        <w:tabs>
          <w:tab w:val="clear" w:pos="567"/>
        </w:tabs>
        <w:spacing w:before="120" w:after="120"/>
        <w:ind w:left="851"/>
        <w:rPr>
          <w:sz w:val="22"/>
          <w:szCs w:val="22"/>
        </w:rPr>
      </w:pPr>
      <w:r w:rsidRPr="005C3E9F">
        <w:rPr>
          <w:sz w:val="22"/>
          <w:szCs w:val="22"/>
        </w:rPr>
        <w:t>Note that non-key experts must not be asked to sign statements of exclusivity and availability.</w:t>
      </w:r>
    </w:p>
    <w:p w:rsidR="003436FE" w:rsidRPr="005C3E9F" w:rsidRDefault="003436FE" w:rsidP="003436FE">
      <w:pPr>
        <w:pStyle w:val="Telobesedila2"/>
        <w:tabs>
          <w:tab w:val="clear" w:pos="567"/>
        </w:tabs>
        <w:spacing w:before="120" w:after="120"/>
        <w:ind w:left="851"/>
        <w:rPr>
          <w:sz w:val="22"/>
          <w:szCs w:val="22"/>
        </w:rPr>
      </w:pPr>
      <w:r w:rsidRPr="005C3E9F">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5C3E9F" w:rsidRDefault="003436FE" w:rsidP="003436FE">
      <w:pPr>
        <w:pStyle w:val="Telobesedila2"/>
        <w:tabs>
          <w:tab w:val="clear" w:pos="567"/>
        </w:tabs>
        <w:spacing w:before="120" w:after="120"/>
        <w:ind w:left="851"/>
        <w:rPr>
          <w:sz w:val="22"/>
          <w:szCs w:val="22"/>
        </w:rPr>
      </w:pPr>
      <w:r w:rsidRPr="005C3E9F">
        <w:rPr>
          <w:sz w:val="22"/>
          <w:szCs w:val="22"/>
        </w:rPr>
        <w:t xml:space="preserve">The expert may participate in parallel tender procedures but must inform the Contracting Authority of these in the Statement of Exclusivity and Availability. Furthermore, the expert </w:t>
      </w:r>
      <w:r w:rsidR="00495144" w:rsidRPr="005C3E9F">
        <w:rPr>
          <w:sz w:val="22"/>
          <w:szCs w:val="22"/>
        </w:rPr>
        <w:t>is expected to</w:t>
      </w:r>
      <w:r w:rsidR="00495144" w:rsidRPr="005C3E9F" w:rsidDel="00495144">
        <w:rPr>
          <w:sz w:val="22"/>
          <w:szCs w:val="22"/>
        </w:rPr>
        <w:t xml:space="preserve"> </w:t>
      </w:r>
      <w:r w:rsidRPr="005C3E9F">
        <w:rPr>
          <w:sz w:val="22"/>
          <w:szCs w:val="22"/>
        </w:rPr>
        <w:t xml:space="preserve">notify the tenderer immediately if he/she is successful in another tender procedure and he/she </w:t>
      </w:r>
      <w:r w:rsidR="00495144" w:rsidRPr="005C3E9F">
        <w:rPr>
          <w:sz w:val="22"/>
          <w:szCs w:val="22"/>
        </w:rPr>
        <w:t>is expected to</w:t>
      </w:r>
      <w:r w:rsidRPr="005C3E9F">
        <w:rPr>
          <w:sz w:val="22"/>
          <w:szCs w:val="22"/>
        </w:rPr>
        <w:t xml:space="preserve"> accept the first engagement offered to him/her chronologically.</w:t>
      </w:r>
    </w:p>
    <w:p w:rsidR="003436FE" w:rsidRPr="005C3E9F" w:rsidRDefault="003436FE" w:rsidP="003436FE">
      <w:pPr>
        <w:pStyle w:val="Telobesedila2"/>
        <w:tabs>
          <w:tab w:val="clear" w:pos="567"/>
        </w:tabs>
        <w:spacing w:before="120" w:after="120"/>
        <w:ind w:left="851"/>
        <w:rPr>
          <w:sz w:val="22"/>
          <w:szCs w:val="22"/>
        </w:rPr>
      </w:pPr>
      <w:r w:rsidRPr="005C3E9F">
        <w:rPr>
          <w:sz w:val="22"/>
          <w:szCs w:val="22"/>
        </w:rPr>
        <w:t xml:space="preserve">If a key expert is proposed as a key expert by more than one tenderer with the agreement of the key expert, the corresponding tenders may be rejected. The same applies if the key expert proposed has been involved in the preparation of the </w:t>
      </w:r>
      <w:r w:rsidRPr="005C3E9F">
        <w:rPr>
          <w:sz w:val="22"/>
          <w:szCs w:val="22"/>
        </w:rPr>
        <w:lastRenderedPageBreak/>
        <w:t>project. The expert concerned will be excluded from this tender procedure and may also be excluded from other EU/EDF-financed contracts.</w:t>
      </w:r>
    </w:p>
    <w:p w:rsidR="003436FE" w:rsidRPr="005C3E9F" w:rsidRDefault="003436FE" w:rsidP="003436FE">
      <w:pPr>
        <w:pStyle w:val="Telobesedila2"/>
        <w:widowControl w:val="0"/>
        <w:tabs>
          <w:tab w:val="clear" w:pos="567"/>
        </w:tabs>
        <w:spacing w:before="120" w:after="120"/>
        <w:ind w:left="851"/>
        <w:rPr>
          <w:sz w:val="22"/>
          <w:szCs w:val="22"/>
        </w:rPr>
      </w:pPr>
      <w:r w:rsidRPr="005C3E9F">
        <w:rPr>
          <w:sz w:val="22"/>
          <w:szCs w:val="22"/>
        </w:rPr>
        <w:t xml:space="preserve">Having selected a firm partly on the basis of an evaluation of the key experts presented in the tender, the Contracting Authority expects the contract to be executed by these specific experts. </w:t>
      </w:r>
      <w:r w:rsidR="006F5D6C" w:rsidRPr="005C3E9F">
        <w:rPr>
          <w:sz w:val="22"/>
          <w:szCs w:val="22"/>
        </w:rPr>
        <w:t>However, a</w:t>
      </w:r>
      <w:r w:rsidRPr="005C3E9F">
        <w:rPr>
          <w:sz w:val="22"/>
          <w:szCs w:val="22"/>
        </w:rPr>
        <w:t xml:space="preserve">fter the </w:t>
      </w:r>
      <w:r w:rsidR="006F5D6C" w:rsidRPr="005C3E9F">
        <w:rPr>
          <w:sz w:val="22"/>
          <w:szCs w:val="22"/>
        </w:rPr>
        <w:t>award</w:t>
      </w:r>
      <w:r w:rsidRPr="005C3E9F">
        <w:rPr>
          <w:sz w:val="22"/>
          <w:szCs w:val="22"/>
        </w:rPr>
        <w:t xml:space="preserve"> </w:t>
      </w:r>
      <w:r w:rsidR="008531BA" w:rsidRPr="005C3E9F">
        <w:rPr>
          <w:sz w:val="22"/>
          <w:szCs w:val="22"/>
        </w:rPr>
        <w:t xml:space="preserve">letter, </w:t>
      </w:r>
      <w:r w:rsidRPr="005C3E9F">
        <w:rPr>
          <w:sz w:val="22"/>
          <w:szCs w:val="22"/>
        </w:rPr>
        <w:t xml:space="preserve">the </w:t>
      </w:r>
      <w:r w:rsidR="003121C6" w:rsidRPr="005C3E9F">
        <w:rPr>
          <w:sz w:val="22"/>
          <w:szCs w:val="22"/>
        </w:rPr>
        <w:t xml:space="preserve">selected </w:t>
      </w:r>
      <w:r w:rsidRPr="005C3E9F">
        <w:rPr>
          <w:sz w:val="22"/>
          <w:szCs w:val="22"/>
        </w:rPr>
        <w:t>tenderer may propose replacement</w:t>
      </w:r>
      <w:r w:rsidR="003121C6" w:rsidRPr="005C3E9F">
        <w:rPr>
          <w:sz w:val="22"/>
          <w:szCs w:val="22"/>
        </w:rPr>
        <w:t>s</w:t>
      </w:r>
      <w:r w:rsidRPr="005C3E9F">
        <w:rPr>
          <w:sz w:val="22"/>
          <w:szCs w:val="22"/>
        </w:rPr>
        <w:t xml:space="preserve"> </w:t>
      </w:r>
      <w:r w:rsidR="003121C6" w:rsidRPr="005C3E9F">
        <w:rPr>
          <w:sz w:val="22"/>
          <w:szCs w:val="22"/>
        </w:rPr>
        <w:t>for the key experts under certain conditions (for further information see point 14).</w:t>
      </w:r>
      <w:r w:rsidR="004E248D" w:rsidRPr="005C3E9F">
        <w:rPr>
          <w:sz w:val="22"/>
          <w:szCs w:val="22"/>
        </w:rPr>
        <w:t>]</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001B1598">
        <w:rPr>
          <w:sz w:val="22"/>
          <w:szCs w:val="22"/>
        </w:rPr>
        <w:t xml:space="preserve"> </w:t>
      </w:r>
      <w:r w:rsidRPr="00157CF6">
        <w:rPr>
          <w:sz w:val="22"/>
          <w:szCs w:val="22"/>
        </w:rPr>
        <w:t>from each legal entity identified in the tender submission form, using the format attached to the tender submission form</w:t>
      </w:r>
      <w:r w:rsidRPr="00D26233">
        <w:rPr>
          <w:sz w:val="22"/>
          <w:szCs w:val="22"/>
        </w:rPr>
        <w:t>.</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4767D1">
        <w:rPr>
          <w:sz w:val="22"/>
          <w:szCs w:val="22"/>
          <w:highlight w:val="lightGray"/>
        </w:rPr>
        <w:t>Duly authorised signature: an official document (statutes, power of attorney, notary statement, etc.) proving that the person who signs on behalf of the company/joint venture/consortium is duly authorised to do so</w:t>
      </w:r>
      <w:r w:rsidRPr="00BF0BD3">
        <w:rPr>
          <w:sz w:val="22"/>
          <w:szCs w:val="22"/>
        </w:rPr>
        <w:t xml:space="preserve">. </w:t>
      </w:r>
      <w:r w:rsidR="00BF4FC7" w:rsidRPr="00BF4FC7">
        <w:rPr>
          <w:sz w:val="22"/>
          <w:szCs w:val="22"/>
          <w:highlight w:val="yellow"/>
        </w:rPr>
        <w:t>If applicable</w:t>
      </w:r>
    </w:p>
    <w:p w:rsidR="003436FE" w:rsidRPr="004767D1"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w:t>
      </w:r>
      <w:r w:rsidRPr="004767D1">
        <w:rPr>
          <w:sz w:val="22"/>
          <w:szCs w:val="22"/>
        </w:rPr>
        <w:t>up by the tenderer using the format in Annex III to the draft contract.</w:t>
      </w:r>
    </w:p>
    <w:p w:rsidR="003436FE" w:rsidRPr="002B370E" w:rsidRDefault="003436FE" w:rsidP="003436FE">
      <w:pPr>
        <w:spacing w:before="120" w:after="120"/>
        <w:ind w:left="567"/>
        <w:jc w:val="both"/>
        <w:rPr>
          <w:sz w:val="22"/>
          <w:szCs w:val="22"/>
        </w:rPr>
      </w:pPr>
      <w:r w:rsidRPr="004767D1">
        <w:rPr>
          <w:sz w:val="22"/>
          <w:szCs w:val="22"/>
        </w:rPr>
        <w:t xml:space="preserve">The ‘Estimated number of working days’ worksheet (in the budget breakdown </w:t>
      </w:r>
      <w:r w:rsidR="00C3216F" w:rsidRPr="004767D1">
        <w:rPr>
          <w:sz w:val="22"/>
          <w:szCs w:val="22"/>
        </w:rPr>
        <w:t>spread sheet</w:t>
      </w:r>
      <w:r w:rsidRPr="004767D1">
        <w:rPr>
          <w:sz w:val="22"/>
          <w:szCs w:val="22"/>
        </w:rPr>
        <w:t xml:space="preserve"> for Annex V) must be included in the Organisation and methodology.</w:t>
      </w:r>
    </w:p>
    <w:p w:rsidR="003436FE" w:rsidRPr="004767D1" w:rsidRDefault="003436FE" w:rsidP="003436FE">
      <w:pPr>
        <w:numPr>
          <w:ilvl w:val="0"/>
          <w:numId w:val="20"/>
        </w:numPr>
        <w:tabs>
          <w:tab w:val="num" w:pos="567"/>
        </w:tabs>
        <w:spacing w:before="120" w:after="120"/>
        <w:ind w:left="567" w:hanging="567"/>
        <w:jc w:val="both"/>
        <w:rPr>
          <w:sz w:val="22"/>
          <w:szCs w:val="22"/>
        </w:rPr>
      </w:pPr>
      <w:r w:rsidRPr="004767D1">
        <w:rPr>
          <w:b/>
          <w:sz w:val="22"/>
          <w:szCs w:val="22"/>
        </w:rPr>
        <w:t>Key experts</w:t>
      </w:r>
      <w:r w:rsidRPr="004767D1">
        <w:rPr>
          <w:sz w:val="22"/>
          <w:szCs w:val="22"/>
        </w:rPr>
        <w:t xml:space="preserve"> (to become Annex IV to the contract). The key experts are those whose involvement is considered to be instrumental to achieve the contract objectives.</w:t>
      </w:r>
      <w:r w:rsidR="00157CF6" w:rsidRPr="004767D1">
        <w:rPr>
          <w:sz w:val="22"/>
          <w:szCs w:val="22"/>
        </w:rPr>
        <w:t xml:space="preserve"> </w:t>
      </w:r>
      <w:r w:rsidRPr="004767D1">
        <w:rPr>
          <w:sz w:val="22"/>
          <w:szCs w:val="22"/>
        </w:rPr>
        <w:t>Their positions and responsibilities are defined in Section 6</w:t>
      </w:r>
      <w:r w:rsidR="00396D4A" w:rsidRPr="004767D1">
        <w:rPr>
          <w:sz w:val="22"/>
          <w:szCs w:val="22"/>
        </w:rPr>
        <w:t>.1.1</w:t>
      </w:r>
      <w:r w:rsidRPr="004767D1">
        <w:rPr>
          <w:sz w:val="22"/>
          <w:szCs w:val="22"/>
        </w:rPr>
        <w:t xml:space="preserve"> of the Terms of Reference in Annex II to the draft contract and they are subject to evaluation according to the evaluation grid in Part C of this tender dossier.</w:t>
      </w:r>
    </w:p>
    <w:p w:rsidR="003436FE" w:rsidRPr="004767D1" w:rsidRDefault="003436FE" w:rsidP="003436FE">
      <w:pPr>
        <w:spacing w:before="120" w:after="120"/>
        <w:ind w:left="567"/>
        <w:jc w:val="both"/>
        <w:rPr>
          <w:sz w:val="22"/>
          <w:szCs w:val="22"/>
        </w:rPr>
      </w:pPr>
      <w:r w:rsidRPr="004767D1">
        <w:rPr>
          <w:sz w:val="22"/>
          <w:szCs w:val="22"/>
        </w:rPr>
        <w:t>Annex IV to the draft contract contains the templates that tenderers must use, including:</w:t>
      </w:r>
    </w:p>
    <w:p w:rsidR="003436FE" w:rsidRPr="004767D1" w:rsidRDefault="003436FE" w:rsidP="003436FE">
      <w:pPr>
        <w:numPr>
          <w:ilvl w:val="0"/>
          <w:numId w:val="4"/>
        </w:numPr>
        <w:tabs>
          <w:tab w:val="clear" w:pos="360"/>
        </w:tabs>
        <w:spacing w:before="120" w:after="120"/>
        <w:ind w:left="993" w:hanging="425"/>
        <w:jc w:val="both"/>
        <w:rPr>
          <w:sz w:val="22"/>
          <w:szCs w:val="22"/>
        </w:rPr>
      </w:pPr>
      <w:r w:rsidRPr="004767D1">
        <w:rPr>
          <w:sz w:val="22"/>
          <w:szCs w:val="22"/>
        </w:rPr>
        <w:t>a list of the names of the key experts;</w:t>
      </w:r>
    </w:p>
    <w:p w:rsidR="003436FE" w:rsidRPr="004767D1" w:rsidRDefault="003436FE" w:rsidP="003436FE">
      <w:pPr>
        <w:numPr>
          <w:ilvl w:val="0"/>
          <w:numId w:val="4"/>
        </w:numPr>
        <w:tabs>
          <w:tab w:val="clear" w:pos="360"/>
        </w:tabs>
        <w:spacing w:before="120" w:after="120"/>
        <w:ind w:left="993" w:hanging="425"/>
        <w:jc w:val="both"/>
        <w:rPr>
          <w:sz w:val="22"/>
          <w:szCs w:val="22"/>
        </w:rPr>
      </w:pPr>
      <w:r w:rsidRPr="004767D1">
        <w:rPr>
          <w:sz w:val="22"/>
          <w:szCs w:val="22"/>
        </w:rPr>
        <w:t>the CVs of each of the key experts.</w:t>
      </w:r>
      <w:r w:rsidRPr="004767D1">
        <w:rPr>
          <w:b/>
          <w:sz w:val="22"/>
          <w:szCs w:val="22"/>
        </w:rPr>
        <w:t xml:space="preserve"> </w:t>
      </w:r>
      <w:r w:rsidRPr="004767D1">
        <w:rPr>
          <w:sz w:val="22"/>
          <w:szCs w:val="22"/>
        </w:rPr>
        <w:t xml:space="preserve">Each CV </w:t>
      </w:r>
      <w:r w:rsidR="00AA3043" w:rsidRPr="004767D1">
        <w:rPr>
          <w:sz w:val="22"/>
          <w:szCs w:val="22"/>
        </w:rPr>
        <w:t xml:space="preserve">should </w:t>
      </w:r>
      <w:r w:rsidRPr="004767D1">
        <w:rPr>
          <w:sz w:val="22"/>
          <w:szCs w:val="22"/>
        </w:rPr>
        <w:t xml:space="preserve">be no longer than 3 pages and only one CV </w:t>
      </w:r>
      <w:r w:rsidR="00AA3043" w:rsidRPr="004767D1">
        <w:rPr>
          <w:sz w:val="22"/>
          <w:szCs w:val="22"/>
        </w:rPr>
        <w:t xml:space="preserve">must </w:t>
      </w:r>
      <w:r w:rsidRPr="004767D1">
        <w:rPr>
          <w:sz w:val="22"/>
          <w:szCs w:val="22"/>
        </w:rPr>
        <w:t>be provided for each position identified in the Terms of Reference. Note that the CVs of non-key experts must not be submitted.</w:t>
      </w:r>
    </w:p>
    <w:p w:rsidR="003436FE" w:rsidRPr="004767D1" w:rsidRDefault="003436FE" w:rsidP="00632671">
      <w:pPr>
        <w:spacing w:before="120" w:after="120"/>
        <w:ind w:left="567"/>
        <w:jc w:val="both"/>
        <w:rPr>
          <w:sz w:val="22"/>
          <w:szCs w:val="22"/>
        </w:rPr>
      </w:pPr>
      <w:r w:rsidRPr="004767D1">
        <w:rPr>
          <w:sz w:val="22"/>
          <w:szCs w:val="22"/>
        </w:rPr>
        <w:t>The qualifications and experience of each key expert must clearly match the profiles indicated in the Terms of Reference.</w:t>
      </w:r>
      <w:r w:rsidR="008A2426" w:rsidRPr="004767D1">
        <w:rPr>
          <w:sz w:val="22"/>
          <w:szCs w:val="22"/>
        </w:rPr>
        <w:t xml:space="preserve">  </w:t>
      </w:r>
      <w:r w:rsidR="0017009E" w:rsidRPr="004767D1">
        <w:rPr>
          <w:sz w:val="22"/>
          <w:szCs w:val="22"/>
        </w:rPr>
        <w:t xml:space="preserve">If </w:t>
      </w:r>
      <w:r w:rsidR="008A2426" w:rsidRPr="004767D1">
        <w:rPr>
          <w:sz w:val="22"/>
          <w:szCs w:val="22"/>
        </w:rPr>
        <w:t xml:space="preserve">an expert does not meet the minimum requirements for </w:t>
      </w:r>
      <w:r w:rsidR="0017009E" w:rsidRPr="004767D1">
        <w:rPr>
          <w:sz w:val="22"/>
          <w:szCs w:val="22"/>
        </w:rPr>
        <w:t xml:space="preserve">each evaluation criterion (i.e. </w:t>
      </w:r>
      <w:r w:rsidR="008A2426" w:rsidRPr="004767D1">
        <w:rPr>
          <w:sz w:val="22"/>
          <w:szCs w:val="22"/>
        </w:rPr>
        <w:t>qualification and skills, general professional experience and specific professional experience</w:t>
      </w:r>
      <w:r w:rsidR="0017009E" w:rsidRPr="004767D1">
        <w:rPr>
          <w:sz w:val="22"/>
          <w:szCs w:val="22"/>
        </w:rPr>
        <w:t>)</w:t>
      </w:r>
      <w:r w:rsidR="008A2426" w:rsidRPr="004767D1">
        <w:rPr>
          <w:sz w:val="22"/>
          <w:szCs w:val="22"/>
        </w:rPr>
        <w:t xml:space="preserve">, he/she must be rejected. </w:t>
      </w:r>
      <w:r w:rsidR="0017009E" w:rsidRPr="004767D1">
        <w:rPr>
          <w:sz w:val="22"/>
          <w:szCs w:val="22"/>
        </w:rPr>
        <w:t>In such case</w:t>
      </w:r>
      <w:r w:rsidR="008A2426" w:rsidRPr="004767D1">
        <w:rPr>
          <w:sz w:val="22"/>
          <w:szCs w:val="22"/>
        </w:rPr>
        <w:t xml:space="preserve"> the entire tender </w:t>
      </w:r>
      <w:r w:rsidR="0017009E" w:rsidRPr="004767D1">
        <w:rPr>
          <w:sz w:val="22"/>
          <w:szCs w:val="22"/>
        </w:rPr>
        <w:t>shall be</w:t>
      </w:r>
      <w:r w:rsidR="008A2426" w:rsidRPr="004767D1">
        <w:rPr>
          <w:sz w:val="22"/>
          <w:szCs w:val="22"/>
        </w:rPr>
        <w:t xml:space="preserve"> rejected.</w:t>
      </w:r>
      <w:r w:rsidRPr="004767D1">
        <w:rPr>
          <w:sz w:val="22"/>
          <w:szCs w:val="22"/>
        </w:rPr>
        <w:t xml:space="preserve"> </w:t>
      </w:r>
    </w:p>
    <w:p w:rsidR="003436FE" w:rsidRPr="004767D1" w:rsidRDefault="004767D1" w:rsidP="00010683">
      <w:pPr>
        <w:pStyle w:val="Telobesedila-zamik"/>
        <w:tabs>
          <w:tab w:val="clear" w:pos="567"/>
        </w:tabs>
        <w:spacing w:before="120"/>
        <w:ind w:firstLine="0"/>
        <w:rPr>
          <w:sz w:val="22"/>
          <w:szCs w:val="22"/>
          <w:highlight w:val="lightGray"/>
        </w:rPr>
      </w:pPr>
      <w:r w:rsidRPr="004767D1">
        <w:rPr>
          <w:sz w:val="22"/>
          <w:szCs w:val="22"/>
          <w:highlight w:val="yellow"/>
        </w:rPr>
        <w:t>If applicable</w:t>
      </w:r>
      <w:r w:rsidRPr="004767D1">
        <w:rPr>
          <w:sz w:val="22"/>
          <w:szCs w:val="22"/>
        </w:rPr>
        <w:t xml:space="preserve">: </w:t>
      </w:r>
      <w:r w:rsidR="003436FE" w:rsidRPr="004767D1">
        <w:rPr>
          <w:sz w:val="22"/>
          <w:szCs w:val="22"/>
          <w:highlight w:val="lightGray"/>
        </w:rPr>
        <w:t>Tenderers must provide the following documents for any key experts proposed:</w:t>
      </w:r>
    </w:p>
    <w:p w:rsidR="003436FE" w:rsidRPr="004767D1" w:rsidRDefault="003436FE" w:rsidP="003436FE">
      <w:pPr>
        <w:pStyle w:val="Telobesedila-zamik"/>
        <w:tabs>
          <w:tab w:val="clear" w:pos="567"/>
        </w:tabs>
        <w:spacing w:before="120"/>
        <w:ind w:left="851" w:hanging="142"/>
        <w:rPr>
          <w:sz w:val="22"/>
          <w:szCs w:val="22"/>
          <w:highlight w:val="lightGray"/>
        </w:rPr>
      </w:pPr>
      <w:r w:rsidRPr="004767D1">
        <w:rPr>
          <w:sz w:val="22"/>
          <w:szCs w:val="22"/>
          <w:highlight w:val="lightGray"/>
        </w:rPr>
        <w:t>-</w:t>
      </w:r>
      <w:r w:rsidRPr="004767D1">
        <w:rPr>
          <w:sz w:val="22"/>
          <w:szCs w:val="22"/>
          <w:highlight w:val="lightGray"/>
        </w:rPr>
        <w:tab/>
        <w:t>a copy of the diplomas mentioned in their CVs,</w:t>
      </w:r>
    </w:p>
    <w:p w:rsidR="003436FE" w:rsidRPr="004767D1" w:rsidRDefault="003436FE" w:rsidP="003436FE">
      <w:pPr>
        <w:pStyle w:val="Telobesedila-zamik"/>
        <w:tabs>
          <w:tab w:val="clear" w:pos="567"/>
        </w:tabs>
        <w:spacing w:before="120"/>
        <w:ind w:left="851" w:hanging="142"/>
        <w:rPr>
          <w:sz w:val="22"/>
          <w:szCs w:val="22"/>
          <w:highlight w:val="lightGray"/>
        </w:rPr>
      </w:pPr>
      <w:r w:rsidRPr="004767D1">
        <w:rPr>
          <w:sz w:val="22"/>
          <w:szCs w:val="22"/>
          <w:highlight w:val="lightGray"/>
        </w:rPr>
        <w:t>-</w:t>
      </w:r>
      <w:r w:rsidRPr="004767D1">
        <w:rPr>
          <w:sz w:val="22"/>
          <w:szCs w:val="22"/>
          <w:highlight w:val="lightGray"/>
        </w:rPr>
        <w:tab/>
        <w:t xml:space="preserve">a copy of employer certificates or references proving the professional experience indicated in their CVs. </w:t>
      </w:r>
    </w:p>
    <w:p w:rsidR="003436FE" w:rsidRDefault="003436FE" w:rsidP="003436FE">
      <w:pPr>
        <w:pStyle w:val="Telobesedila-zamik"/>
        <w:tabs>
          <w:tab w:val="clear" w:pos="567"/>
        </w:tabs>
        <w:spacing w:before="120"/>
        <w:ind w:left="709" w:firstLine="0"/>
        <w:rPr>
          <w:sz w:val="22"/>
          <w:szCs w:val="22"/>
        </w:rPr>
      </w:pPr>
      <w:r w:rsidRPr="004767D1">
        <w:rPr>
          <w:sz w:val="22"/>
          <w:szCs w:val="22"/>
          <w:highlight w:val="lightGray"/>
        </w:rPr>
        <w:t>Only diplomas and documented experience will be taken into account.</w:t>
      </w:r>
      <w:r w:rsidR="00A06BCE" w:rsidRPr="004767D1">
        <w:rPr>
          <w:sz w:val="22"/>
          <w:szCs w:val="22"/>
          <w:highlight w:val="lightGray"/>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rsidR="00396D4A" w:rsidRPr="002B370E" w:rsidRDefault="00396D4A" w:rsidP="00632671">
      <w:pPr>
        <w:pStyle w:val="Telobesedila-zamik"/>
        <w:spacing w:before="120"/>
        <w:rPr>
          <w:sz w:val="22"/>
          <w:szCs w:val="22"/>
        </w:rPr>
      </w:pPr>
      <w:r w:rsidRPr="00C53A7B">
        <w:rPr>
          <w:sz w:val="22"/>
          <w:szCs w:val="22"/>
        </w:rPr>
        <w:t>(4)</w:t>
      </w:r>
      <w:r w:rsidRPr="00C53A7B">
        <w:rPr>
          <w:sz w:val="22"/>
          <w:szCs w:val="22"/>
        </w:rPr>
        <w:tab/>
        <w:t>Non key experts may also be instrumental to achieve the contract objectives. However, they are not subject to evaluation by the evaluation Committee. Their positions and responsibilities may be defined in Section 6.1.</w:t>
      </w:r>
      <w:r w:rsidR="00804556">
        <w:rPr>
          <w:sz w:val="22"/>
          <w:szCs w:val="22"/>
        </w:rPr>
        <w:t>2</w:t>
      </w:r>
      <w:r w:rsidRPr="00C53A7B">
        <w:rPr>
          <w:sz w:val="22"/>
          <w:szCs w:val="22"/>
        </w:rPr>
        <w:t xml:space="preserve"> of the Terms of Reference in Annex II to the draft contract.</w:t>
      </w:r>
    </w:p>
    <w:p w:rsidR="003436FE" w:rsidRPr="002B370E" w:rsidRDefault="00010683" w:rsidP="003436FE">
      <w:pPr>
        <w:pStyle w:val="Telobesedila-zamik"/>
        <w:tabs>
          <w:tab w:val="clear" w:pos="567"/>
        </w:tabs>
        <w:spacing w:before="120"/>
        <w:rPr>
          <w:sz w:val="22"/>
          <w:szCs w:val="22"/>
        </w:rPr>
      </w:pPr>
      <w:r>
        <w:rPr>
          <w:sz w:val="22"/>
          <w:szCs w:val="22"/>
        </w:rPr>
        <w:t>(5)</w:t>
      </w:r>
      <w:r w:rsidR="003436FE" w:rsidRPr="002B370E">
        <w:rPr>
          <w:sz w:val="22"/>
          <w:szCs w:val="22"/>
        </w:rPr>
        <w:tab/>
      </w:r>
      <w:r w:rsidR="004767D1" w:rsidRPr="004767D1">
        <w:rPr>
          <w:sz w:val="22"/>
          <w:szCs w:val="22"/>
          <w:highlight w:val="yellow"/>
        </w:rPr>
        <w:t>If applicable</w:t>
      </w:r>
      <w:r w:rsidR="004767D1">
        <w:rPr>
          <w:sz w:val="22"/>
          <w:szCs w:val="22"/>
        </w:rPr>
        <w:t xml:space="preserve">: </w:t>
      </w:r>
      <w:r w:rsidR="003436FE" w:rsidRPr="002B370E">
        <w:rPr>
          <w:sz w:val="22"/>
          <w:szCs w:val="22"/>
        </w:rPr>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 xml:space="preserve">) is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it </w:t>
      </w:r>
      <w:r w:rsidR="003436FE">
        <w:rPr>
          <w:sz w:val="22"/>
          <w:szCs w:val="22"/>
        </w:rPr>
        <w:t>is</w:t>
      </w:r>
      <w:r w:rsidR="003436FE" w:rsidRPr="002B370E">
        <w:rPr>
          <w:sz w:val="22"/>
          <w:szCs w:val="22"/>
        </w:rPr>
        <w:t xml:space="preserve"> not in any of the exclusion situations listed in section 2.3.3 of the </w:t>
      </w:r>
      <w:r w:rsidR="003436FE" w:rsidRPr="002B370E">
        <w:rPr>
          <w:sz w:val="22"/>
          <w:szCs w:val="22"/>
        </w:rPr>
        <w:lastRenderedPageBreak/>
        <w:t>Practical Guide.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Telobesedila-zamik"/>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804556" w:rsidRPr="00157CF6">
        <w:rPr>
          <w:color w:val="000000"/>
          <w:sz w:val="22"/>
          <w:szCs w:val="22"/>
        </w:rPr>
        <w:t>[</w:t>
      </w:r>
      <w:r w:rsidR="00843423" w:rsidRPr="000F0B96">
        <w:rPr>
          <w:color w:val="000000"/>
          <w:sz w:val="22"/>
          <w:szCs w:val="22"/>
          <w:highlight w:val="yellow"/>
        </w:rPr>
        <w:t>Option</w:t>
      </w:r>
      <w:r w:rsidR="001B2CA6" w:rsidRPr="000F0B96">
        <w:rPr>
          <w:color w:val="000000"/>
          <w:sz w:val="22"/>
          <w:szCs w:val="22"/>
          <w:highlight w:val="yellow"/>
        </w:rPr>
        <w:t xml:space="preserve"> 1</w:t>
      </w:r>
      <w:r w:rsidR="00804556" w:rsidRPr="000F0B96">
        <w:rPr>
          <w:color w:val="000000"/>
          <w:sz w:val="22"/>
          <w:szCs w:val="22"/>
          <w:highlight w:val="yellow"/>
        </w:rPr>
        <w:t>:</w:t>
      </w:r>
      <w:r w:rsidR="00804556" w:rsidRPr="00157CF6">
        <w:rPr>
          <w:color w:val="000000"/>
          <w:sz w:val="22"/>
          <w:szCs w:val="22"/>
        </w:rPr>
        <w:t xml:space="preserve"> </w:t>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C3216F" w:rsidRPr="000F0B96">
        <w:rPr>
          <w:sz w:val="22"/>
          <w:szCs w:val="22"/>
          <w:highlight w:val="lightGray"/>
        </w:rPr>
        <w:t>(S</w:t>
      </w:r>
      <w:r w:rsidRPr="000F0B96">
        <w:rPr>
          <w:sz w:val="22"/>
          <w:szCs w:val="22"/>
          <w:highlight w:val="lightGray"/>
        </w:rPr>
        <w:t>ee further point 2.4.11 of the Practical Guide).</w:t>
      </w:r>
      <w:r w:rsidR="00804556" w:rsidRPr="000F0B96">
        <w:rPr>
          <w:sz w:val="22"/>
          <w:szCs w:val="22"/>
          <w:highlight w:val="lightGray"/>
        </w:rPr>
        <w:t>]</w:t>
      </w:r>
      <w:r w:rsidRPr="00B21E35">
        <w:rPr>
          <w:color w:val="000000"/>
          <w:sz w:val="22"/>
          <w:szCs w:val="22"/>
        </w:rPr>
        <w:t xml:space="preserve"> </w:t>
      </w:r>
    </w:p>
    <w:p w:rsidR="003121C6" w:rsidRDefault="001B2CA6" w:rsidP="00C53A7B">
      <w:pPr>
        <w:spacing w:before="120" w:after="120"/>
        <w:ind w:left="567" w:firstLine="33"/>
        <w:jc w:val="both"/>
        <w:rPr>
          <w:color w:val="000000"/>
          <w:sz w:val="22"/>
          <w:szCs w:val="22"/>
        </w:rPr>
      </w:pPr>
      <w:r>
        <w:rPr>
          <w:color w:val="000000"/>
          <w:sz w:val="22"/>
          <w:szCs w:val="22"/>
        </w:rPr>
        <w:t>[</w:t>
      </w:r>
      <w:r w:rsidRPr="00C53A7B">
        <w:rPr>
          <w:color w:val="000000"/>
          <w:sz w:val="22"/>
          <w:szCs w:val="22"/>
          <w:highlight w:val="yellow"/>
        </w:rPr>
        <w:t>Option 2 - The Contracting Authority may, depending on its assessment of the risks, decide not to require the documentary proof of the selection criteria</w:t>
      </w:r>
      <w:r>
        <w:rPr>
          <w:color w:val="000000"/>
          <w:sz w:val="22"/>
          <w:szCs w:val="22"/>
          <w:highlight w:val="yellow"/>
        </w:rPr>
        <w:t>, but in that case no pre-financing will be granted</w:t>
      </w:r>
      <w:r w:rsidRPr="00C53A7B">
        <w:rPr>
          <w:color w:val="000000"/>
          <w:sz w:val="22"/>
          <w:szCs w:val="22"/>
          <w:highlight w:val="yellow"/>
        </w:rPr>
        <w:t>:</w:t>
      </w:r>
      <w:r>
        <w:rPr>
          <w:color w:val="000000"/>
          <w:sz w:val="22"/>
          <w:szCs w:val="22"/>
        </w:rPr>
        <w:t xml:space="preserve"> </w:t>
      </w:r>
      <w:r w:rsidRPr="005D1583">
        <w:rPr>
          <w:color w:val="000000"/>
          <w:sz w:val="22"/>
          <w:szCs w:val="22"/>
          <w:highlight w:val="lightGray"/>
        </w:rPr>
        <w:t xml:space="preserve">No documentary evidence of the selection criteria in point 16 of the contract notice </w:t>
      </w:r>
      <w:r w:rsidR="00843423" w:rsidRPr="005D1583">
        <w:rPr>
          <w:color w:val="000000"/>
          <w:sz w:val="22"/>
          <w:szCs w:val="22"/>
          <w:highlight w:val="lightGray"/>
        </w:rPr>
        <w:t xml:space="preserve">shall </w:t>
      </w:r>
      <w:r w:rsidRPr="005D1583">
        <w:rPr>
          <w:color w:val="000000"/>
          <w:sz w:val="22"/>
          <w:szCs w:val="22"/>
          <w:highlight w:val="lightGray"/>
        </w:rPr>
        <w:t>be submitted but no pre-financing will be granted.]</w:t>
      </w:r>
    </w:p>
    <w:p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Contracting Authority upon request</w:t>
      </w:r>
      <w:r w:rsidRPr="00BB5911">
        <w:rPr>
          <w:sz w:val="22"/>
          <w:szCs w:val="22"/>
        </w:rPr>
        <w:t>.</w:t>
      </w:r>
    </w:p>
    <w:p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843423" w:rsidP="003436FE">
      <w:pPr>
        <w:spacing w:before="120" w:after="120"/>
        <w:jc w:val="both"/>
        <w:rPr>
          <w:sz w:val="22"/>
          <w:szCs w:val="22"/>
        </w:rPr>
      </w:pPr>
      <w:r>
        <w:rPr>
          <w:sz w:val="22"/>
          <w:szCs w:val="22"/>
        </w:rPr>
        <w:t>[</w:t>
      </w:r>
      <w:r w:rsidRPr="00C53A7B">
        <w:rPr>
          <w:sz w:val="22"/>
          <w:szCs w:val="22"/>
          <w:highlight w:val="yellow"/>
        </w:rPr>
        <w:t>Optional:</w:t>
      </w:r>
      <w:r>
        <w:rPr>
          <w:sz w:val="22"/>
          <w:szCs w:val="22"/>
        </w:rPr>
        <w:t xml:space="preserve"> </w:t>
      </w:r>
      <w:r w:rsidR="003436FE" w:rsidRPr="002B370E">
        <w:rPr>
          <w:sz w:val="22"/>
          <w:szCs w:val="22"/>
        </w:rPr>
        <w:t xml:space="preserve"> </w:t>
      </w:r>
      <w:r w:rsidR="00E22E88" w:rsidRPr="005D1583">
        <w:rPr>
          <w:sz w:val="22"/>
          <w:szCs w:val="22"/>
          <w:highlight w:val="lightGray"/>
        </w:rPr>
        <w:t>T</w:t>
      </w:r>
      <w:r w:rsidR="003436FE" w:rsidRPr="005D1583">
        <w:rPr>
          <w:sz w:val="22"/>
          <w:szCs w:val="22"/>
          <w:highlight w:val="lightGray"/>
        </w:rPr>
        <w:t>he electronic version of the technical offer must be included with the printed version in the separate envelope in which the technical offer is submitted. If there are any discrepancies between the electronic version and the original, printed version, the latter has precedence.</w:t>
      </w:r>
      <w:r w:rsidRPr="005D1583">
        <w:rPr>
          <w:sz w:val="22"/>
          <w:szCs w:val="22"/>
          <w:highlight w:val="lightGray"/>
        </w:rPr>
        <w:t>]</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3436FE" w:rsidRPr="002B370E" w:rsidRDefault="004767D1" w:rsidP="003436FE">
      <w:pPr>
        <w:shd w:val="clear" w:color="auto" w:fill="FFFFFF"/>
        <w:spacing w:before="120" w:after="120"/>
        <w:jc w:val="both"/>
        <w:rPr>
          <w:sz w:val="22"/>
          <w:szCs w:val="22"/>
        </w:rPr>
      </w:pPr>
      <w:r>
        <w:rPr>
          <w:sz w:val="22"/>
          <w:szCs w:val="22"/>
        </w:rPr>
        <w:t xml:space="preserve"> </w:t>
      </w:r>
    </w:p>
    <w:p w:rsidR="00517439" w:rsidRPr="004767D1" w:rsidRDefault="003436FE" w:rsidP="003436FE">
      <w:pPr>
        <w:shd w:val="clear" w:color="auto" w:fill="FFFFFF"/>
        <w:spacing w:before="120" w:after="120"/>
        <w:jc w:val="both"/>
        <w:rPr>
          <w:sz w:val="22"/>
          <w:szCs w:val="22"/>
        </w:rPr>
      </w:pPr>
      <w:r w:rsidRPr="004767D1">
        <w:rPr>
          <w:sz w:val="22"/>
          <w:szCs w:val="22"/>
        </w:rPr>
        <w:t xml:space="preserve">The Financial offer must be presented in Euro and must include the following documents (using the templates included in the fee-based version of Annex V to part B of this tender dossier. The electronic version of this document ‘B8 - </w:t>
      </w:r>
      <w:hyperlink r:id="rId9" w:tooltip=" Budget breakdown for a fee-based contract" w:history="1">
        <w:r w:rsidRPr="004767D1">
          <w:rPr>
            <w:color w:val="000000"/>
            <w:sz w:val="22"/>
            <w:szCs w:val="22"/>
          </w:rPr>
          <w:t>Budget breakdown for a fee-based contract</w:t>
        </w:r>
      </w:hyperlink>
      <w:r w:rsidRPr="004767D1">
        <w:rPr>
          <w:sz w:val="22"/>
          <w:szCs w:val="22"/>
        </w:rPr>
        <w:t>’ can be found on the website</w:t>
      </w:r>
    </w:p>
    <w:p w:rsidR="003436FE" w:rsidRPr="004767D1" w:rsidRDefault="00FF49CA" w:rsidP="003436FE">
      <w:pPr>
        <w:shd w:val="clear" w:color="auto" w:fill="FFFFFF"/>
        <w:spacing w:before="120" w:after="120"/>
        <w:jc w:val="both"/>
        <w:rPr>
          <w:sz w:val="22"/>
          <w:szCs w:val="22"/>
        </w:rPr>
      </w:pPr>
      <w:hyperlink r:id="rId10" w:history="1">
        <w:r w:rsidR="00996707" w:rsidRPr="004767D1">
          <w:rPr>
            <w:rStyle w:val="Hiperpovezava"/>
            <w:sz w:val="22"/>
            <w:szCs w:val="22"/>
          </w:rPr>
          <w:t>http://ec.europa.eu/europeaid/prag/document.do</w:t>
        </w:r>
      </w:hyperlink>
      <w:r w:rsidR="003436FE" w:rsidRPr="004767D1">
        <w:rPr>
          <w:sz w:val="22"/>
          <w:szCs w:val="22"/>
        </w:rPr>
        <w:t>):</w:t>
      </w:r>
    </w:p>
    <w:p w:rsidR="003436FE" w:rsidRPr="004767D1" w:rsidRDefault="003436FE" w:rsidP="003436FE">
      <w:pPr>
        <w:numPr>
          <w:ilvl w:val="0"/>
          <w:numId w:val="37"/>
        </w:numPr>
        <w:shd w:val="clear" w:color="auto" w:fill="FFFFFF"/>
        <w:tabs>
          <w:tab w:val="clear" w:pos="360"/>
        </w:tabs>
        <w:spacing w:before="120" w:after="120"/>
        <w:ind w:left="426" w:hanging="426"/>
        <w:jc w:val="both"/>
        <w:rPr>
          <w:sz w:val="22"/>
          <w:szCs w:val="22"/>
        </w:rPr>
      </w:pPr>
      <w:r w:rsidRPr="004767D1">
        <w:rPr>
          <w:sz w:val="22"/>
          <w:szCs w:val="22"/>
        </w:rPr>
        <w:t>Budget breakdown</w:t>
      </w:r>
    </w:p>
    <w:p w:rsidR="003436FE" w:rsidRPr="004767D1" w:rsidRDefault="003436FE" w:rsidP="003436FE">
      <w:pPr>
        <w:numPr>
          <w:ilvl w:val="0"/>
          <w:numId w:val="37"/>
        </w:numPr>
        <w:shd w:val="clear" w:color="auto" w:fill="FFFFFF"/>
        <w:tabs>
          <w:tab w:val="clear" w:pos="360"/>
        </w:tabs>
        <w:spacing w:before="120" w:after="120"/>
        <w:ind w:left="426" w:hanging="426"/>
        <w:jc w:val="both"/>
        <w:rPr>
          <w:sz w:val="22"/>
          <w:szCs w:val="22"/>
        </w:rPr>
      </w:pPr>
      <w:r w:rsidRPr="004767D1">
        <w:rPr>
          <w:sz w:val="22"/>
          <w:szCs w:val="22"/>
        </w:rPr>
        <w:t>Working days</w:t>
      </w:r>
    </w:p>
    <w:p w:rsidR="003436FE" w:rsidRPr="004767D1" w:rsidRDefault="003436FE" w:rsidP="003436FE">
      <w:pPr>
        <w:shd w:val="clear" w:color="auto" w:fill="FFFFFF"/>
        <w:spacing w:before="120" w:after="120"/>
        <w:jc w:val="both"/>
        <w:rPr>
          <w:b/>
          <w:sz w:val="22"/>
          <w:szCs w:val="22"/>
        </w:rPr>
      </w:pPr>
      <w:r w:rsidRPr="004767D1">
        <w:rPr>
          <w:b/>
          <w:sz w:val="22"/>
          <w:szCs w:val="22"/>
        </w:rPr>
        <w:t xml:space="preserve">To complete the </w:t>
      </w:r>
      <w:r w:rsidR="00C3216F" w:rsidRPr="004767D1">
        <w:rPr>
          <w:b/>
          <w:sz w:val="22"/>
          <w:szCs w:val="22"/>
        </w:rPr>
        <w:t>spread sheet</w:t>
      </w:r>
      <w:r w:rsidRPr="004767D1">
        <w:rPr>
          <w:b/>
          <w:sz w:val="22"/>
          <w:szCs w:val="22"/>
        </w:rPr>
        <w:t>:</w:t>
      </w:r>
    </w:p>
    <w:p w:rsidR="003436FE" w:rsidRPr="004767D1" w:rsidRDefault="003436FE" w:rsidP="003436FE">
      <w:pPr>
        <w:numPr>
          <w:ilvl w:val="0"/>
          <w:numId w:val="38"/>
        </w:numPr>
        <w:shd w:val="clear" w:color="auto" w:fill="FFFFFF"/>
        <w:spacing w:before="120" w:after="120"/>
        <w:ind w:left="426" w:hanging="426"/>
        <w:jc w:val="both"/>
        <w:rPr>
          <w:sz w:val="22"/>
          <w:szCs w:val="22"/>
        </w:rPr>
      </w:pPr>
      <w:r w:rsidRPr="004767D1">
        <w:rPr>
          <w:sz w:val="22"/>
          <w:szCs w:val="22"/>
        </w:rPr>
        <w:t>Enter the fee rates for each category of expert in the first worksheet (‘Budget breakdown’)</w:t>
      </w:r>
    </w:p>
    <w:p w:rsidR="003436FE" w:rsidRPr="004767D1" w:rsidRDefault="003436FE" w:rsidP="003436FE">
      <w:pPr>
        <w:numPr>
          <w:ilvl w:val="0"/>
          <w:numId w:val="38"/>
        </w:numPr>
        <w:shd w:val="clear" w:color="auto" w:fill="FFFFFF"/>
        <w:spacing w:before="120" w:after="120"/>
        <w:ind w:left="426" w:hanging="426"/>
        <w:jc w:val="both"/>
        <w:rPr>
          <w:sz w:val="22"/>
          <w:szCs w:val="22"/>
        </w:rPr>
      </w:pPr>
      <w:r w:rsidRPr="004767D1">
        <w:rPr>
          <w:sz w:val="22"/>
          <w:szCs w:val="22"/>
        </w:rPr>
        <w:lastRenderedPageBreak/>
        <w:t>Enter the estimated numbers of working days for each category of expert during the period of implementation of the tasks in the second worksheet (‘Working days’)</w:t>
      </w:r>
    </w:p>
    <w:p w:rsidR="00517439" w:rsidRPr="004767D1" w:rsidRDefault="00517439" w:rsidP="003436FE">
      <w:pPr>
        <w:numPr>
          <w:ilvl w:val="0"/>
          <w:numId w:val="38"/>
        </w:numPr>
        <w:shd w:val="clear" w:color="auto" w:fill="FFFFFF"/>
        <w:spacing w:before="120" w:after="120"/>
        <w:ind w:left="426" w:hanging="426"/>
        <w:jc w:val="both"/>
        <w:rPr>
          <w:sz w:val="22"/>
          <w:szCs w:val="22"/>
        </w:rPr>
      </w:pPr>
      <w:r w:rsidRPr="004767D1">
        <w:rPr>
          <w:sz w:val="22"/>
          <w:szCs w:val="22"/>
        </w:rPr>
        <w:t xml:space="preserve">Enter the lump sums proposed for items </w:t>
      </w:r>
      <w:r w:rsidR="00EA6B94" w:rsidRPr="004767D1">
        <w:rPr>
          <w:sz w:val="22"/>
          <w:szCs w:val="22"/>
        </w:rPr>
        <w:t>required in Section 6.6 of the Terms of Reference in the first worksheet (‘Budget breakdown’)</w:t>
      </w:r>
      <w:r w:rsidRPr="004767D1">
        <w:rPr>
          <w:sz w:val="22"/>
          <w:szCs w:val="22"/>
        </w:rPr>
        <w:t>, if any</w:t>
      </w:r>
    </w:p>
    <w:p w:rsidR="003436FE" w:rsidRPr="004767D1" w:rsidRDefault="003436FE" w:rsidP="003436FE">
      <w:pPr>
        <w:numPr>
          <w:ilvl w:val="0"/>
          <w:numId w:val="38"/>
        </w:numPr>
        <w:shd w:val="clear" w:color="auto" w:fill="FFFFFF"/>
        <w:spacing w:before="120" w:after="120"/>
        <w:ind w:left="426" w:hanging="426"/>
        <w:jc w:val="both"/>
        <w:rPr>
          <w:sz w:val="22"/>
          <w:szCs w:val="22"/>
        </w:rPr>
      </w:pPr>
      <w:r w:rsidRPr="004767D1">
        <w:rPr>
          <w:sz w:val="22"/>
          <w:szCs w:val="22"/>
        </w:rPr>
        <w:t>Enter the provision for incidental expenditure given in Section 6.5 of the Terms of Reference in the first worksheet (‘Budget breakdown’)</w:t>
      </w:r>
    </w:p>
    <w:p w:rsidR="003436FE" w:rsidRPr="004767D1" w:rsidRDefault="003436FE" w:rsidP="003436FE">
      <w:pPr>
        <w:numPr>
          <w:ilvl w:val="0"/>
          <w:numId w:val="38"/>
        </w:numPr>
        <w:shd w:val="clear" w:color="auto" w:fill="FFFFFF"/>
        <w:spacing w:before="120" w:after="120"/>
        <w:ind w:left="426" w:hanging="426"/>
        <w:jc w:val="both"/>
        <w:rPr>
          <w:sz w:val="22"/>
          <w:szCs w:val="22"/>
        </w:rPr>
      </w:pPr>
      <w:r w:rsidRPr="004767D1">
        <w:rPr>
          <w:sz w:val="22"/>
          <w:szCs w:val="22"/>
        </w:rPr>
        <w:t>Enter the provision for expenditure verification given in Section 6.</w:t>
      </w:r>
      <w:r w:rsidR="00EA6B94" w:rsidRPr="004767D1">
        <w:rPr>
          <w:sz w:val="22"/>
          <w:szCs w:val="22"/>
        </w:rPr>
        <w:t>7</w:t>
      </w:r>
      <w:r w:rsidRPr="004767D1">
        <w:rPr>
          <w:sz w:val="22"/>
          <w:szCs w:val="22"/>
        </w:rPr>
        <w:t xml:space="preserve"> of the Terms of Reference in the first worksheet (‘Budget breakdown’)</w:t>
      </w:r>
      <w:r w:rsidR="00E222AD" w:rsidRPr="004767D1">
        <w:rPr>
          <w:sz w:val="22"/>
          <w:szCs w:val="22"/>
        </w:rPr>
        <w:t>.</w:t>
      </w:r>
    </w:p>
    <w:p w:rsidR="003436FE" w:rsidRPr="002B370E" w:rsidRDefault="003436FE" w:rsidP="003436FE">
      <w:pPr>
        <w:shd w:val="clear" w:color="auto" w:fill="FFFFFF"/>
        <w:spacing w:before="120" w:after="120"/>
        <w:jc w:val="both"/>
        <w:rPr>
          <w:sz w:val="22"/>
          <w:szCs w:val="22"/>
        </w:rPr>
      </w:pPr>
      <w:r w:rsidRPr="004767D1">
        <w:rPr>
          <w:sz w:val="22"/>
          <w:szCs w:val="22"/>
        </w:rPr>
        <w:t>The estimated budget for incidental expenditure and expenditure verification are to be pre-filled in the template budget breakdown in the tender dossier.</w:t>
      </w:r>
      <w:r w:rsidRPr="00E84A51">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4767D1">
        <w:rPr>
          <w:sz w:val="22"/>
          <w:szCs w:val="22"/>
        </w:rPr>
        <w:t>EUR</w:t>
      </w:r>
      <w:r w:rsidR="004767D1">
        <w:rPr>
          <w:sz w:val="22"/>
          <w:szCs w:val="22"/>
        </w:rPr>
        <w:t xml:space="preserve"> </w:t>
      </w:r>
      <w:r w:rsidRPr="002B370E">
        <w:rPr>
          <w:sz w:val="22"/>
          <w:szCs w:val="22"/>
        </w:rPr>
        <w:t>&lt;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FD16A9" w:rsidRPr="00850B5F" w:rsidRDefault="00FD16A9" w:rsidP="00FD16A9">
      <w:pPr>
        <w:jc w:val="both"/>
        <w:rPr>
          <w:color w:val="FF0000"/>
          <w:sz w:val="22"/>
          <w:szCs w:val="22"/>
        </w:rPr>
      </w:pPr>
      <w:r w:rsidRPr="00850B5F">
        <w:rPr>
          <w:color w:val="FF0000"/>
          <w:sz w:val="22"/>
          <w:szCs w:val="22"/>
        </w:rPr>
        <w:t>The European Commission and Montenegro have agreed in the Framework Agreement on rules for co-operation concerning financial assistance to Montenegro in the framework of implementation of the assistance under the instrument for pre-accession (IPA) to allow full exemption from the following taxes:</w:t>
      </w:r>
    </w:p>
    <w:p w:rsidR="00FD16A9" w:rsidRPr="00850B5F" w:rsidRDefault="00FD16A9" w:rsidP="00FD16A9">
      <w:pPr>
        <w:numPr>
          <w:ilvl w:val="0"/>
          <w:numId w:val="48"/>
        </w:numPr>
        <w:ind w:left="426"/>
        <w:jc w:val="both"/>
        <w:rPr>
          <w:color w:val="FF0000"/>
          <w:sz w:val="22"/>
          <w:szCs w:val="22"/>
        </w:rPr>
      </w:pPr>
      <w:r w:rsidRPr="00850B5F">
        <w:rPr>
          <w:color w:val="FF0000"/>
          <w:sz w:val="22"/>
          <w:szCs w:val="22"/>
        </w:rPr>
        <w:t>Customs duties, import duties, taxes or fiscal charges having equivalent effect</w:t>
      </w:r>
    </w:p>
    <w:p w:rsidR="00FD16A9" w:rsidRDefault="00FD16A9" w:rsidP="00FD16A9">
      <w:pPr>
        <w:numPr>
          <w:ilvl w:val="0"/>
          <w:numId w:val="48"/>
        </w:numPr>
        <w:ind w:left="426"/>
        <w:jc w:val="both"/>
        <w:rPr>
          <w:color w:val="FF0000"/>
          <w:sz w:val="22"/>
          <w:szCs w:val="22"/>
        </w:rPr>
      </w:pPr>
      <w:r w:rsidRPr="00850B5F">
        <w:rPr>
          <w:color w:val="FF0000"/>
          <w:sz w:val="22"/>
          <w:szCs w:val="22"/>
        </w:rPr>
        <w:t>Value added tax, documentary stamp or registration duties or fiscal charges having equivalent effect</w:t>
      </w:r>
    </w:p>
    <w:p w:rsidR="003436FE" w:rsidRPr="004767D1" w:rsidRDefault="003436FE" w:rsidP="004767D1">
      <w:pPr>
        <w:spacing w:before="120"/>
        <w:jc w:val="both"/>
        <w:rPr>
          <w:sz w:val="22"/>
          <w:szCs w:val="22"/>
        </w:rPr>
      </w:pPr>
    </w:p>
    <w:p w:rsidR="003436FE" w:rsidRPr="004767D1" w:rsidRDefault="003436FE" w:rsidP="003436FE">
      <w:pPr>
        <w:shd w:val="clear" w:color="auto" w:fill="FFFFFF"/>
        <w:spacing w:before="120" w:after="120"/>
        <w:jc w:val="both"/>
        <w:rPr>
          <w:sz w:val="22"/>
          <w:szCs w:val="22"/>
          <w:u w:val="single"/>
        </w:rPr>
      </w:pPr>
      <w:r w:rsidRPr="004767D1">
        <w:rPr>
          <w:sz w:val="22"/>
          <w:szCs w:val="22"/>
          <w:u w:val="single"/>
        </w:rPr>
        <w:t>Incidental expenditure</w:t>
      </w:r>
    </w:p>
    <w:p w:rsidR="003436FE" w:rsidRPr="002B370E" w:rsidRDefault="003436FE" w:rsidP="003436FE">
      <w:pPr>
        <w:shd w:val="clear" w:color="auto" w:fill="FFFFFF"/>
        <w:spacing w:before="120" w:after="120"/>
        <w:jc w:val="both"/>
        <w:rPr>
          <w:sz w:val="22"/>
          <w:szCs w:val="22"/>
        </w:rPr>
      </w:pPr>
      <w:r w:rsidRPr="004767D1">
        <w:rPr>
          <w:sz w:val="22"/>
          <w:szCs w:val="22"/>
        </w:rPr>
        <w:t xml:space="preserve">Incidental expenditure incurred by the </w:t>
      </w:r>
      <w:r w:rsidR="0004095E" w:rsidRPr="004767D1">
        <w:rPr>
          <w:sz w:val="22"/>
          <w:szCs w:val="22"/>
        </w:rPr>
        <w:t>Contractor</w:t>
      </w:r>
      <w:r w:rsidRPr="004767D1">
        <w:rPr>
          <w:sz w:val="22"/>
          <w:szCs w:val="22"/>
        </w:rPr>
        <w:t xml:space="preserve"> and</w:t>
      </w:r>
      <w:r w:rsidR="00517439" w:rsidRPr="004767D1">
        <w:rPr>
          <w:sz w:val="22"/>
          <w:szCs w:val="22"/>
        </w:rPr>
        <w:t>, if applicable,</w:t>
      </w:r>
      <w:r w:rsidRPr="004767D1">
        <w:rPr>
          <w:sz w:val="22"/>
          <w:szCs w:val="22"/>
        </w:rPr>
        <w:t xml:space="preserve"> approved by the Contracting Authority shall be reimbursed in full.]</w:t>
      </w:r>
    </w:p>
    <w:p w:rsidR="003436FE" w:rsidRPr="002B370E" w:rsidRDefault="004767D1" w:rsidP="003436FE">
      <w:pPr>
        <w:spacing w:after="120"/>
        <w:rPr>
          <w:sz w:val="22"/>
          <w:szCs w:val="22"/>
        </w:rPr>
      </w:pPr>
      <w:r>
        <w:rPr>
          <w:sz w:val="22"/>
          <w:szCs w:val="22"/>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rsidR="003436FE" w:rsidRPr="002B370E" w:rsidRDefault="003436FE" w:rsidP="003436FE">
      <w:pPr>
        <w:pStyle w:val="Telobesedila"/>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section 2.3.3.1 of the Practical Guide,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If the Contracting Authority,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sidR="000C5425">
        <w:rPr>
          <w:sz w:val="22"/>
          <w:szCs w:val="22"/>
        </w:rPr>
        <w:t>tenderer</w:t>
      </w:r>
      <w:r w:rsidRPr="002B370E">
        <w:rPr>
          <w:sz w:val="22"/>
          <w:szCs w:val="22"/>
        </w:rPr>
        <w:t xml:space="preserve">, provides additional information on the tender dossier, it must send such information in writing to all </w:t>
      </w:r>
      <w:r w:rsidR="000C5425">
        <w:rPr>
          <w:sz w:val="22"/>
          <w:szCs w:val="22"/>
        </w:rPr>
        <w:t>the tenderers</w:t>
      </w:r>
      <w:r w:rsidRPr="002B370E">
        <w:rPr>
          <w:sz w:val="22"/>
          <w:szCs w:val="22"/>
        </w:rPr>
        <w:t xml:space="preserve"> at the same time.</w:t>
      </w:r>
    </w:p>
    <w:p w:rsidR="003436FE" w:rsidRPr="002B370E" w:rsidRDefault="003436FE" w:rsidP="003436FE">
      <w:pPr>
        <w:keepNext/>
        <w:spacing w:before="120" w:after="120"/>
        <w:jc w:val="both"/>
        <w:rPr>
          <w:sz w:val="22"/>
          <w:szCs w:val="22"/>
        </w:rPr>
      </w:pPr>
      <w:r w:rsidRPr="002B370E">
        <w:rPr>
          <w:sz w:val="22"/>
          <w:szCs w:val="22"/>
        </w:rPr>
        <w:lastRenderedPageBreak/>
        <w:t>Tenderers may submit questions in writing to the following address up to 21 days before the deadline for submission of tenders, specifying the publication reference and the contract title:</w:t>
      </w:r>
    </w:p>
    <w:p w:rsidR="003436FE" w:rsidRPr="002B370E" w:rsidRDefault="003436FE" w:rsidP="003436FE">
      <w:pPr>
        <w:pStyle w:val="Telobesedila"/>
        <w:spacing w:before="240"/>
        <w:rPr>
          <w:sz w:val="22"/>
          <w:szCs w:val="22"/>
        </w:rPr>
      </w:pPr>
      <w:r w:rsidRPr="002B370E">
        <w:rPr>
          <w:sz w:val="22"/>
          <w:szCs w:val="22"/>
        </w:rPr>
        <w:t>&lt;</w:t>
      </w:r>
      <w:r w:rsidRPr="005D1583">
        <w:rPr>
          <w:sz w:val="22"/>
          <w:szCs w:val="22"/>
          <w:highlight w:val="yellow"/>
        </w:rPr>
        <w:t>Contact name</w:t>
      </w:r>
      <w:r w:rsidRPr="005D1583">
        <w:rPr>
          <w:sz w:val="22"/>
          <w:szCs w:val="22"/>
          <w:highlight w:val="yellow"/>
        </w:rPr>
        <w:br/>
        <w:t>Address</w:t>
      </w:r>
      <w:r w:rsidRPr="005D1583">
        <w:rPr>
          <w:sz w:val="22"/>
          <w:szCs w:val="22"/>
          <w:highlight w:val="yellow"/>
        </w:rPr>
        <w:br/>
        <w:t>Fax No</w:t>
      </w:r>
      <w:r w:rsidRPr="005D1583">
        <w:rPr>
          <w:sz w:val="22"/>
          <w:szCs w:val="22"/>
          <w:highlight w:val="yellow"/>
        </w:rPr>
        <w:br/>
        <w:t>E-mail</w:t>
      </w:r>
      <w:r w:rsidRPr="002B370E">
        <w:rPr>
          <w:sz w:val="22"/>
          <w:szCs w:val="22"/>
        </w:rPr>
        <w:t>&gt;</w:t>
      </w:r>
    </w:p>
    <w:p w:rsidR="003436FE" w:rsidRPr="002B370E" w:rsidRDefault="003436FE" w:rsidP="003436FE">
      <w:pPr>
        <w:pStyle w:val="Telobesedila"/>
        <w:spacing w:before="120" w:after="120"/>
        <w:jc w:val="both"/>
        <w:rPr>
          <w:sz w:val="22"/>
          <w:szCs w:val="22"/>
        </w:rPr>
      </w:pPr>
      <w:r w:rsidRPr="002B370E">
        <w:rPr>
          <w:sz w:val="22"/>
          <w:szCs w:val="22"/>
        </w:rPr>
        <w:t>The Contracting Authority has no obligation to provide clarification after this date.</w:t>
      </w:r>
    </w:p>
    <w:p w:rsidR="003436FE" w:rsidRDefault="003436FE" w:rsidP="003436FE">
      <w:pPr>
        <w:pStyle w:val="Telobesedila"/>
        <w:spacing w:before="120" w:after="120"/>
        <w:jc w:val="both"/>
        <w:rPr>
          <w:sz w:val="22"/>
          <w:szCs w:val="22"/>
        </w:rPr>
      </w:pPr>
      <w:r w:rsidRPr="002B370E">
        <w:rPr>
          <w:sz w:val="22"/>
          <w:szCs w:val="22"/>
        </w:rPr>
        <w:t xml:space="preserve">Any tenderer seeking to arrange individual meetings with the Contracting Authority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Telobesedila"/>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rsidR="003436FE" w:rsidRPr="002B370E" w:rsidRDefault="003436FE" w:rsidP="003436FE">
      <w:pPr>
        <w:spacing w:before="120" w:after="120"/>
        <w:jc w:val="both"/>
        <w:rPr>
          <w:sz w:val="22"/>
          <w:szCs w:val="22"/>
        </w:rPr>
      </w:pPr>
      <w:r w:rsidRPr="002B370E">
        <w:rPr>
          <w:sz w:val="22"/>
          <w:szCs w:val="22"/>
        </w:rPr>
        <w:t xml:space="preserve">Tenders must be </w:t>
      </w:r>
      <w:r>
        <w:rPr>
          <w:sz w:val="22"/>
          <w:szCs w:val="22"/>
        </w:rPr>
        <w:t xml:space="preserve">delivered </w:t>
      </w:r>
      <w:r w:rsidR="0014136C">
        <w:rPr>
          <w:sz w:val="22"/>
          <w:szCs w:val="22"/>
        </w:rPr>
        <w:t xml:space="preserve">to the Contracting Authority </w:t>
      </w:r>
      <w:r>
        <w:rPr>
          <w:sz w:val="22"/>
          <w:szCs w:val="22"/>
        </w:rPr>
        <w:t xml:space="preserve">for </w:t>
      </w:r>
      <w:r w:rsidRPr="002B370E">
        <w:rPr>
          <w:b/>
          <w:sz w:val="22"/>
          <w:szCs w:val="22"/>
        </w:rPr>
        <w:t>recei</w:t>
      </w:r>
      <w:r>
        <w:rPr>
          <w:b/>
          <w:sz w:val="22"/>
          <w:szCs w:val="22"/>
        </w:rPr>
        <w:t>pt</w:t>
      </w:r>
      <w:r w:rsidRPr="002B370E">
        <w:rPr>
          <w:b/>
          <w:sz w:val="22"/>
          <w:szCs w:val="22"/>
        </w:rPr>
        <w:t xml:space="preserve"> </w:t>
      </w:r>
      <w:r w:rsidRPr="002B370E">
        <w:rPr>
          <w:sz w:val="22"/>
          <w:szCs w:val="22"/>
        </w:rPr>
        <w:t xml:space="preserve">before &lt; </w:t>
      </w:r>
      <w:r w:rsidRPr="00DE1210">
        <w:rPr>
          <w:sz w:val="22"/>
          <w:szCs w:val="22"/>
          <w:highlight w:val="yellow"/>
        </w:rPr>
        <w:t xml:space="preserve">date &amp; time of deadline, at least </w:t>
      </w:r>
      <w:r w:rsidR="000C5425">
        <w:rPr>
          <w:sz w:val="22"/>
          <w:szCs w:val="22"/>
          <w:highlight w:val="yellow"/>
        </w:rPr>
        <w:t>3</w:t>
      </w:r>
      <w:r w:rsidRPr="00DE1210">
        <w:rPr>
          <w:sz w:val="22"/>
          <w:szCs w:val="22"/>
          <w:highlight w:val="yellow"/>
        </w:rPr>
        <w:t>0 days after the date of the invitation letter and at the close of business of a working day</w:t>
      </w:r>
      <w:r w:rsidRPr="002B370E">
        <w:rPr>
          <w:sz w:val="22"/>
          <w:szCs w:val="22"/>
        </w:rPr>
        <w:t xml:space="preserve"> &gt;. They must include the requested documents in clause 4 above and be s</w:t>
      </w:r>
      <w:r>
        <w:rPr>
          <w:sz w:val="22"/>
          <w:szCs w:val="22"/>
        </w:rPr>
        <w:t>ent</w:t>
      </w:r>
      <w:r w:rsidRPr="002B370E">
        <w:rPr>
          <w:sz w:val="22"/>
          <w:szCs w:val="22"/>
        </w:rPr>
        <w:t>:</w:t>
      </w:r>
    </w:p>
    <w:p w:rsidR="003436FE" w:rsidRPr="002B370E" w:rsidRDefault="003436FE" w:rsidP="003436FE">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Pr="002B370E">
        <w:rPr>
          <w:rStyle w:val="Krepko"/>
          <w:b w:val="0"/>
          <w:sz w:val="22"/>
          <w:szCs w:val="22"/>
        </w:rPr>
        <w:t>recorded delivery</w:t>
      </w:r>
      <w:r w:rsidRPr="002B370E">
        <w:rPr>
          <w:sz w:val="22"/>
          <w:szCs w:val="22"/>
        </w:rPr>
        <w:t xml:space="preserve"> (official postal service) to:</w:t>
      </w:r>
    </w:p>
    <w:p w:rsidR="003436FE" w:rsidRDefault="00F21243" w:rsidP="003436FE">
      <w:pPr>
        <w:pStyle w:val="Blockquote"/>
        <w:keepNext/>
        <w:keepLines/>
        <w:spacing w:before="120" w:after="120"/>
        <w:jc w:val="center"/>
        <w:rPr>
          <w:rStyle w:val="Poudarek"/>
          <w:i w:val="0"/>
          <w:sz w:val="22"/>
          <w:szCs w:val="22"/>
          <w:lang w:val="en-GB"/>
        </w:rPr>
      </w:pP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indirect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Poudarek"/>
          <w:sz w:val="22"/>
          <w:szCs w:val="22"/>
          <w:lang w:val="en-GB"/>
        </w:rPr>
        <w:t>&lt;</w:t>
      </w:r>
      <w:r w:rsidR="003436FE" w:rsidRPr="005D1583">
        <w:rPr>
          <w:rStyle w:val="Poudarek"/>
          <w:i w:val="0"/>
          <w:sz w:val="22"/>
          <w:szCs w:val="22"/>
          <w:highlight w:val="yellow"/>
          <w:lang w:val="en-GB"/>
        </w:rPr>
        <w:t>Address of Contracting Authority</w:t>
      </w:r>
      <w:r w:rsidR="003436FE" w:rsidRPr="002B370E">
        <w:rPr>
          <w:rStyle w:val="Poudarek"/>
          <w:sz w:val="22"/>
          <w:szCs w:val="22"/>
          <w:lang w:val="en-GB"/>
        </w:rPr>
        <w:t>&gt;</w:t>
      </w:r>
      <w:r>
        <w:rPr>
          <w:rStyle w:val="Poudarek"/>
          <w:i w:val="0"/>
          <w:sz w:val="22"/>
          <w:szCs w:val="22"/>
          <w:lang w:val="en-GB"/>
        </w:rPr>
        <w:t>]</w:t>
      </w:r>
      <w:r w:rsidR="003436FE" w:rsidRPr="002B370E">
        <w:rPr>
          <w:rStyle w:val="Poudarek"/>
          <w:sz w:val="22"/>
          <w:szCs w:val="22"/>
          <w:lang w:val="en-GB"/>
        </w:rPr>
        <w:br/>
      </w:r>
      <w:r w:rsidR="003436FE" w:rsidRPr="002B370E">
        <w:rPr>
          <w:sz w:val="22"/>
          <w:szCs w:val="22"/>
          <w:lang w:val="en-GB"/>
        </w:rPr>
        <w:br/>
      </w: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Poudarek"/>
          <w:sz w:val="22"/>
          <w:szCs w:val="22"/>
          <w:lang w:val="en-GB"/>
        </w:rPr>
        <w:t>&lt;</w:t>
      </w:r>
      <w:r w:rsidR="003436FE" w:rsidRPr="005D1583">
        <w:rPr>
          <w:rStyle w:val="Poudarek"/>
          <w:i w:val="0"/>
          <w:sz w:val="22"/>
          <w:szCs w:val="22"/>
          <w:highlight w:val="yellow"/>
          <w:lang w:val="en-GB"/>
        </w:rPr>
        <w:t>Address of European Commission</w:t>
      </w:r>
      <w:r w:rsidR="003436FE" w:rsidRPr="002B370E">
        <w:rPr>
          <w:rStyle w:val="Poudarek"/>
          <w:sz w:val="22"/>
          <w:szCs w:val="22"/>
          <w:lang w:val="en-GB"/>
        </w:rPr>
        <w:t>&gt;</w:t>
      </w:r>
      <w:r>
        <w:rPr>
          <w:rStyle w:val="Poudarek"/>
          <w:i w:val="0"/>
          <w:sz w:val="22"/>
          <w:szCs w:val="22"/>
          <w:lang w:val="en-GB"/>
        </w:rPr>
        <w:t>]</w:t>
      </w:r>
    </w:p>
    <w:p w:rsidR="00B36721" w:rsidRPr="00F21243" w:rsidRDefault="00B36721" w:rsidP="00A94AD3">
      <w:pPr>
        <w:pStyle w:val="Blockquote"/>
        <w:keepNext/>
        <w:keepLines/>
        <w:spacing w:before="120" w:after="120"/>
        <w:jc w:val="both"/>
        <w:rPr>
          <w:sz w:val="22"/>
          <w:szCs w:val="22"/>
          <w:lang w:val="en-GB"/>
        </w:rPr>
      </w:pPr>
      <w:r>
        <w:rPr>
          <w:rStyle w:val="Poudarek"/>
          <w:i w:val="0"/>
          <w:sz w:val="22"/>
          <w:szCs w:val="22"/>
          <w:lang w:val="en-GB"/>
        </w:rPr>
        <w:t>In this case, the delivery record makes proof of compliance with the time-limit for receipt.</w:t>
      </w:r>
    </w:p>
    <w:p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Krepko"/>
          <w:b w:val="0"/>
          <w:sz w:val="22"/>
          <w:szCs w:val="22"/>
        </w:rPr>
        <w:t>hand delivered</w:t>
      </w:r>
      <w:r w:rsidRPr="002B370E">
        <w:rPr>
          <w:sz w:val="22"/>
          <w:szCs w:val="22"/>
        </w:rPr>
        <w:t xml:space="preserve"> (including courier services) </w:t>
      </w:r>
      <w:r w:rsidRPr="002B370E">
        <w:rPr>
          <w:rStyle w:val="Krepko"/>
          <w:b w:val="0"/>
          <w:sz w:val="22"/>
          <w:szCs w:val="22"/>
        </w:rPr>
        <w:t>directly</w:t>
      </w:r>
      <w:r w:rsidRPr="002B370E">
        <w:rPr>
          <w:sz w:val="22"/>
          <w:szCs w:val="22"/>
        </w:rPr>
        <w:t xml:space="preserve"> to the Contracting Authority </w:t>
      </w:r>
      <w:r>
        <w:rPr>
          <w:sz w:val="22"/>
          <w:szCs w:val="22"/>
        </w:rPr>
        <w:t>against</w:t>
      </w:r>
      <w:r w:rsidRPr="002B370E">
        <w:rPr>
          <w:sz w:val="22"/>
          <w:szCs w:val="22"/>
        </w:rPr>
        <w:t xml:space="preserve"> a </w:t>
      </w:r>
      <w:r w:rsidRPr="002B370E">
        <w:rPr>
          <w:rStyle w:val="Krepko"/>
          <w:b w:val="0"/>
          <w:sz w:val="22"/>
          <w:szCs w:val="22"/>
        </w:rPr>
        <w:t>signed and dated receipt</w:t>
      </w:r>
      <w:r w:rsidRPr="002B370E">
        <w:rPr>
          <w:sz w:val="22"/>
          <w:szCs w:val="22"/>
        </w:rPr>
        <w:t xml:space="preserve"> to:</w:t>
      </w:r>
    </w:p>
    <w:p w:rsidR="003436FE" w:rsidRDefault="00F21243" w:rsidP="003436FE">
      <w:pPr>
        <w:pStyle w:val="Blockquote"/>
        <w:spacing w:before="120" w:after="120"/>
        <w:jc w:val="center"/>
        <w:rPr>
          <w:rStyle w:val="Poudarek"/>
          <w:i w:val="0"/>
          <w:sz w:val="22"/>
          <w:szCs w:val="22"/>
          <w:lang w:val="en-GB"/>
        </w:rPr>
      </w:pP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indirect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Poudarek"/>
          <w:sz w:val="22"/>
          <w:szCs w:val="22"/>
          <w:lang w:val="en-GB"/>
        </w:rPr>
        <w:t>&lt;</w:t>
      </w:r>
      <w:r w:rsidR="003436FE" w:rsidRPr="005D1583">
        <w:rPr>
          <w:rStyle w:val="Poudarek"/>
          <w:i w:val="0"/>
          <w:sz w:val="22"/>
          <w:szCs w:val="22"/>
          <w:highlight w:val="yellow"/>
          <w:lang w:val="en-GB"/>
        </w:rPr>
        <w:t>Address of Contracting Authority</w:t>
      </w:r>
      <w:r w:rsidR="0022643A" w:rsidRPr="0022643A">
        <w:rPr>
          <w:sz w:val="22"/>
          <w:highlight w:val="yellow"/>
          <w:lang w:val="en-GB"/>
        </w:rPr>
        <w:t xml:space="preserve"> </w:t>
      </w:r>
      <w:r w:rsidR="0022643A" w:rsidRPr="002C7CD2">
        <w:rPr>
          <w:sz w:val="22"/>
          <w:highlight w:val="yellow"/>
          <w:lang w:val="en-GB"/>
        </w:rPr>
        <w:t>including opening hours</w:t>
      </w:r>
      <w:r w:rsidR="0022643A" w:rsidRPr="008813D2">
        <w:rPr>
          <w:sz w:val="22"/>
          <w:lang w:val="en-GB"/>
        </w:rPr>
        <w:t xml:space="preserve"> </w:t>
      </w:r>
      <w:r w:rsidR="003436FE" w:rsidRPr="002B370E">
        <w:rPr>
          <w:rStyle w:val="Poudarek"/>
          <w:sz w:val="22"/>
          <w:szCs w:val="22"/>
          <w:lang w:val="en-GB"/>
        </w:rPr>
        <w:t>&gt;</w:t>
      </w:r>
      <w:r>
        <w:rPr>
          <w:rStyle w:val="Poudarek"/>
          <w:i w:val="0"/>
          <w:sz w:val="22"/>
          <w:szCs w:val="22"/>
          <w:lang w:val="en-GB"/>
        </w:rPr>
        <w:t>]</w:t>
      </w:r>
      <w:r w:rsidR="003436FE" w:rsidRPr="002B370E">
        <w:rPr>
          <w:rStyle w:val="Poudarek"/>
          <w:sz w:val="22"/>
          <w:szCs w:val="22"/>
          <w:lang w:val="en-GB"/>
        </w:rPr>
        <w:br/>
      </w:r>
      <w:r w:rsidR="003436FE" w:rsidRPr="002B370E">
        <w:rPr>
          <w:sz w:val="22"/>
          <w:szCs w:val="22"/>
          <w:lang w:val="en-GB"/>
        </w:rPr>
        <w:br/>
      </w:r>
      <w:r>
        <w:rPr>
          <w:sz w:val="22"/>
          <w:szCs w:val="22"/>
          <w:highlight w:val="yellow"/>
          <w:lang w:val="en-GB"/>
        </w:rPr>
        <w:t>[</w:t>
      </w:r>
      <w:r w:rsidR="003436FE" w:rsidRPr="002B370E">
        <w:rPr>
          <w:sz w:val="22"/>
          <w:szCs w:val="22"/>
          <w:highlight w:val="yellow"/>
          <w:lang w:val="en-GB"/>
        </w:rPr>
        <w:t xml:space="preserve">for </w:t>
      </w:r>
      <w:r w:rsidR="008100D6">
        <w:rPr>
          <w:sz w:val="22"/>
          <w:szCs w:val="22"/>
          <w:highlight w:val="yellow"/>
          <w:lang w:val="en-GB"/>
        </w:rPr>
        <w:t>direct management</w:t>
      </w:r>
      <w:r w:rsidR="008100D6" w:rsidRPr="002B370E" w:rsidDel="008100D6">
        <w:rPr>
          <w:sz w:val="22"/>
          <w:szCs w:val="22"/>
          <w:highlight w:val="yellow"/>
          <w:lang w:val="en-GB"/>
        </w:rPr>
        <w:t xml:space="preserve"> </w:t>
      </w:r>
      <w:r w:rsidR="003436FE" w:rsidRPr="002B370E">
        <w:rPr>
          <w:sz w:val="22"/>
          <w:szCs w:val="22"/>
          <w:lang w:val="en-GB"/>
        </w:rPr>
        <w:br/>
      </w:r>
      <w:r w:rsidR="003436FE" w:rsidRPr="002B370E">
        <w:rPr>
          <w:rStyle w:val="Poudarek"/>
          <w:sz w:val="22"/>
          <w:szCs w:val="22"/>
          <w:lang w:val="en-GB"/>
        </w:rPr>
        <w:t>&lt;</w:t>
      </w:r>
      <w:r w:rsidR="003436FE" w:rsidRPr="005D1583">
        <w:rPr>
          <w:rStyle w:val="Poudarek"/>
          <w:i w:val="0"/>
          <w:sz w:val="22"/>
          <w:szCs w:val="22"/>
          <w:highlight w:val="yellow"/>
          <w:lang w:val="en-GB"/>
        </w:rPr>
        <w:t>Address of European Commission</w:t>
      </w:r>
      <w:r w:rsidR="0022643A" w:rsidRPr="0022643A">
        <w:rPr>
          <w:sz w:val="22"/>
          <w:highlight w:val="yellow"/>
          <w:lang w:val="en-GB"/>
        </w:rPr>
        <w:t xml:space="preserve"> </w:t>
      </w:r>
      <w:r w:rsidR="0022643A" w:rsidRPr="002C7CD2">
        <w:rPr>
          <w:sz w:val="22"/>
          <w:highlight w:val="yellow"/>
          <w:lang w:val="en-GB"/>
        </w:rPr>
        <w:t>including opening hours</w:t>
      </w:r>
      <w:r w:rsidR="0022643A" w:rsidRPr="008813D2">
        <w:rPr>
          <w:sz w:val="22"/>
          <w:lang w:val="en-GB"/>
        </w:rPr>
        <w:t xml:space="preserve"> </w:t>
      </w:r>
      <w:r w:rsidR="003436FE" w:rsidRPr="002B370E">
        <w:rPr>
          <w:rStyle w:val="Poudarek"/>
          <w:sz w:val="22"/>
          <w:szCs w:val="22"/>
          <w:lang w:val="en-GB"/>
        </w:rPr>
        <w:t>&gt;</w:t>
      </w:r>
      <w:r>
        <w:rPr>
          <w:rStyle w:val="Poudarek"/>
          <w:i w:val="0"/>
          <w:sz w:val="22"/>
          <w:szCs w:val="22"/>
          <w:lang w:val="en-GB"/>
        </w:rPr>
        <w:t>]</w:t>
      </w:r>
    </w:p>
    <w:p w:rsidR="0022643A" w:rsidRPr="00902DD5" w:rsidRDefault="0022643A" w:rsidP="0022643A">
      <w:pPr>
        <w:pStyle w:val="Blockquote"/>
        <w:keepNext/>
        <w:keepLines/>
        <w:spacing w:before="120" w:after="120"/>
        <w:jc w:val="both"/>
        <w:rPr>
          <w:sz w:val="22"/>
          <w:szCs w:val="22"/>
          <w:lang w:val="en-GB"/>
        </w:rPr>
      </w:pPr>
      <w:r>
        <w:rPr>
          <w:rStyle w:val="Poudarek"/>
          <w:i w:val="0"/>
          <w:sz w:val="22"/>
          <w:szCs w:val="22"/>
          <w:lang w:val="en-GB"/>
        </w:rPr>
        <w:t>In this case, the acknowledgment of receipt makes proof of compliance with the time-limit for receipt.</w:t>
      </w:r>
    </w:p>
    <w:p w:rsidR="003436FE" w:rsidRPr="002B370E" w:rsidRDefault="003436FE" w:rsidP="003436FE">
      <w:pPr>
        <w:spacing w:before="120" w:after="120"/>
        <w:jc w:val="both"/>
        <w:rPr>
          <w:sz w:val="22"/>
          <w:szCs w:val="22"/>
        </w:rPr>
      </w:pPr>
      <w:r w:rsidRPr="002B370E">
        <w:rPr>
          <w:rStyle w:val="Krepko"/>
          <w:sz w:val="22"/>
          <w:szCs w:val="22"/>
        </w:rPr>
        <w:t xml:space="preserve">Tenders submitted by any other means will not be considered. </w:t>
      </w: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All parts of the tender other than the financial offer must be submitted in Envelope A (i.e., including the Tender submission form, statements of exclusivity and availability of the key experts and declarations).</w:t>
      </w:r>
    </w:p>
    <w:p w:rsidR="003436FE" w:rsidRPr="002B370E" w:rsidRDefault="003436FE" w:rsidP="003436FE">
      <w:pPr>
        <w:spacing w:before="120" w:after="120"/>
        <w:jc w:val="both"/>
        <w:rPr>
          <w:sz w:val="22"/>
          <w:szCs w:val="22"/>
        </w:rPr>
      </w:pPr>
      <w:r w:rsidRPr="002B370E">
        <w:rPr>
          <w:b/>
          <w:sz w:val="22"/>
          <w:szCs w:val="22"/>
        </w:rPr>
        <w:t xml:space="preserve">Any infringement of these rules (e.g., unsealed envelopes or references to price in the technical offer) </w:t>
      </w:r>
      <w:r w:rsidR="0022643A">
        <w:rPr>
          <w:b/>
          <w:sz w:val="22"/>
          <w:szCs w:val="22"/>
        </w:rPr>
        <w:t xml:space="preserve">constitutes an irregularity which </w:t>
      </w:r>
      <w:r w:rsidRPr="002B370E">
        <w:rPr>
          <w:b/>
          <w:sz w:val="22"/>
          <w:szCs w:val="22"/>
        </w:rPr>
        <w:t>will lead to rejection of the tender.</w:t>
      </w:r>
      <w:r w:rsidRPr="002B370E">
        <w:rPr>
          <w:sz w:val="22"/>
          <w:szCs w:val="22"/>
        </w:rPr>
        <w:t xml:space="preserve"> </w:t>
      </w:r>
    </w:p>
    <w:p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Pr="002B370E">
        <w:rPr>
          <w:b/>
          <w:sz w:val="22"/>
          <w:szCs w:val="22"/>
        </w:rPr>
        <w:t>&lt;</w:t>
      </w:r>
      <w:r w:rsidRPr="00A94AD3">
        <w:rPr>
          <w:sz w:val="22"/>
          <w:szCs w:val="22"/>
          <w:highlight w:val="yellow"/>
        </w:rPr>
        <w:t>publication reference</w:t>
      </w:r>
      <w:r w:rsidRPr="002B370E">
        <w:rPr>
          <w:b/>
          <w:sz w:val="22"/>
          <w:szCs w:val="22"/>
        </w:rPr>
        <w:t>&gt;</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E15693">
        <w:rPr>
          <w:sz w:val="22"/>
          <w:szCs w:val="22"/>
        </w:rPr>
        <w:t>‘Ne otvarati pre sastanka za otvaranje ponuda’</w:t>
      </w:r>
      <w:r w:rsidRPr="002B370E">
        <w:rPr>
          <w:sz w:val="22"/>
          <w:szCs w:val="22"/>
        </w:rPr>
        <w:t>;</w:t>
      </w:r>
    </w:p>
    <w:p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lastRenderedPageBreak/>
        <w:t>the name of the tenderer.</w:t>
      </w:r>
    </w:p>
    <w:p w:rsidR="003436FE" w:rsidRPr="002B370E" w:rsidRDefault="003436FE" w:rsidP="003436FE">
      <w:pPr>
        <w:spacing w:before="120" w:after="120"/>
        <w:jc w:val="both"/>
        <w:rPr>
          <w:sz w:val="22"/>
          <w:szCs w:val="22"/>
        </w:rPr>
      </w:pPr>
      <w:r w:rsidRPr="002B370E">
        <w:rPr>
          <w:sz w:val="22"/>
          <w:szCs w:val="22"/>
        </w:rPr>
        <w:t>The pages of the Technical and Financial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fldSimple w:instr=" REF _Ref499982672 \r \h  \* MERGEFORMAT ">
        <w:r w:rsidR="007A0123">
          <w:rPr>
            <w:sz w:val="22"/>
            <w:szCs w:val="22"/>
          </w:rPr>
          <w:t>8</w:t>
        </w:r>
      </w:fldSimple>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Contracting Authority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rsidR="003436FE" w:rsidRDefault="003436FE" w:rsidP="00A94AD3">
      <w:pPr>
        <w:pStyle w:val="Telobesedila"/>
        <w:spacing w:before="120" w:after="120"/>
        <w:jc w:val="both"/>
        <w:rPr>
          <w:sz w:val="22"/>
          <w:szCs w:val="22"/>
        </w:rPr>
      </w:pPr>
      <w:r w:rsidRPr="002B370E">
        <w:rPr>
          <w:sz w:val="22"/>
          <w:szCs w:val="22"/>
        </w:rPr>
        <w:t xml:space="preserve">The evaluation of the technical offers will follow the procedures set out in Section 3.3.10 of the Practical Guide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iperpovezava"/>
            <w:sz w:val="22"/>
            <w:szCs w:val="22"/>
          </w:rPr>
          <w:t>http://ec.europa.eu/europeaid/prag/document.do</w:t>
        </w:r>
      </w:hyperlink>
      <w:r w:rsidRPr="0059570B">
        <w:rPr>
          <w:sz w:val="22"/>
          <w:szCs w:val="22"/>
        </w:rPr>
        <w:t>).</w:t>
      </w:r>
    </w:p>
    <w:p w:rsidR="00294800" w:rsidRPr="00E15693" w:rsidRDefault="003436FE" w:rsidP="00294800">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294800" w:rsidRPr="00294800" w:rsidRDefault="00294800" w:rsidP="00294800">
      <w:pPr>
        <w:spacing w:before="120" w:after="120"/>
        <w:jc w:val="both"/>
        <w:rPr>
          <w:sz w:val="22"/>
          <w:szCs w:val="22"/>
        </w:rPr>
      </w:pPr>
      <w:r w:rsidRPr="00E15693">
        <w:rPr>
          <w:sz w:val="22"/>
          <w:szCs w:val="22"/>
        </w:rPr>
        <w:t>No interviews are foreseen.</w:t>
      </w:r>
      <w:r w:rsidR="00E15693">
        <w:rPr>
          <w:sz w:val="22"/>
          <w:szCs w:val="22"/>
        </w:rPr>
        <w:t xml:space="preserve">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rsidR="003436FE" w:rsidRPr="002B370E" w:rsidRDefault="00E15693" w:rsidP="003436FE">
      <w:pPr>
        <w:shd w:val="clear" w:color="auto" w:fill="FFFFFF"/>
        <w:spacing w:before="120" w:after="120"/>
        <w:jc w:val="both"/>
        <w:rPr>
          <w:i/>
          <w:sz w:val="22"/>
          <w:szCs w:val="22"/>
        </w:rPr>
      </w:pPr>
      <w:r>
        <w:rPr>
          <w:sz w:val="22"/>
          <w:szCs w:val="22"/>
        </w:rPr>
        <w:t xml:space="preserve"> </w:t>
      </w:r>
    </w:p>
    <w:p w:rsidR="003436FE" w:rsidRPr="00E15693" w:rsidRDefault="003436FE" w:rsidP="003436FE">
      <w:pPr>
        <w:spacing w:before="120" w:after="120"/>
        <w:jc w:val="both"/>
        <w:rPr>
          <w:sz w:val="22"/>
          <w:szCs w:val="22"/>
        </w:rPr>
      </w:pPr>
      <w:r w:rsidRPr="00E15693">
        <w:rPr>
          <w:sz w:val="22"/>
          <w:szCs w:val="22"/>
        </w:rPr>
        <w:t>The provision for incidental expenditure and the provision for expenditure verification stated in the Terms of Reference and to be included in the budget breakdown will not be taken into account in the comparison of the financial offers.</w:t>
      </w:r>
    </w:p>
    <w:p w:rsidR="003436FE" w:rsidRDefault="003436FE" w:rsidP="003436FE">
      <w:pPr>
        <w:spacing w:before="120" w:after="120"/>
        <w:jc w:val="both"/>
        <w:rPr>
          <w:sz w:val="22"/>
          <w:szCs w:val="22"/>
        </w:rPr>
      </w:pPr>
      <w:r w:rsidRPr="00E15693">
        <w:rPr>
          <w:sz w:val="22"/>
          <w:szCs w:val="22"/>
        </w:rPr>
        <w:t>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Evaluation Committee contains an obvious error in the fee rate, in which event the total amount as quoted must prevail and the fee rate must be corrected.]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E15693" w:rsidP="003436FE">
      <w:pPr>
        <w:spacing w:before="120" w:after="120"/>
        <w:jc w:val="both"/>
        <w:rPr>
          <w:sz w:val="22"/>
          <w:szCs w:val="22"/>
        </w:rPr>
      </w:pPr>
      <w:r>
        <w:rPr>
          <w:sz w:val="23"/>
          <w:szCs w:val="23"/>
        </w:rPr>
        <w:t xml:space="preserve"> </w:t>
      </w:r>
    </w:p>
    <w:p w:rsidR="003436FE" w:rsidRPr="002B370E" w:rsidRDefault="003436FE" w:rsidP="003436FE">
      <w:pPr>
        <w:keepNext/>
        <w:spacing w:before="120" w:after="120"/>
        <w:jc w:val="both"/>
        <w:rPr>
          <w:b/>
          <w:sz w:val="22"/>
          <w:szCs w:val="22"/>
        </w:rPr>
      </w:pPr>
      <w:r w:rsidRPr="002B370E">
        <w:rPr>
          <w:b/>
          <w:sz w:val="22"/>
          <w:szCs w:val="22"/>
        </w:rPr>
        <w:lastRenderedPageBreak/>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The entire evaluation procedure is confidential, subject to the Contracting Authority’s legislation on access to documents. The Evaluation Committee</w:t>
      </w:r>
      <w:r>
        <w:rPr>
          <w:sz w:val="22"/>
          <w:szCs w:val="22"/>
        </w:rPr>
        <w:t>’</w:t>
      </w:r>
      <w:r w:rsidRPr="002B370E">
        <w:rPr>
          <w:sz w:val="22"/>
          <w:szCs w:val="22"/>
        </w:rPr>
        <w:t>s decisions are collective and its deliberations are held in closed session. The members of the Evaluation Committee are bound to secrecy.</w:t>
      </w:r>
      <w:r>
        <w:rPr>
          <w:sz w:val="22"/>
          <w:szCs w:val="22"/>
        </w:rPr>
        <w:t xml:space="preserve"> </w:t>
      </w:r>
      <w:r w:rsidRPr="002B370E">
        <w:rPr>
          <w:sz w:val="22"/>
          <w:szCs w:val="22"/>
        </w:rPr>
        <w:t>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3436FE" w:rsidRPr="002B370E" w:rsidRDefault="003436FE" w:rsidP="003436FE">
      <w:pPr>
        <w:spacing w:before="120" w:after="120"/>
        <w:ind w:left="567" w:hanging="567"/>
        <w:jc w:val="both"/>
        <w:rPr>
          <w:sz w:val="22"/>
          <w:szCs w:val="22"/>
        </w:rPr>
      </w:pPr>
      <w:r w:rsidRPr="002B370E">
        <w:rPr>
          <w:sz w:val="22"/>
          <w:szCs w:val="22"/>
        </w:rPr>
        <w:t>a)</w:t>
      </w:r>
      <w:r w:rsidRPr="002B370E">
        <w:rPr>
          <w:sz w:val="22"/>
          <w:szCs w:val="22"/>
        </w:rPr>
        <w:tab/>
        <w: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w:t>
      </w:r>
    </w:p>
    <w:p w:rsidR="003436FE" w:rsidRPr="002B370E" w:rsidRDefault="003436FE" w:rsidP="003436FE">
      <w:pPr>
        <w:spacing w:before="120" w:after="120"/>
        <w:ind w:left="567" w:hanging="567"/>
        <w:jc w:val="both"/>
        <w:rPr>
          <w:sz w:val="22"/>
          <w:szCs w:val="22"/>
        </w:rPr>
      </w:pPr>
      <w:r w:rsidRPr="002B370E">
        <w:rPr>
          <w:sz w:val="22"/>
          <w:szCs w:val="22"/>
        </w:rPr>
        <w:t>b)</w:t>
      </w:r>
      <w:r w:rsidRPr="002B370E">
        <w:rPr>
          <w:sz w:val="22"/>
          <w:szCs w:val="22"/>
        </w:rPr>
        <w:tab/>
        <w:t xml:space="preserve">The tenderer must not be affected by any conflict of interest and </w:t>
      </w:r>
      <w:r>
        <w:rPr>
          <w:sz w:val="22"/>
          <w:szCs w:val="22"/>
        </w:rPr>
        <w:t>must</w:t>
      </w:r>
      <w:r w:rsidRPr="002B370E">
        <w:rPr>
          <w:sz w:val="22"/>
          <w:szCs w:val="22"/>
        </w:rPr>
        <w:t xml:space="preserve"> have no equivalent relation in that respect with other tenderers or parties involved in the project.</w:t>
      </w:r>
    </w:p>
    <w:p w:rsidR="003436FE" w:rsidRPr="002B370E" w:rsidRDefault="003436FE" w:rsidP="003436FE">
      <w:pPr>
        <w:spacing w:before="120" w:after="120"/>
        <w:ind w:left="567" w:hanging="567"/>
        <w:jc w:val="both"/>
        <w:rPr>
          <w:sz w:val="22"/>
          <w:szCs w:val="22"/>
        </w:rPr>
      </w:pPr>
      <w:r w:rsidRPr="002B370E">
        <w:rPr>
          <w:sz w:val="22"/>
          <w:szCs w:val="22"/>
        </w:rPr>
        <w:t>c)</w:t>
      </w:r>
      <w:r w:rsidRPr="002B370E">
        <w:rPr>
          <w:sz w:val="22"/>
          <w:szCs w:val="22"/>
        </w:rPr>
        <w:tab/>
        <w:t xml:space="preserve">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w:t>
      </w:r>
      <w:r>
        <w:rPr>
          <w:sz w:val="22"/>
          <w:szCs w:val="22"/>
        </w:rPr>
        <w:t>‘</w:t>
      </w:r>
      <w:r w:rsidRPr="002B370E">
        <w:rPr>
          <w:sz w:val="22"/>
          <w:szCs w:val="22"/>
        </w:rPr>
        <w:t>corrupt practices</w:t>
      </w:r>
      <w:r>
        <w:rPr>
          <w:sz w:val="22"/>
          <w:szCs w:val="22"/>
        </w:rPr>
        <w:t>’</w:t>
      </w:r>
      <w:r w:rsidRPr="002B370E">
        <w:rPr>
          <w:sz w:val="22"/>
          <w:szCs w:val="22"/>
        </w:rPr>
        <w:t xml:space="preserve"> are the offer of a bribe, gift, gratuity or commission to any person as an inducement or reward for performing or refraining from any act relating to the award of a contract or execution of a contract already concluded with the Contracting Authority.</w:t>
      </w:r>
    </w:p>
    <w:p w:rsidR="003436FE" w:rsidRPr="002B370E" w:rsidRDefault="003436FE" w:rsidP="003436FE">
      <w:pPr>
        <w:spacing w:before="120" w:after="120"/>
        <w:ind w:left="567" w:hanging="567"/>
        <w:jc w:val="both"/>
        <w:rPr>
          <w:sz w:val="22"/>
          <w:szCs w:val="22"/>
        </w:rPr>
      </w:pPr>
      <w:r w:rsidRPr="002B370E">
        <w:rPr>
          <w:sz w:val="22"/>
          <w:szCs w:val="22"/>
        </w:rPr>
        <w:t>d)</w:t>
      </w:r>
      <w:r w:rsidRPr="002B370E">
        <w:rPr>
          <w:sz w:val="22"/>
          <w:szCs w:val="22"/>
        </w:rPr>
        <w:tab/>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3436FE" w:rsidP="003436FE">
      <w:pPr>
        <w:spacing w:before="120" w:after="120"/>
        <w:ind w:left="567"/>
        <w:rPr>
          <w:sz w:val="22"/>
          <w:szCs w:val="22"/>
        </w:rPr>
      </w:pPr>
      <w:r w:rsidRPr="002B370E">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3436FE" w:rsidRPr="002B370E" w:rsidRDefault="003436FE" w:rsidP="003436FE">
      <w:pPr>
        <w:spacing w:before="120" w:after="120"/>
        <w:ind w:left="567" w:hanging="567"/>
        <w:jc w:val="both"/>
        <w:rPr>
          <w:sz w:val="22"/>
          <w:szCs w:val="22"/>
        </w:rPr>
      </w:pPr>
      <w:r w:rsidRPr="002B370E">
        <w:rPr>
          <w:sz w:val="22"/>
          <w:szCs w:val="22"/>
        </w:rPr>
        <w:t>e)</w:t>
      </w:r>
      <w:r w:rsidRPr="002B370E">
        <w:rPr>
          <w:sz w:val="22"/>
          <w:szCs w:val="22"/>
        </w:rPr>
        <w:tab/>
        <w:t xml:space="preserve">The Contracting Authority reserves the right to suspend or cancel the procedure, where the award procedure proves to have been subject to substantial errors, irregularities or fraud. </w:t>
      </w:r>
      <w:r>
        <w:rPr>
          <w:sz w:val="22"/>
          <w:szCs w:val="22"/>
        </w:rPr>
        <w:t>If</w:t>
      </w:r>
      <w:r w:rsidRPr="002B370E">
        <w:rPr>
          <w:sz w:val="22"/>
          <w:szCs w:val="22"/>
        </w:rPr>
        <w:t xml:space="preserve"> substantial errors, irregularities or fraud are discovered after the award of the Contract, the Contracting Authority may refrain from concluding the Contract.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rsidR="008100D6" w:rsidRDefault="00E15693" w:rsidP="00F11E9B">
      <w:pPr>
        <w:shd w:val="clear" w:color="auto" w:fill="FFFFFF"/>
        <w:spacing w:before="120" w:after="120"/>
        <w:jc w:val="both"/>
        <w:rPr>
          <w:sz w:val="22"/>
          <w:szCs w:val="22"/>
        </w:rPr>
      </w:pPr>
      <w:r>
        <w:rPr>
          <w:sz w:val="22"/>
          <w:szCs w:val="22"/>
        </w:rPr>
        <w:t xml:space="preserve"> </w:t>
      </w:r>
    </w:p>
    <w:p w:rsidR="00F11E9B" w:rsidRPr="00E15693" w:rsidRDefault="003436FE" w:rsidP="00F11E9B">
      <w:pPr>
        <w:shd w:val="clear" w:color="auto" w:fill="FFFFFF"/>
        <w:spacing w:before="120" w:after="120"/>
        <w:jc w:val="both"/>
        <w:rPr>
          <w:sz w:val="22"/>
          <w:szCs w:val="22"/>
        </w:rPr>
      </w:pPr>
      <w:r w:rsidRPr="00E15693">
        <w:rPr>
          <w:sz w:val="22"/>
          <w:szCs w:val="22"/>
        </w:rPr>
        <w:t xml:space="preserve">The successful tenderer shall </w:t>
      </w:r>
      <w:r w:rsidR="00F11E9B" w:rsidRPr="00E15693">
        <w:rPr>
          <w:sz w:val="22"/>
          <w:szCs w:val="22"/>
        </w:rPr>
        <w:t xml:space="preserve">then confirm availability or unavailability of their key-experts within 5 days from the date of the notification of award. </w:t>
      </w:r>
    </w:p>
    <w:p w:rsidR="00F11E9B" w:rsidRPr="00E15693" w:rsidRDefault="00F11E9B" w:rsidP="00F11E9B">
      <w:pPr>
        <w:shd w:val="clear" w:color="auto" w:fill="FFFFFF"/>
        <w:spacing w:before="120" w:after="120"/>
        <w:jc w:val="both"/>
        <w:rPr>
          <w:sz w:val="22"/>
          <w:szCs w:val="22"/>
        </w:rPr>
      </w:pPr>
      <w:r w:rsidRPr="00E15693">
        <w:rPr>
          <w:sz w:val="22"/>
          <w:szCs w:val="22"/>
        </w:rPr>
        <w:t xml:space="preserve">In case of unavailability the tenderer will be allowed to propose replacement </w:t>
      </w:r>
      <w:r w:rsidR="008100D6" w:rsidRPr="00E15693">
        <w:rPr>
          <w:sz w:val="22"/>
          <w:szCs w:val="22"/>
        </w:rPr>
        <w:t>key-</w:t>
      </w:r>
      <w:r w:rsidRPr="00E15693">
        <w:rPr>
          <w:sz w:val="22"/>
          <w:szCs w:val="22"/>
        </w:rPr>
        <w:t xml:space="preserve">expert(s). The successful tenderer shall give due justification for the exchange of </w:t>
      </w:r>
      <w:r w:rsidR="008100D6" w:rsidRPr="00E15693">
        <w:rPr>
          <w:sz w:val="22"/>
          <w:szCs w:val="22"/>
        </w:rPr>
        <w:t>key-</w:t>
      </w:r>
      <w:r w:rsidRPr="00E15693">
        <w:rPr>
          <w:sz w:val="22"/>
          <w:szCs w:val="22"/>
        </w:rPr>
        <w:t xml:space="preserve">expert but the acceptance will not be limited to specific cases. Several replacement </w:t>
      </w:r>
      <w:r w:rsidR="008100D6" w:rsidRPr="00E15693">
        <w:rPr>
          <w:sz w:val="22"/>
          <w:szCs w:val="22"/>
        </w:rPr>
        <w:t>key-</w:t>
      </w:r>
      <w:r w:rsidRPr="00E15693">
        <w:rPr>
          <w:sz w:val="22"/>
          <w:szCs w:val="22"/>
        </w:rPr>
        <w:t xml:space="preserve">experts may be proposed but only one time-period of 15 days from the date of the notification of award will be offered. </w:t>
      </w:r>
      <w:r w:rsidR="00937074" w:rsidRPr="00E15693">
        <w:rPr>
          <w:sz w:val="22"/>
          <w:szCs w:val="22"/>
        </w:rPr>
        <w:t xml:space="preserve">The replacement </w:t>
      </w:r>
      <w:r w:rsidR="008100D6" w:rsidRPr="00E15693">
        <w:rPr>
          <w:sz w:val="22"/>
          <w:szCs w:val="22"/>
        </w:rPr>
        <w:t>key-</w:t>
      </w:r>
      <w:r w:rsidR="00937074" w:rsidRPr="00E15693">
        <w:rPr>
          <w:sz w:val="22"/>
          <w:szCs w:val="22"/>
        </w:rPr>
        <w:t>expert(s) cannot be an expert proposed by another tenderer in the same call for tender.</w:t>
      </w:r>
    </w:p>
    <w:p w:rsidR="00F11E9B" w:rsidRPr="00E15693" w:rsidRDefault="00F11E9B" w:rsidP="00F11E9B">
      <w:pPr>
        <w:shd w:val="clear" w:color="auto" w:fill="FFFFFF"/>
        <w:spacing w:before="120" w:after="120"/>
        <w:jc w:val="both"/>
        <w:rPr>
          <w:sz w:val="22"/>
          <w:szCs w:val="22"/>
        </w:rPr>
      </w:pPr>
      <w:r w:rsidRPr="00E15693">
        <w:rPr>
          <w:sz w:val="22"/>
          <w:szCs w:val="22"/>
        </w:rPr>
        <w:lastRenderedPageBreak/>
        <w:t xml:space="preserve">The replacement </w:t>
      </w:r>
      <w:r w:rsidR="008100D6" w:rsidRPr="00E15693">
        <w:rPr>
          <w:sz w:val="22"/>
          <w:szCs w:val="22"/>
        </w:rPr>
        <w:t>key-</w:t>
      </w:r>
      <w:r w:rsidRPr="00E15693">
        <w:rPr>
          <w:sz w:val="22"/>
          <w:szCs w:val="22"/>
        </w:rPr>
        <w:t xml:space="preserve">expert's total score must be at least as high as the scores of the </w:t>
      </w:r>
      <w:r w:rsidR="008100D6" w:rsidRPr="00E15693">
        <w:rPr>
          <w:sz w:val="22"/>
          <w:szCs w:val="22"/>
        </w:rPr>
        <w:t>key-</w:t>
      </w:r>
      <w:r w:rsidRPr="00E15693">
        <w:rPr>
          <w:sz w:val="22"/>
          <w:szCs w:val="22"/>
        </w:rPr>
        <w:t xml:space="preserve">expert proposed in the tender. It must be emphasised that the minimum requirements for each evaluation criteria must be met by the replacement expert.  </w:t>
      </w:r>
    </w:p>
    <w:p w:rsidR="003436FE" w:rsidRPr="00E15693" w:rsidRDefault="00F11E9B" w:rsidP="003436FE">
      <w:pPr>
        <w:shd w:val="clear" w:color="auto" w:fill="FFFFFF"/>
        <w:spacing w:before="120" w:after="120"/>
        <w:jc w:val="both"/>
        <w:rPr>
          <w:sz w:val="22"/>
          <w:szCs w:val="22"/>
        </w:rPr>
      </w:pPr>
      <w:r w:rsidRPr="00E15693">
        <w:rPr>
          <w:sz w:val="22"/>
          <w:szCs w:val="22"/>
        </w:rPr>
        <w:t xml:space="preserve">If replacement </w:t>
      </w:r>
      <w:r w:rsidR="008100D6" w:rsidRPr="00E15693">
        <w:rPr>
          <w:sz w:val="22"/>
          <w:szCs w:val="22"/>
        </w:rPr>
        <w:t>key-</w:t>
      </w:r>
      <w:r w:rsidRPr="00E15693">
        <w:rPr>
          <w:sz w:val="22"/>
          <w:szCs w:val="22"/>
        </w:rPr>
        <w:t xml:space="preserve">experts are not proposed within the 15 days delay or if the replacement experts are not sufficiently qualified, or that the proposal of the replacement </w:t>
      </w:r>
      <w:r w:rsidR="008100D6" w:rsidRPr="00E15693">
        <w:rPr>
          <w:sz w:val="22"/>
          <w:szCs w:val="22"/>
        </w:rPr>
        <w:t>key-</w:t>
      </w:r>
      <w:r w:rsidRPr="00E15693">
        <w:rPr>
          <w:sz w:val="22"/>
          <w:szCs w:val="22"/>
        </w:rPr>
        <w:t xml:space="preserve">expert amends the award conditions which took place, the Contracting Authority may decide to award the contract to the second best technically compliant tenderer (also giving them a chance to replace a </w:t>
      </w:r>
      <w:r w:rsidR="008100D6" w:rsidRPr="00E15693">
        <w:rPr>
          <w:sz w:val="22"/>
          <w:szCs w:val="22"/>
        </w:rPr>
        <w:t>key-</w:t>
      </w:r>
      <w:r w:rsidRPr="00E15693">
        <w:rPr>
          <w:sz w:val="22"/>
          <w:szCs w:val="22"/>
        </w:rPr>
        <w:t>expert should he/she not be available).</w:t>
      </w:r>
    </w:p>
    <w:p w:rsidR="00F11E9B" w:rsidRPr="00E1569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E15693">
        <w:rPr>
          <w:rStyle w:val="StyleStyleLeftBoxSinglesolidlineAuto05ptLinewidthCh2Char"/>
        </w:rPr>
        <w:t xml:space="preserve">Should the Contracting Authority learn that a tenderer has confirmed the availability of a key expert and signed the contract although the tenderer has deliberately concealed the fact that the </w:t>
      </w:r>
      <w:r w:rsidR="008100D6" w:rsidRPr="00E15693">
        <w:rPr>
          <w:rStyle w:val="StyleStyleLeftBoxSinglesolidlineAuto05ptLinewidthCh2Char"/>
        </w:rPr>
        <w:t>key-</w:t>
      </w:r>
      <w:r w:rsidRPr="00E15693">
        <w:rPr>
          <w:rStyle w:val="StyleStyleLeftBoxSinglesolidlineAuto05ptLinewidthCh2Char"/>
        </w:rPr>
        <w:t xml:space="preserve">expert is </w:t>
      </w:r>
      <w:r w:rsidR="00937074" w:rsidRPr="00E15693">
        <w:rPr>
          <w:rStyle w:val="StyleStyleLeftBoxSinglesolidlineAuto05ptLinewidthCh2Char"/>
        </w:rPr>
        <w:t>unavailable</w:t>
      </w:r>
      <w:r w:rsidRPr="00E15693">
        <w:rPr>
          <w:rStyle w:val="StyleStyleLeftBoxSinglesolidlineAuto05ptLinewidthCh2Char"/>
        </w:rPr>
        <w:t xml:space="preserve"> from the date specified in the tender dossier for the start of the assignment, the Contracting Authority may decide to terminate the contract on the basis of article 36.</w:t>
      </w:r>
      <w:r w:rsidR="00987C6C" w:rsidRPr="00E15693">
        <w:rPr>
          <w:rStyle w:val="StyleStyleLeftBoxSinglesolidlineAuto05ptLinewidthCh2Char"/>
        </w:rPr>
        <w:t xml:space="preserve">2 </w:t>
      </w:r>
      <w:r w:rsidRPr="00E15693">
        <w:rPr>
          <w:rStyle w:val="StyleStyleLeftBoxSinglesolidlineAuto05ptLinewidthCh2Char"/>
        </w:rPr>
        <w:t xml:space="preserve">(m) of the General Conditions. </w:t>
      </w:r>
    </w:p>
    <w:p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E15693">
        <w:t xml:space="preserve">It is reminded that the tenderer/contractor may also be subject to administrative and financial penalties foreseen in section 2.3.4 of the PRAG and </w:t>
      </w:r>
      <w:r w:rsidR="007A0123" w:rsidRPr="00E15693">
        <w:t>article 10.2 of the General Conditions of service contracts. F</w:t>
      </w:r>
      <w:r w:rsidRPr="00E15693">
        <w:t xml:space="preserve">urthermore it may lead </w:t>
      </w:r>
      <w:r w:rsidRPr="00E15693">
        <w:rPr>
          <w:rStyle w:val="StyleStyleLeftBoxSinglesolidlineAuto05ptLinewidthCh2Char"/>
        </w:rPr>
        <w:t>to a tenderer's /contractor's exclusion from other contracts funded by the European Union.</w:t>
      </w:r>
    </w:p>
    <w:p w:rsidR="008100D6" w:rsidRDefault="008100D6" w:rsidP="003436FE">
      <w:pPr>
        <w:keepNext/>
        <w:spacing w:before="120" w:after="120"/>
        <w:ind w:left="567" w:hanging="567"/>
        <w:jc w:val="both"/>
        <w:rPr>
          <w:b/>
          <w:sz w:val="22"/>
          <w:szCs w:val="22"/>
        </w:rPr>
      </w:pPr>
      <w:r>
        <w:rPr>
          <w:b/>
          <w:sz w:val="22"/>
          <w:szCs w:val="22"/>
        </w:rPr>
        <w:t>]</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Telobesedila2"/>
        <w:tabs>
          <w:tab w:val="clear" w:pos="567"/>
          <w:tab w:val="left" w:pos="0"/>
          <w:tab w:val="left" w:pos="630"/>
        </w:tabs>
        <w:spacing w:before="120" w:after="120"/>
        <w:rPr>
          <w:sz w:val="22"/>
          <w:szCs w:val="22"/>
        </w:rPr>
      </w:pPr>
      <w:r w:rsidRPr="002B370E">
        <w:rPr>
          <w:sz w:val="22"/>
          <w:szCs w:val="22"/>
        </w:rPr>
        <w:t>Within 30 days of receipt of the contract already signed by the Contracting Authority, the selected tenderer shall sign and date the contract and return it to the Contracting Authority.</w:t>
      </w:r>
    </w:p>
    <w:p w:rsidR="003436FE" w:rsidRPr="002B370E" w:rsidRDefault="003436FE" w:rsidP="003436FE">
      <w:pPr>
        <w:pStyle w:val="Telobesedila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Contracting Authority may award the tender to another tenderer or cancel the tender procedure. </w:t>
      </w:r>
    </w:p>
    <w:p w:rsidR="003436FE" w:rsidRDefault="003436FE" w:rsidP="003436FE">
      <w:pPr>
        <w:pStyle w:val="Telobesedila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Contracting Authority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3436FE" w:rsidRPr="002B370E" w:rsidRDefault="003436FE" w:rsidP="003436FE">
      <w:pPr>
        <w:pStyle w:val="Telobesedila2"/>
        <w:tabs>
          <w:tab w:val="clear" w:pos="567"/>
          <w:tab w:val="left" w:pos="0"/>
          <w:tab w:val="left" w:pos="630"/>
        </w:tabs>
        <w:spacing w:before="120" w:after="120"/>
        <w:rPr>
          <w:sz w:val="22"/>
          <w:szCs w:val="22"/>
        </w:rPr>
      </w:pPr>
      <w:r w:rsidRPr="002B370E">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rsidR="003436FE" w:rsidRPr="002B370E" w:rsidRDefault="003436FE" w:rsidP="003436FE">
      <w:pPr>
        <w:pStyle w:val="Telobesedila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t xml:space="preserve">there have been </w:t>
      </w:r>
      <w:r w:rsidR="0022643A">
        <w:rPr>
          <w:sz w:val="22"/>
          <w:szCs w:val="22"/>
        </w:rPr>
        <w:t>substantial errors,</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Telobesedila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Telobesedila2"/>
        <w:tabs>
          <w:tab w:val="clear" w:pos="567"/>
          <w:tab w:val="left" w:pos="0"/>
          <w:tab w:val="left" w:pos="630"/>
        </w:tabs>
        <w:spacing w:before="120" w:after="120"/>
        <w:rPr>
          <w:bCs/>
          <w:sz w:val="22"/>
          <w:szCs w:val="22"/>
        </w:rPr>
      </w:pPr>
      <w:r w:rsidRPr="002B370E">
        <w:rPr>
          <w:bCs/>
          <w:sz w:val="22"/>
          <w:szCs w:val="22"/>
        </w:rPr>
        <w:t>In no event shall the Contracting Authority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Contracting Authority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notice does not commit the Contracting Authority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Telobesedila2"/>
        <w:keepNext/>
        <w:keepLines/>
        <w:tabs>
          <w:tab w:val="clear" w:pos="567"/>
          <w:tab w:val="left" w:pos="0"/>
          <w:tab w:val="left" w:pos="630"/>
        </w:tabs>
        <w:spacing w:before="120" w:after="120"/>
        <w:rPr>
          <w:sz w:val="22"/>
          <w:szCs w:val="22"/>
        </w:rPr>
      </w:pPr>
      <w:r w:rsidRPr="002B370E">
        <w:rPr>
          <w:sz w:val="22"/>
          <w:szCs w:val="22"/>
        </w:rPr>
        <w:t>Tenderers believing that they have been harmed by an error or irregularity during the award process may file a complaint. See section 2.4.15 of the Practical Guide.</w:t>
      </w:r>
    </w:p>
    <w:sectPr w:rsidR="003436FE" w:rsidRPr="002B370E" w:rsidSect="003436FE">
      <w:footerReference w:type="even" r:id="rId12"/>
      <w:footerReference w:type="default" r:id="rId13"/>
      <w:headerReference w:type="first" r:id="rId14"/>
      <w:footerReference w:type="first" r:id="rId15"/>
      <w:pgSz w:w="11906" w:h="16838"/>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468" w:rsidRDefault="00361468">
      <w:r>
        <w:separator/>
      </w:r>
    </w:p>
  </w:endnote>
  <w:endnote w:type="continuationSeparator" w:id="0">
    <w:p w:rsidR="00361468" w:rsidRDefault="003614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Default="00FF49CA">
    <w:pPr>
      <w:pStyle w:val="Noga"/>
      <w:framePr w:wrap="around" w:vAnchor="text" w:hAnchor="margin" w:xAlign="center" w:y="1"/>
      <w:rPr>
        <w:rStyle w:val="tevilkastrani"/>
      </w:rPr>
    </w:pPr>
    <w:r>
      <w:rPr>
        <w:rStyle w:val="tevilkastrani"/>
      </w:rPr>
      <w:fldChar w:fldCharType="begin"/>
    </w:r>
    <w:r w:rsidR="00C06F58">
      <w:rPr>
        <w:rStyle w:val="tevilkastrani"/>
      </w:rPr>
      <w:instrText xml:space="preserve">PAGE  </w:instrText>
    </w:r>
    <w:r>
      <w:rPr>
        <w:rStyle w:val="tevilkastrani"/>
      </w:rPr>
      <w:fldChar w:fldCharType="separate"/>
    </w:r>
    <w:r w:rsidR="00C06F58">
      <w:rPr>
        <w:rStyle w:val="tevilkastrani"/>
      </w:rPr>
      <w:t>13</w:t>
    </w:r>
    <w:r>
      <w:rPr>
        <w:rStyle w:val="tevilkastrani"/>
      </w:rPr>
      <w:fldChar w:fldCharType="end"/>
    </w:r>
  </w:p>
  <w:p w:rsidR="00C06F58" w:rsidRDefault="00C06F58">
    <w:pPr>
      <w:pStyle w:val="Nog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94AD3" w:rsidRDefault="005D1583" w:rsidP="003436FE">
    <w:pPr>
      <w:pStyle w:val="Noga"/>
      <w:tabs>
        <w:tab w:val="clear" w:pos="4320"/>
        <w:tab w:val="clear" w:pos="8640"/>
        <w:tab w:val="right" w:pos="8080"/>
      </w:tabs>
      <w:rPr>
        <w:rStyle w:val="tevilkastrani"/>
        <w:sz w:val="18"/>
        <w:szCs w:val="18"/>
      </w:rPr>
    </w:pPr>
    <w:r>
      <w:rPr>
        <w:b/>
        <w:sz w:val="18"/>
        <w:szCs w:val="18"/>
      </w:rPr>
      <w:t>15 J</w:t>
    </w:r>
    <w:r w:rsidR="00A94AD3">
      <w:rPr>
        <w:b/>
        <w:sz w:val="18"/>
        <w:szCs w:val="18"/>
      </w:rPr>
      <w:t>anuary</w:t>
    </w:r>
    <w:r>
      <w:rPr>
        <w:b/>
        <w:sz w:val="18"/>
        <w:szCs w:val="18"/>
      </w:rPr>
      <w:t xml:space="preserve"> </w:t>
    </w:r>
    <w:r w:rsidR="00F848DA">
      <w:rPr>
        <w:b/>
        <w:sz w:val="18"/>
        <w:szCs w:val="18"/>
      </w:rPr>
      <w:t>201</w:t>
    </w:r>
    <w:r w:rsidR="00A94AD3">
      <w:rPr>
        <w:b/>
        <w:sz w:val="18"/>
        <w:szCs w:val="18"/>
      </w:rPr>
      <w:t>6</w:t>
    </w:r>
    <w:r w:rsidR="00C06F58" w:rsidRPr="002B370E">
      <w:rPr>
        <w:rFonts w:ascii="Arial" w:hAnsi="Arial"/>
      </w:rPr>
      <w:tab/>
    </w:r>
    <w:r w:rsidR="00C06F58" w:rsidRPr="00A94AD3">
      <w:rPr>
        <w:sz w:val="18"/>
        <w:szCs w:val="18"/>
      </w:rPr>
      <w:t xml:space="preserve">Page </w:t>
    </w:r>
    <w:r w:rsidR="00FF49CA" w:rsidRPr="00A94AD3">
      <w:rPr>
        <w:rStyle w:val="tevilkastrani"/>
        <w:sz w:val="18"/>
        <w:szCs w:val="18"/>
      </w:rPr>
      <w:fldChar w:fldCharType="begin"/>
    </w:r>
    <w:r w:rsidR="00C06F58" w:rsidRPr="00A94AD3">
      <w:rPr>
        <w:rStyle w:val="tevilkastrani"/>
        <w:sz w:val="18"/>
        <w:szCs w:val="18"/>
      </w:rPr>
      <w:instrText xml:space="preserve"> PAGE </w:instrText>
    </w:r>
    <w:r w:rsidR="00FF49CA" w:rsidRPr="00A94AD3">
      <w:rPr>
        <w:rStyle w:val="tevilkastrani"/>
        <w:sz w:val="18"/>
        <w:szCs w:val="18"/>
      </w:rPr>
      <w:fldChar w:fldCharType="separate"/>
    </w:r>
    <w:r w:rsidR="00FD16A9">
      <w:rPr>
        <w:rStyle w:val="tevilkastrani"/>
        <w:noProof/>
        <w:sz w:val="18"/>
        <w:szCs w:val="18"/>
      </w:rPr>
      <w:t>5</w:t>
    </w:r>
    <w:r w:rsidR="00FF49CA" w:rsidRPr="00A94AD3">
      <w:rPr>
        <w:rStyle w:val="tevilkastrani"/>
        <w:sz w:val="18"/>
        <w:szCs w:val="18"/>
      </w:rPr>
      <w:fldChar w:fldCharType="end"/>
    </w:r>
    <w:r w:rsidR="00C06F58" w:rsidRPr="00A94AD3">
      <w:rPr>
        <w:rStyle w:val="tevilkastrani"/>
        <w:sz w:val="18"/>
        <w:szCs w:val="18"/>
      </w:rPr>
      <w:t xml:space="preserve"> of </w:t>
    </w:r>
    <w:r w:rsidR="00FF49CA" w:rsidRPr="00A94AD3">
      <w:rPr>
        <w:rStyle w:val="tevilkastrani"/>
        <w:sz w:val="18"/>
        <w:szCs w:val="18"/>
      </w:rPr>
      <w:fldChar w:fldCharType="begin"/>
    </w:r>
    <w:r w:rsidR="00C06F58" w:rsidRPr="00A94AD3">
      <w:rPr>
        <w:rStyle w:val="tevilkastrani"/>
        <w:sz w:val="18"/>
        <w:szCs w:val="18"/>
      </w:rPr>
      <w:instrText xml:space="preserve"> NUMPAGES </w:instrText>
    </w:r>
    <w:r w:rsidR="00FF49CA" w:rsidRPr="00A94AD3">
      <w:rPr>
        <w:rStyle w:val="tevilkastrani"/>
        <w:sz w:val="18"/>
        <w:szCs w:val="18"/>
      </w:rPr>
      <w:fldChar w:fldCharType="separate"/>
    </w:r>
    <w:r w:rsidR="00FD16A9">
      <w:rPr>
        <w:rStyle w:val="tevilkastrani"/>
        <w:noProof/>
        <w:sz w:val="18"/>
        <w:szCs w:val="18"/>
      </w:rPr>
      <w:t>10</w:t>
    </w:r>
    <w:r w:rsidR="00FF49CA" w:rsidRPr="00A94AD3">
      <w:rPr>
        <w:rStyle w:val="tevilkastrani"/>
        <w:sz w:val="18"/>
        <w:szCs w:val="18"/>
      </w:rPr>
      <w:fldChar w:fldCharType="end"/>
    </w:r>
  </w:p>
  <w:p w:rsidR="00C06F58" w:rsidRPr="00A94AD3" w:rsidRDefault="00FF49CA" w:rsidP="003436FE">
    <w:pPr>
      <w:pStyle w:val="Noga"/>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2B370E" w:rsidRDefault="005D1583" w:rsidP="003436FE">
    <w:pPr>
      <w:pStyle w:val="Noga"/>
      <w:tabs>
        <w:tab w:val="clear" w:pos="4320"/>
        <w:tab w:val="clear" w:pos="8640"/>
        <w:tab w:val="right" w:pos="8080"/>
      </w:tabs>
      <w:rPr>
        <w:rStyle w:val="tevilkastrani"/>
        <w:sz w:val="18"/>
        <w:szCs w:val="18"/>
      </w:rPr>
    </w:pPr>
    <w:r>
      <w:rPr>
        <w:b/>
        <w:snapToGrid w:val="0"/>
        <w:sz w:val="18"/>
        <w:szCs w:val="18"/>
      </w:rPr>
      <w:t>15 J</w:t>
    </w:r>
    <w:r w:rsidR="00A94AD3">
      <w:rPr>
        <w:b/>
        <w:snapToGrid w:val="0"/>
        <w:sz w:val="18"/>
        <w:szCs w:val="18"/>
      </w:rPr>
      <w:t>anuary</w:t>
    </w:r>
    <w:r>
      <w:rPr>
        <w:b/>
        <w:snapToGrid w:val="0"/>
        <w:sz w:val="18"/>
        <w:szCs w:val="18"/>
      </w:rPr>
      <w:t xml:space="preserve"> </w:t>
    </w:r>
    <w:r w:rsidR="00F848DA">
      <w:rPr>
        <w:b/>
        <w:snapToGrid w:val="0"/>
        <w:sz w:val="18"/>
        <w:szCs w:val="18"/>
      </w:rPr>
      <w:t>201</w:t>
    </w:r>
    <w:r w:rsidR="00A94AD3">
      <w:rPr>
        <w:b/>
        <w:snapToGrid w:val="0"/>
        <w:sz w:val="18"/>
        <w:szCs w:val="18"/>
      </w:rPr>
      <w:t>6</w:t>
    </w:r>
    <w:r w:rsidR="00C06F58" w:rsidRPr="002B370E">
      <w:rPr>
        <w:sz w:val="18"/>
        <w:szCs w:val="18"/>
      </w:rPr>
      <w:tab/>
      <w:t xml:space="preserve">Page </w:t>
    </w:r>
    <w:r w:rsidR="00FF49CA" w:rsidRPr="002B370E">
      <w:rPr>
        <w:rStyle w:val="tevilkastrani"/>
        <w:sz w:val="18"/>
        <w:szCs w:val="18"/>
      </w:rPr>
      <w:fldChar w:fldCharType="begin"/>
    </w:r>
    <w:r w:rsidR="00C06F58" w:rsidRPr="002B370E">
      <w:rPr>
        <w:rStyle w:val="tevilkastrani"/>
        <w:sz w:val="18"/>
        <w:szCs w:val="18"/>
      </w:rPr>
      <w:instrText xml:space="preserve"> PAGE </w:instrText>
    </w:r>
    <w:r w:rsidR="00FF49CA" w:rsidRPr="002B370E">
      <w:rPr>
        <w:rStyle w:val="tevilkastrani"/>
        <w:sz w:val="18"/>
        <w:szCs w:val="18"/>
      </w:rPr>
      <w:fldChar w:fldCharType="separate"/>
    </w:r>
    <w:r w:rsidR="00FD16A9">
      <w:rPr>
        <w:rStyle w:val="tevilkastrani"/>
        <w:noProof/>
        <w:sz w:val="18"/>
        <w:szCs w:val="18"/>
      </w:rPr>
      <w:t>1</w:t>
    </w:r>
    <w:r w:rsidR="00FF49CA" w:rsidRPr="002B370E">
      <w:rPr>
        <w:rStyle w:val="tevilkastrani"/>
        <w:sz w:val="18"/>
        <w:szCs w:val="18"/>
      </w:rPr>
      <w:fldChar w:fldCharType="end"/>
    </w:r>
    <w:r w:rsidR="00C06F58" w:rsidRPr="002B370E">
      <w:rPr>
        <w:rStyle w:val="tevilkastrani"/>
        <w:sz w:val="18"/>
        <w:szCs w:val="18"/>
      </w:rPr>
      <w:t xml:space="preserve"> of </w:t>
    </w:r>
    <w:r w:rsidR="00FF49CA" w:rsidRPr="002B370E">
      <w:rPr>
        <w:rStyle w:val="tevilkastrani"/>
        <w:sz w:val="18"/>
        <w:szCs w:val="18"/>
      </w:rPr>
      <w:fldChar w:fldCharType="begin"/>
    </w:r>
    <w:r w:rsidR="00C06F58" w:rsidRPr="002B370E">
      <w:rPr>
        <w:rStyle w:val="tevilkastrani"/>
        <w:sz w:val="18"/>
        <w:szCs w:val="18"/>
      </w:rPr>
      <w:instrText xml:space="preserve"> NUMPAGES </w:instrText>
    </w:r>
    <w:r w:rsidR="00FF49CA" w:rsidRPr="002B370E">
      <w:rPr>
        <w:rStyle w:val="tevilkastrani"/>
        <w:sz w:val="18"/>
        <w:szCs w:val="18"/>
      </w:rPr>
      <w:fldChar w:fldCharType="separate"/>
    </w:r>
    <w:r w:rsidR="00FD16A9">
      <w:rPr>
        <w:rStyle w:val="tevilkastrani"/>
        <w:noProof/>
        <w:sz w:val="18"/>
        <w:szCs w:val="18"/>
      </w:rPr>
      <w:t>10</w:t>
    </w:r>
    <w:r w:rsidR="00FF49CA" w:rsidRPr="002B370E">
      <w:rPr>
        <w:rStyle w:val="tevilkastrani"/>
        <w:sz w:val="18"/>
        <w:szCs w:val="18"/>
      </w:rPr>
      <w:fldChar w:fldCharType="end"/>
    </w:r>
    <w:bookmarkStart w:id="4" w:name="_Hlt26943623"/>
    <w:bookmarkEnd w:id="4"/>
  </w:p>
  <w:p w:rsidR="00C06F58" w:rsidRPr="002B370E" w:rsidRDefault="00FF49CA" w:rsidP="003436FE">
    <w:pPr>
      <w:pStyle w:val="Noga"/>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468" w:rsidRDefault="00361468">
      <w:r>
        <w:separator/>
      </w:r>
    </w:p>
  </w:footnote>
  <w:footnote w:type="continuationSeparator" w:id="0">
    <w:p w:rsidR="00361468" w:rsidRDefault="003614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F58" w:rsidRPr="00AD4777" w:rsidRDefault="00C06F58">
    <w:pPr>
      <w:pStyle w:val="Glava"/>
      <w:jc w:val="center"/>
      <w:rPr>
        <w:b/>
        <w:sz w:val="32"/>
        <w:szCs w:val="32"/>
      </w:rPr>
    </w:pPr>
    <w:r w:rsidRPr="00AD4777">
      <w:rPr>
        <w:b/>
        <w:sz w:val="32"/>
        <w:szCs w:val="32"/>
      </w:rPr>
      <w:t>INSTRUCTIONS TO TENDERERS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D8C5ACD"/>
    <w:multiLevelType w:val="singleLevel"/>
    <w:tmpl w:val="EF5E9ED0"/>
    <w:lvl w:ilvl="0">
      <w:start w:val="4"/>
      <w:numFmt w:val="decimal"/>
      <w:lvlText w:val="%1."/>
      <w:lvlJc w:val="left"/>
      <w:pPr>
        <w:tabs>
          <w:tab w:val="num" w:pos="360"/>
        </w:tabs>
        <w:ind w:left="360" w:hanging="360"/>
      </w:pPr>
    </w:lvl>
  </w:abstractNum>
  <w:abstractNum w:abstractNumId="4">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nsid w:val="15B03B67"/>
    <w:multiLevelType w:val="singleLevel"/>
    <w:tmpl w:val="04090017"/>
    <w:lvl w:ilvl="0">
      <w:start w:val="1"/>
      <w:numFmt w:val="lowerLetter"/>
      <w:lvlText w:val="%1)"/>
      <w:lvlJc w:val="left"/>
      <w:pPr>
        <w:tabs>
          <w:tab w:val="num" w:pos="360"/>
        </w:tabs>
        <w:ind w:left="360" w:hanging="360"/>
      </w:p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77944E6"/>
    <w:multiLevelType w:val="singleLevel"/>
    <w:tmpl w:val="0809000F"/>
    <w:lvl w:ilvl="0">
      <w:start w:val="1"/>
      <w:numFmt w:val="decimal"/>
      <w:lvlText w:val="%1."/>
      <w:lvlJc w:val="left"/>
      <w:pPr>
        <w:tabs>
          <w:tab w:val="num" w:pos="360"/>
        </w:tabs>
        <w:ind w:left="360" w:hanging="360"/>
      </w:pPr>
    </w:lvl>
  </w:abstractNum>
  <w:abstractNum w:abstractNumId="9">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nsid w:val="1D28496A"/>
    <w:multiLevelType w:val="singleLevel"/>
    <w:tmpl w:val="0809000F"/>
    <w:lvl w:ilvl="0">
      <w:start w:val="1"/>
      <w:numFmt w:val="decimal"/>
      <w:lvlText w:val="%1."/>
      <w:lvlJc w:val="left"/>
      <w:pPr>
        <w:tabs>
          <w:tab w:val="num" w:pos="360"/>
        </w:tabs>
        <w:ind w:left="360" w:hanging="360"/>
      </w:pPr>
    </w:lvl>
  </w:abstractNum>
  <w:abstractNum w:abstractNumId="11">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nsid w:val="2C1143DB"/>
    <w:multiLevelType w:val="singleLevel"/>
    <w:tmpl w:val="A88E0254"/>
    <w:lvl w:ilvl="0">
      <w:start w:val="1"/>
      <w:numFmt w:val="lowerLetter"/>
      <w:lvlText w:val="%1)"/>
      <w:lvlJc w:val="left"/>
      <w:pPr>
        <w:tabs>
          <w:tab w:val="num" w:pos="360"/>
        </w:tabs>
        <w:ind w:left="360" w:hanging="360"/>
      </w:pPr>
    </w:lvl>
  </w:abstractNum>
  <w:abstractNum w:abstractNumId="17">
    <w:nsid w:val="308F1E72"/>
    <w:multiLevelType w:val="singleLevel"/>
    <w:tmpl w:val="04090017"/>
    <w:lvl w:ilvl="0">
      <w:start w:val="1"/>
      <w:numFmt w:val="lowerLetter"/>
      <w:lvlText w:val="%1)"/>
      <w:lvlJc w:val="left"/>
      <w:pPr>
        <w:tabs>
          <w:tab w:val="num" w:pos="360"/>
        </w:tabs>
        <w:ind w:left="360" w:hanging="360"/>
      </w:pPr>
    </w:lvl>
  </w:abstractNum>
  <w:abstractNum w:abstractNumId="18">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nsid w:val="476F2497"/>
    <w:multiLevelType w:val="singleLevel"/>
    <w:tmpl w:val="C0E47794"/>
    <w:lvl w:ilvl="0">
      <w:start w:val="9"/>
      <w:numFmt w:val="lowerLetter"/>
      <w:lvlText w:val="%1)"/>
      <w:lvlJc w:val="left"/>
      <w:pPr>
        <w:tabs>
          <w:tab w:val="num" w:pos="360"/>
        </w:tabs>
        <w:ind w:left="360" w:hanging="360"/>
      </w:pPr>
    </w:lvl>
  </w:abstractNum>
  <w:abstractNum w:abstractNumId="27">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nsid w:val="6CC52008"/>
    <w:multiLevelType w:val="singleLevel"/>
    <w:tmpl w:val="0809000F"/>
    <w:lvl w:ilvl="0">
      <w:start w:val="1"/>
      <w:numFmt w:val="decimal"/>
      <w:lvlText w:val="%1."/>
      <w:lvlJc w:val="left"/>
      <w:pPr>
        <w:tabs>
          <w:tab w:val="num" w:pos="360"/>
        </w:tabs>
        <w:ind w:left="360" w:hanging="360"/>
      </w:pPr>
    </w:lvl>
  </w:abstractNum>
  <w:abstractNum w:abstractNumId="37">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nsid w:val="72934CD2"/>
    <w:multiLevelType w:val="singleLevel"/>
    <w:tmpl w:val="0409000F"/>
    <w:lvl w:ilvl="0">
      <w:start w:val="1"/>
      <w:numFmt w:val="decimal"/>
      <w:lvlText w:val="%1."/>
      <w:lvlJc w:val="left"/>
      <w:pPr>
        <w:tabs>
          <w:tab w:val="num" w:pos="360"/>
        </w:tabs>
        <w:ind w:left="360" w:hanging="360"/>
      </w:pPr>
    </w:lvl>
  </w:abstractNum>
  <w:abstractNum w:abstractNumId="39">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nsid w:val="7B635BC2"/>
    <w:multiLevelType w:val="hybridMultilevel"/>
    <w:tmpl w:val="C5722154"/>
    <w:lvl w:ilvl="0" w:tplc="B2CCCC86">
      <w:start w:val="4"/>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5">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6">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4"/>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5"/>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6"/>
  </w:num>
  <w:num w:numId="47">
    <w:abstractNumId w:val="40"/>
  </w:num>
  <w:num w:numId="48">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cVars>
    <w:docVar w:name="LW_DocType" w:val="NORMAL"/>
  </w:docVars>
  <w:rsids>
    <w:rsidRoot w:val="00D550F2"/>
    <w:rsid w:val="00010683"/>
    <w:rsid w:val="0004095E"/>
    <w:rsid w:val="000544E6"/>
    <w:rsid w:val="00057A21"/>
    <w:rsid w:val="000607F7"/>
    <w:rsid w:val="000626CB"/>
    <w:rsid w:val="0009029D"/>
    <w:rsid w:val="000913E8"/>
    <w:rsid w:val="000955FE"/>
    <w:rsid w:val="000C5425"/>
    <w:rsid w:val="000D183D"/>
    <w:rsid w:val="000F0B96"/>
    <w:rsid w:val="0014136C"/>
    <w:rsid w:val="00157CF6"/>
    <w:rsid w:val="001671BA"/>
    <w:rsid w:val="0017009E"/>
    <w:rsid w:val="00180127"/>
    <w:rsid w:val="001B1598"/>
    <w:rsid w:val="001B2CA6"/>
    <w:rsid w:val="001C0F8D"/>
    <w:rsid w:val="001D579A"/>
    <w:rsid w:val="002157AA"/>
    <w:rsid w:val="00216E18"/>
    <w:rsid w:val="0022643A"/>
    <w:rsid w:val="0023505C"/>
    <w:rsid w:val="00245C38"/>
    <w:rsid w:val="00250B09"/>
    <w:rsid w:val="00290ACC"/>
    <w:rsid w:val="002921F7"/>
    <w:rsid w:val="00294800"/>
    <w:rsid w:val="002A1587"/>
    <w:rsid w:val="002B0E84"/>
    <w:rsid w:val="002B75E8"/>
    <w:rsid w:val="002C2852"/>
    <w:rsid w:val="002F6273"/>
    <w:rsid w:val="0030208E"/>
    <w:rsid w:val="003121C6"/>
    <w:rsid w:val="003436FE"/>
    <w:rsid w:val="003465ED"/>
    <w:rsid w:val="00361468"/>
    <w:rsid w:val="0037753A"/>
    <w:rsid w:val="00381AB8"/>
    <w:rsid w:val="003924DF"/>
    <w:rsid w:val="00396D4A"/>
    <w:rsid w:val="00397B28"/>
    <w:rsid w:val="003C5C2B"/>
    <w:rsid w:val="003C773B"/>
    <w:rsid w:val="003E309F"/>
    <w:rsid w:val="003E6551"/>
    <w:rsid w:val="003F2D75"/>
    <w:rsid w:val="003F4AB5"/>
    <w:rsid w:val="00412107"/>
    <w:rsid w:val="00417586"/>
    <w:rsid w:val="00453651"/>
    <w:rsid w:val="004551A2"/>
    <w:rsid w:val="00463A51"/>
    <w:rsid w:val="004767D1"/>
    <w:rsid w:val="0048664A"/>
    <w:rsid w:val="00493F98"/>
    <w:rsid w:val="00495144"/>
    <w:rsid w:val="00497FEF"/>
    <w:rsid w:val="004A544F"/>
    <w:rsid w:val="004D0FE4"/>
    <w:rsid w:val="004D2399"/>
    <w:rsid w:val="004D7FC9"/>
    <w:rsid w:val="004E248D"/>
    <w:rsid w:val="00517439"/>
    <w:rsid w:val="00526546"/>
    <w:rsid w:val="00545A56"/>
    <w:rsid w:val="005510F3"/>
    <w:rsid w:val="0056210A"/>
    <w:rsid w:val="0056414B"/>
    <w:rsid w:val="00574DD1"/>
    <w:rsid w:val="00577681"/>
    <w:rsid w:val="0059570B"/>
    <w:rsid w:val="005B2947"/>
    <w:rsid w:val="005C1E9E"/>
    <w:rsid w:val="005C3E9F"/>
    <w:rsid w:val="005C44AA"/>
    <w:rsid w:val="005D1583"/>
    <w:rsid w:val="005D2BA9"/>
    <w:rsid w:val="005D6CCF"/>
    <w:rsid w:val="005F1DD5"/>
    <w:rsid w:val="0062677E"/>
    <w:rsid w:val="00632671"/>
    <w:rsid w:val="006365A9"/>
    <w:rsid w:val="0068123D"/>
    <w:rsid w:val="00681768"/>
    <w:rsid w:val="00682D24"/>
    <w:rsid w:val="00687AA2"/>
    <w:rsid w:val="006907A3"/>
    <w:rsid w:val="006A1537"/>
    <w:rsid w:val="006B0775"/>
    <w:rsid w:val="006E10AD"/>
    <w:rsid w:val="006F25A2"/>
    <w:rsid w:val="006F5D6C"/>
    <w:rsid w:val="006F6361"/>
    <w:rsid w:val="007078C5"/>
    <w:rsid w:val="00733BDC"/>
    <w:rsid w:val="00740B27"/>
    <w:rsid w:val="007639DA"/>
    <w:rsid w:val="00763C86"/>
    <w:rsid w:val="007A0123"/>
    <w:rsid w:val="007E285C"/>
    <w:rsid w:val="007F760C"/>
    <w:rsid w:val="00804556"/>
    <w:rsid w:val="008100D6"/>
    <w:rsid w:val="00843423"/>
    <w:rsid w:val="008531BA"/>
    <w:rsid w:val="00855F72"/>
    <w:rsid w:val="00870B5F"/>
    <w:rsid w:val="008A2426"/>
    <w:rsid w:val="008E5D9D"/>
    <w:rsid w:val="008F56A1"/>
    <w:rsid w:val="009063CE"/>
    <w:rsid w:val="00917284"/>
    <w:rsid w:val="00933BFC"/>
    <w:rsid w:val="00937074"/>
    <w:rsid w:val="009436A4"/>
    <w:rsid w:val="00987220"/>
    <w:rsid w:val="00987C6C"/>
    <w:rsid w:val="00996707"/>
    <w:rsid w:val="00997B52"/>
    <w:rsid w:val="009B1C05"/>
    <w:rsid w:val="009B3FFF"/>
    <w:rsid w:val="009B605A"/>
    <w:rsid w:val="009C7BD6"/>
    <w:rsid w:val="009D164C"/>
    <w:rsid w:val="009D5E0F"/>
    <w:rsid w:val="009F5616"/>
    <w:rsid w:val="00A00C4C"/>
    <w:rsid w:val="00A02F0C"/>
    <w:rsid w:val="00A06BCE"/>
    <w:rsid w:val="00A165D1"/>
    <w:rsid w:val="00A33091"/>
    <w:rsid w:val="00A42171"/>
    <w:rsid w:val="00A45D02"/>
    <w:rsid w:val="00A57666"/>
    <w:rsid w:val="00A6538D"/>
    <w:rsid w:val="00A72FB1"/>
    <w:rsid w:val="00A81096"/>
    <w:rsid w:val="00A82C40"/>
    <w:rsid w:val="00A90345"/>
    <w:rsid w:val="00A94AD3"/>
    <w:rsid w:val="00AA3043"/>
    <w:rsid w:val="00AB28DE"/>
    <w:rsid w:val="00AB5C71"/>
    <w:rsid w:val="00AB7549"/>
    <w:rsid w:val="00AC5E60"/>
    <w:rsid w:val="00B215EE"/>
    <w:rsid w:val="00B2430B"/>
    <w:rsid w:val="00B36721"/>
    <w:rsid w:val="00B45C9F"/>
    <w:rsid w:val="00B5592A"/>
    <w:rsid w:val="00B714C2"/>
    <w:rsid w:val="00B806A1"/>
    <w:rsid w:val="00B860B0"/>
    <w:rsid w:val="00B9416D"/>
    <w:rsid w:val="00BB6C9D"/>
    <w:rsid w:val="00BC1214"/>
    <w:rsid w:val="00BC1D32"/>
    <w:rsid w:val="00BD5B00"/>
    <w:rsid w:val="00BE7CAF"/>
    <w:rsid w:val="00BF01CC"/>
    <w:rsid w:val="00BF0BD3"/>
    <w:rsid w:val="00BF4FC7"/>
    <w:rsid w:val="00C06F58"/>
    <w:rsid w:val="00C2286C"/>
    <w:rsid w:val="00C2541E"/>
    <w:rsid w:val="00C3216F"/>
    <w:rsid w:val="00C33368"/>
    <w:rsid w:val="00C372F3"/>
    <w:rsid w:val="00C40CD0"/>
    <w:rsid w:val="00C53A7B"/>
    <w:rsid w:val="00C55903"/>
    <w:rsid w:val="00C91765"/>
    <w:rsid w:val="00CC396F"/>
    <w:rsid w:val="00CF2B5B"/>
    <w:rsid w:val="00D26233"/>
    <w:rsid w:val="00D32C37"/>
    <w:rsid w:val="00D4050F"/>
    <w:rsid w:val="00D475F9"/>
    <w:rsid w:val="00D550F2"/>
    <w:rsid w:val="00D60D73"/>
    <w:rsid w:val="00D63250"/>
    <w:rsid w:val="00D86F6D"/>
    <w:rsid w:val="00DA7EF8"/>
    <w:rsid w:val="00DB4711"/>
    <w:rsid w:val="00DE1210"/>
    <w:rsid w:val="00DE5160"/>
    <w:rsid w:val="00E13546"/>
    <w:rsid w:val="00E15693"/>
    <w:rsid w:val="00E1767B"/>
    <w:rsid w:val="00E222AD"/>
    <w:rsid w:val="00E2244D"/>
    <w:rsid w:val="00E22E88"/>
    <w:rsid w:val="00E33957"/>
    <w:rsid w:val="00E46553"/>
    <w:rsid w:val="00E8191A"/>
    <w:rsid w:val="00E84A51"/>
    <w:rsid w:val="00EA439A"/>
    <w:rsid w:val="00EA6B94"/>
    <w:rsid w:val="00EA7FAC"/>
    <w:rsid w:val="00EC2853"/>
    <w:rsid w:val="00ED0499"/>
    <w:rsid w:val="00EF67ED"/>
    <w:rsid w:val="00F11E9B"/>
    <w:rsid w:val="00F21243"/>
    <w:rsid w:val="00F25A3C"/>
    <w:rsid w:val="00F53979"/>
    <w:rsid w:val="00F7552A"/>
    <w:rsid w:val="00F848DA"/>
    <w:rsid w:val="00FD15B8"/>
    <w:rsid w:val="00FD16A9"/>
    <w:rsid w:val="00FD542C"/>
    <w:rsid w:val="00FF49CA"/>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7D258E"/>
    <w:rPr>
      <w:lang w:val="en-GB" w:eastAsia="en-GB"/>
    </w:rPr>
  </w:style>
  <w:style w:type="paragraph" w:styleId="Naslov1">
    <w:name w:val="heading 1"/>
    <w:basedOn w:val="Navaden"/>
    <w:next w:val="Navaden"/>
    <w:qFormat/>
    <w:rsid w:val="00A57666"/>
    <w:pPr>
      <w:keepNext/>
      <w:spacing w:before="240"/>
      <w:jc w:val="center"/>
      <w:outlineLvl w:val="0"/>
    </w:pPr>
    <w:rPr>
      <w:b/>
      <w:sz w:val="24"/>
      <w:lang w:val="fr-BE"/>
    </w:rPr>
  </w:style>
  <w:style w:type="paragraph" w:styleId="Naslov2">
    <w:name w:val="heading 2"/>
    <w:basedOn w:val="Navaden"/>
    <w:next w:val="Navaden"/>
    <w:qFormat/>
    <w:rsid w:val="00A57666"/>
    <w:pPr>
      <w:keepNext/>
      <w:tabs>
        <w:tab w:val="left" w:pos="426"/>
      </w:tabs>
      <w:outlineLvl w:val="1"/>
    </w:pPr>
    <w:rPr>
      <w:sz w:val="24"/>
      <w:lang w:val="fr-BE"/>
    </w:rPr>
  </w:style>
  <w:style w:type="paragraph" w:styleId="Naslov3">
    <w:name w:val="heading 3"/>
    <w:basedOn w:val="Navaden"/>
    <w:next w:val="Navaden"/>
    <w:qFormat/>
    <w:rsid w:val="00A57666"/>
    <w:pPr>
      <w:keepNext/>
      <w:outlineLvl w:val="2"/>
    </w:pPr>
    <w:rPr>
      <w:sz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rsid w:val="00A57666"/>
    <w:pPr>
      <w:jc w:val="center"/>
    </w:pPr>
    <w:rPr>
      <w:b/>
      <w:sz w:val="28"/>
      <w:lang w:val="fr-BE"/>
    </w:rPr>
  </w:style>
  <w:style w:type="paragraph" w:styleId="Podnaslov">
    <w:name w:val="Subtitle"/>
    <w:basedOn w:val="Navaden"/>
    <w:qFormat/>
    <w:rsid w:val="00A57666"/>
    <w:pPr>
      <w:jc w:val="center"/>
    </w:pPr>
    <w:rPr>
      <w:b/>
      <w:sz w:val="28"/>
      <w:lang w:val="fr-BE"/>
    </w:rPr>
  </w:style>
  <w:style w:type="paragraph" w:styleId="Telobesedila-zamik">
    <w:name w:val="Body Text Indent"/>
    <w:basedOn w:val="Navaden"/>
    <w:rsid w:val="00A57666"/>
    <w:pPr>
      <w:tabs>
        <w:tab w:val="left" w:pos="567"/>
      </w:tabs>
      <w:spacing w:after="120"/>
      <w:ind w:left="567" w:hanging="567"/>
      <w:jc w:val="both"/>
    </w:pPr>
    <w:rPr>
      <w:sz w:val="24"/>
    </w:rPr>
  </w:style>
  <w:style w:type="paragraph" w:styleId="Telobesedila">
    <w:name w:val="Body Text"/>
    <w:basedOn w:val="Navaden"/>
    <w:rsid w:val="00A57666"/>
    <w:rPr>
      <w:sz w:val="24"/>
    </w:rPr>
  </w:style>
  <w:style w:type="paragraph" w:styleId="Telobesedila-zamik2">
    <w:name w:val="Body Text Indent 2"/>
    <w:basedOn w:val="Navaden"/>
    <w:rsid w:val="00A57666"/>
    <w:pPr>
      <w:tabs>
        <w:tab w:val="num" w:pos="567"/>
        <w:tab w:val="num" w:pos="2160"/>
      </w:tabs>
      <w:spacing w:after="240"/>
      <w:ind w:left="567" w:hanging="567"/>
      <w:jc w:val="both"/>
    </w:pPr>
    <w:rPr>
      <w:sz w:val="24"/>
      <w:u w:val="single"/>
    </w:rPr>
  </w:style>
  <w:style w:type="paragraph" w:styleId="Telobesedila-zamik3">
    <w:name w:val="Body Text Indent 3"/>
    <w:basedOn w:val="Navaden"/>
    <w:rsid w:val="00A57666"/>
    <w:pPr>
      <w:tabs>
        <w:tab w:val="left" w:pos="1276"/>
      </w:tabs>
      <w:spacing w:after="120"/>
      <w:ind w:left="1276" w:hanging="425"/>
      <w:jc w:val="both"/>
    </w:pPr>
    <w:rPr>
      <w:sz w:val="24"/>
    </w:rPr>
  </w:style>
  <w:style w:type="paragraph" w:styleId="Telobesedila2">
    <w:name w:val="Body Text 2"/>
    <w:basedOn w:val="Navaden"/>
    <w:link w:val="Telobesedila2Znak"/>
    <w:rsid w:val="00A57666"/>
    <w:pPr>
      <w:tabs>
        <w:tab w:val="num" w:pos="567"/>
      </w:tabs>
      <w:jc w:val="both"/>
    </w:pPr>
    <w:rPr>
      <w:sz w:val="24"/>
    </w:rPr>
  </w:style>
  <w:style w:type="paragraph" w:customStyle="1" w:styleId="Text3">
    <w:name w:val="Text 3"/>
    <w:basedOn w:val="Navaden"/>
    <w:rsid w:val="00A57666"/>
    <w:pPr>
      <w:tabs>
        <w:tab w:val="left" w:pos="2302"/>
      </w:tabs>
      <w:spacing w:after="240"/>
      <w:ind w:left="1202"/>
      <w:jc w:val="both"/>
    </w:pPr>
    <w:rPr>
      <w:sz w:val="24"/>
    </w:rPr>
  </w:style>
  <w:style w:type="paragraph" w:styleId="Glava">
    <w:name w:val="header"/>
    <w:basedOn w:val="Navaden"/>
    <w:rsid w:val="00A57666"/>
    <w:pPr>
      <w:tabs>
        <w:tab w:val="center" w:pos="4320"/>
        <w:tab w:val="right" w:pos="8640"/>
      </w:tabs>
    </w:pPr>
  </w:style>
  <w:style w:type="paragraph" w:styleId="Noga">
    <w:name w:val="footer"/>
    <w:basedOn w:val="Navaden"/>
    <w:rsid w:val="00A57666"/>
    <w:pPr>
      <w:tabs>
        <w:tab w:val="center" w:pos="4320"/>
        <w:tab w:val="right" w:pos="8640"/>
      </w:tabs>
    </w:pPr>
  </w:style>
  <w:style w:type="character" w:styleId="tevilkastrani">
    <w:name w:val="page number"/>
    <w:basedOn w:val="Privzetapisavaodstavka"/>
    <w:rsid w:val="00A57666"/>
  </w:style>
  <w:style w:type="paragraph" w:styleId="Telobesedila3">
    <w:name w:val="Body Text 3"/>
    <w:basedOn w:val="Navaden"/>
    <w:rsid w:val="00A5766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povezava">
    <w:name w:val="Hyperlink"/>
    <w:rsid w:val="00A57666"/>
    <w:rPr>
      <w:color w:val="0000FF"/>
      <w:u w:val="single"/>
    </w:rPr>
  </w:style>
  <w:style w:type="paragraph" w:customStyle="1" w:styleId="Blockquote">
    <w:name w:val="Blockquote"/>
    <w:basedOn w:val="Navaden"/>
    <w:rsid w:val="00A57666"/>
    <w:pPr>
      <w:widowControl w:val="0"/>
      <w:spacing w:before="100" w:after="100"/>
      <w:ind w:left="360" w:right="360"/>
    </w:pPr>
    <w:rPr>
      <w:snapToGrid w:val="0"/>
      <w:sz w:val="24"/>
      <w:lang w:val="en-US" w:eastAsia="en-US"/>
    </w:rPr>
  </w:style>
  <w:style w:type="character" w:styleId="Poudarek">
    <w:name w:val="Emphasis"/>
    <w:qFormat/>
    <w:rsid w:val="00A57666"/>
    <w:rPr>
      <w:i/>
    </w:rPr>
  </w:style>
  <w:style w:type="character" w:styleId="Krepko">
    <w:name w:val="Strong"/>
    <w:qFormat/>
    <w:rsid w:val="00A57666"/>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avaden"/>
    <w:next w:val="Navaden"/>
    <w:rsid w:val="00C53D8C"/>
    <w:pPr>
      <w:spacing w:after="160" w:line="240" w:lineRule="exact"/>
    </w:pPr>
    <w:rPr>
      <w:rFonts w:ascii="Tahoma" w:hAnsi="Tahoma"/>
      <w:sz w:val="24"/>
      <w:lang w:val="en-US" w:eastAsia="en-US"/>
    </w:rPr>
  </w:style>
  <w:style w:type="character" w:styleId="SledenaHiperpovezava">
    <w:name w:val="FollowedHyperlink"/>
    <w:rsid w:val="00AD4777"/>
    <w:rPr>
      <w:color w:val="606420"/>
      <w:u w:val="single"/>
    </w:rPr>
  </w:style>
  <w:style w:type="paragraph" w:customStyle="1" w:styleId="Char2">
    <w:name w:val="Char2"/>
    <w:basedOn w:val="Navaden"/>
    <w:rsid w:val="006A651E"/>
    <w:pPr>
      <w:spacing w:after="160" w:line="240" w:lineRule="exact"/>
    </w:pPr>
    <w:rPr>
      <w:rFonts w:ascii="Tahoma" w:hAnsi="Tahoma"/>
      <w:lang w:val="en-US" w:eastAsia="en-US"/>
    </w:rPr>
  </w:style>
  <w:style w:type="paragraph" w:styleId="Sprotnaopomba-besedilo">
    <w:name w:val="footnote text"/>
    <w:basedOn w:val="Navaden"/>
    <w:semiHidden/>
    <w:rsid w:val="00CB5FF3"/>
  </w:style>
  <w:style w:type="character" w:styleId="Sprotnaopomba-sklic">
    <w:name w:val="footnote reference"/>
    <w:semiHidden/>
    <w:rsid w:val="00CB5FF3"/>
    <w:rPr>
      <w:vertAlign w:val="superscript"/>
    </w:rPr>
  </w:style>
  <w:style w:type="paragraph" w:styleId="Besedilooblaka">
    <w:name w:val="Balloon Text"/>
    <w:basedOn w:val="Navaden"/>
    <w:semiHidden/>
    <w:rsid w:val="005D284C"/>
    <w:rPr>
      <w:rFonts w:ascii="Tahoma" w:hAnsi="Tahoma" w:cs="Tahoma"/>
      <w:sz w:val="16"/>
      <w:szCs w:val="16"/>
    </w:rPr>
  </w:style>
  <w:style w:type="paragraph" w:customStyle="1" w:styleId="Text2">
    <w:name w:val="Text 2"/>
    <w:basedOn w:val="Navaden"/>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avaden"/>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avaden"/>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Telobesedila2Znak">
    <w:name w:val="Telo besedila 2 Znak"/>
    <w:link w:val="Telobesedila2"/>
    <w:rsid w:val="0056210A"/>
    <w:rPr>
      <w:sz w:val="24"/>
    </w:rPr>
  </w:style>
  <w:style w:type="character" w:styleId="Komentar-sklic">
    <w:name w:val="annotation reference"/>
    <w:rsid w:val="0017009E"/>
    <w:rPr>
      <w:sz w:val="16"/>
      <w:szCs w:val="16"/>
    </w:rPr>
  </w:style>
  <w:style w:type="paragraph" w:styleId="Komentar-besedilo">
    <w:name w:val="annotation text"/>
    <w:basedOn w:val="Navaden"/>
    <w:link w:val="Komentar-besediloZnak"/>
    <w:rsid w:val="0017009E"/>
  </w:style>
  <w:style w:type="character" w:customStyle="1" w:styleId="Komentar-besediloZnak">
    <w:name w:val="Komentar - besedilo Znak"/>
    <w:basedOn w:val="Privzetapisavaodstavka"/>
    <w:link w:val="Komentar-besedilo"/>
    <w:rsid w:val="0017009E"/>
  </w:style>
  <w:style w:type="paragraph" w:styleId="Zadevakomentarja">
    <w:name w:val="annotation subject"/>
    <w:basedOn w:val="Komentar-besedilo"/>
    <w:next w:val="Komentar-besedilo"/>
    <w:link w:val="ZadevakomentarjaZnak"/>
    <w:rsid w:val="0017009E"/>
    <w:rPr>
      <w:b/>
      <w:bCs/>
    </w:rPr>
  </w:style>
  <w:style w:type="character" w:customStyle="1" w:styleId="ZadevakomentarjaZnak">
    <w:name w:val="Zadeva komentarja Znak"/>
    <w:link w:val="Zadevakomentarja"/>
    <w:rsid w:val="0017009E"/>
    <w:rPr>
      <w:b/>
      <w:bCs/>
    </w:rPr>
  </w:style>
  <w:style w:type="paragraph" w:styleId="Revizija">
    <w:name w:val="Revision"/>
    <w:hidden/>
    <w:uiPriority w:val="99"/>
    <w:semiHidden/>
    <w:rsid w:val="00687AA2"/>
    <w:rPr>
      <w:lang w:val="en-GB" w:eastAsia="en-GB"/>
    </w:rPr>
  </w:style>
</w:styles>
</file>

<file path=word/webSettings.xml><?xml version="1.0" encoding="utf-8"?>
<w:webSettings xmlns:r="http://schemas.openxmlformats.org/officeDocument/2006/relationships" xmlns:w="http://schemas.openxmlformats.org/wordprocessingml/2006/main">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c.europa.eu/europeaid/prag/document.do" TargetMode="External"/><Relationship Id="rId4" Type="http://schemas.openxmlformats.org/officeDocument/2006/relationships/settings" Target="settings.xml"/><Relationship Id="rId9" Type="http://schemas.openxmlformats.org/officeDocument/2006/relationships/hyperlink" Target="http://ec.europa.eu/europeaid/work/procedures/documents/execution/services/b8annexvbudgetfee_en.xls" TargetMode="External"/><Relationship Id="rId14"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BC361-63F8-4DBC-9E7F-009F6EBD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4360</Words>
  <Characters>24857</Characters>
  <Application>Microsoft Office Word</Application>
  <DocSecurity>0</DocSecurity>
  <Lines>207</Lines>
  <Paragraphs>58</Paragraphs>
  <ScaleCrop>false</ScaleCrop>
  <Company>Grizli777</Company>
  <LinksUpToDate>false</LinksUpToDate>
  <CharactersWithSpaces>29159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UPORABNIK</cp:lastModifiedBy>
  <cp:revision>9</cp:revision>
  <cp:lastPrinted>2012-09-25T15:41:00Z</cp:lastPrinted>
  <dcterms:created xsi:type="dcterms:W3CDTF">2016-03-10T14:09:00Z</dcterms:created>
  <dcterms:modified xsi:type="dcterms:W3CDTF">2016-03-11T09:25:00Z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