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40" w:rsidRPr="005D6740" w:rsidRDefault="005D6740" w:rsidP="005D674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  <w:lang w:val="sq-AL"/>
        </w:rPr>
      </w:pPr>
      <w:r w:rsidRPr="005D6740"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  <w:lang w:val="sq-AL"/>
        </w:rPr>
        <w:t>Shtojca 4 – Financ</w:t>
      </w:r>
      <w:r w:rsidR="008133BE"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  <w:lang w:val="sq-AL"/>
        </w:rPr>
        <w:t>imi nga Sida për Grantin e perf</w:t>
      </w:r>
      <w:r w:rsidRPr="005D6740"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  <w:lang w:val="sq-AL"/>
        </w:rPr>
        <w:t>ormancës për vitin 2019</w:t>
      </w:r>
    </w:p>
    <w:p w:rsidR="005D6740" w:rsidRPr="005D6740" w:rsidRDefault="005D6740" w:rsidP="005D6740">
      <w:pPr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  <w:r w:rsidRPr="005D6740">
        <w:rPr>
          <w:lang w:val="sq-AL"/>
        </w:rPr>
        <w:t xml:space="preserve">Në dhjetor të viti 2018 është marrë vendim që </w:t>
      </w:r>
      <w:r w:rsidR="00D61508" w:rsidRPr="00D61508">
        <w:rPr>
          <w:lang w:val="sq-AL"/>
        </w:rPr>
        <w:t>Agjencia Suedeze për Bashkëpunim Zhvillimor Ndërkombëtar – Sida</w:t>
      </w:r>
      <w:r w:rsidRPr="005D6740">
        <w:rPr>
          <w:lang w:val="sq-AL"/>
        </w:rPr>
        <w:t xml:space="preserve"> – Sida të bashkëfinancoj</w:t>
      </w:r>
      <w:r w:rsidR="008133BE">
        <w:rPr>
          <w:lang w:val="sq-AL"/>
        </w:rPr>
        <w:t>ë</w:t>
      </w:r>
      <w:r w:rsidRPr="005D6740">
        <w:rPr>
          <w:lang w:val="sq-AL"/>
        </w:rPr>
        <w:t xml:space="preserve"> Grantin e Performancës për vitin 2019 në vlerë prej 504,413.00</w:t>
      </w:r>
      <w:r w:rsidR="00D75122">
        <w:rPr>
          <w:lang w:val="sq-AL"/>
        </w:rPr>
        <w:t xml:space="preserve"> euro</w:t>
      </w:r>
      <w:r w:rsidRPr="005D6740">
        <w:rPr>
          <w:lang w:val="sq-AL"/>
        </w:rPr>
        <w:t xml:space="preserve">. Kjo shumë do të ju ndahet komunave të kualifikuara në mënyrë proporcionale në bazë të formulës së alokimit të grantit të përgjithshëm. </w:t>
      </w:r>
    </w:p>
    <w:p w:rsidR="005D6740" w:rsidRPr="005D6740" w:rsidRDefault="005D6740" w:rsidP="005D6740">
      <w:pPr>
        <w:jc w:val="both"/>
        <w:rPr>
          <w:lang w:val="sq-AL"/>
        </w:rPr>
      </w:pPr>
      <w:r w:rsidRPr="005D6740">
        <w:rPr>
          <w:lang w:val="sq-AL"/>
        </w:rPr>
        <w:t xml:space="preserve">Burimet e financimit të Grantit të performancës për vitin 2019, janë paraqitur në vijim: </w:t>
      </w: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ind w:firstLine="720"/>
        <w:jc w:val="center"/>
        <w:rPr>
          <w:rFonts w:asciiTheme="majorHAnsi" w:hAnsiTheme="majorHAnsi" w:cstheme="majorHAnsi"/>
          <w:sz w:val="21"/>
          <w:szCs w:val="21"/>
          <w:lang w:val="sq-AL"/>
        </w:rPr>
      </w:pPr>
      <w:r w:rsidRPr="005D6740">
        <w:rPr>
          <w:rFonts w:asciiTheme="majorHAnsi" w:hAnsiTheme="majorHAnsi" w:cstheme="majorHAnsi"/>
          <w:b/>
          <w:sz w:val="21"/>
          <w:szCs w:val="21"/>
          <w:lang w:val="sq-AL"/>
        </w:rPr>
        <w:t>Tabela 3: Burimet e financimit të grantit të performancës për vitin 2019</w:t>
      </w:r>
    </w:p>
    <w:tbl>
      <w:tblPr>
        <w:tblW w:w="2005" w:type="pct"/>
        <w:tblInd w:w="2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961"/>
      </w:tblGrid>
      <w:tr w:rsidR="005D6740" w:rsidRPr="005D6740" w:rsidTr="00D61508"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center"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  <w:lang w:val="sq-AL"/>
              </w:rPr>
              <w:t>Burimi i financimit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bottom"/>
          </w:tcPr>
          <w:p w:rsidR="005D6740" w:rsidRPr="005D6740" w:rsidRDefault="00D75122" w:rsidP="005D674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  <w:lang w:val="sq-AL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  <w:lang w:val="sq-AL"/>
              </w:rPr>
              <w:t>Euro</w:t>
            </w:r>
            <w:r w:rsidR="005D6740" w:rsidRPr="005D6740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  <w:lang w:val="sq-AL"/>
              </w:rPr>
              <w:t xml:space="preserve"> për vitin 2019</w:t>
            </w:r>
          </w:p>
        </w:tc>
      </w:tr>
      <w:tr w:rsidR="005D6740" w:rsidRPr="005D6740" w:rsidTr="00D6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  <w:t>QeK/MAPL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hideMark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highlight w:val="yellow"/>
                <w:lang w:val="sq-AL"/>
              </w:rPr>
            </w:pPr>
            <w:r w:rsidRPr="005D6740"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  <w:t>950,000</w:t>
            </w:r>
          </w:p>
        </w:tc>
      </w:tr>
      <w:tr w:rsidR="005D6740" w:rsidRPr="005D6740" w:rsidTr="00D6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  <w:t>SDC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hideMark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1,300,000</w:t>
            </w:r>
          </w:p>
        </w:tc>
      </w:tr>
      <w:tr w:rsidR="005D6740" w:rsidRPr="005D6740" w:rsidTr="00D6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D6740" w:rsidRPr="005D6740" w:rsidRDefault="008133BE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sq-AL"/>
              </w:rPr>
              <w:t>Sida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5D6740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504,413</w:t>
            </w:r>
            <w:r w:rsidR="0072534D">
              <w:rPr>
                <w:rStyle w:val="FootnoteReference"/>
                <w:rFonts w:asciiTheme="majorHAnsi" w:hAnsiTheme="majorHAnsi" w:cstheme="majorHAnsi"/>
                <w:color w:val="000000"/>
                <w:sz w:val="19"/>
                <w:szCs w:val="19"/>
              </w:rPr>
              <w:footnoteReference w:id="1"/>
            </w:r>
          </w:p>
        </w:tc>
      </w:tr>
      <w:tr w:rsidR="005D6740" w:rsidRPr="005D6740" w:rsidTr="00D61508">
        <w:trPr>
          <w:trHeight w:val="22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noWrap/>
            <w:vAlign w:val="center"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  <w:lang w:val="sq-AL"/>
              </w:rPr>
              <w:t>Gjithsej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5D6740" w:rsidRPr="005D6740" w:rsidRDefault="005D6740" w:rsidP="005D6740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  <w:lang w:val="sq-AL"/>
              </w:rPr>
            </w:pPr>
            <w:r w:rsidRPr="005D6740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  <w:lang w:val="sq-AL"/>
              </w:rPr>
              <w:t>2,754,413</w:t>
            </w:r>
          </w:p>
        </w:tc>
      </w:tr>
    </w:tbl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Pr="005D6740" w:rsidRDefault="005D6740" w:rsidP="005D6740">
      <w:pPr>
        <w:jc w:val="both"/>
        <w:rPr>
          <w:lang w:val="sq-AL"/>
        </w:rPr>
      </w:pPr>
    </w:p>
    <w:p w:rsidR="005D6740" w:rsidRDefault="005D6740" w:rsidP="005D6740">
      <w:pPr>
        <w:rPr>
          <w:lang w:val="sq-AL"/>
        </w:rPr>
      </w:pPr>
      <w:r w:rsidRPr="005D6740">
        <w:rPr>
          <w:lang w:val="sq-AL"/>
        </w:rPr>
        <w:t>Alokimi i shumës prej 504,413.00 euro për 19 komunat e kualifikuar</w:t>
      </w:r>
      <w:r w:rsidR="008133BE">
        <w:rPr>
          <w:lang w:val="sq-AL"/>
        </w:rPr>
        <w:t>a</w:t>
      </w:r>
      <w:r w:rsidRPr="005D6740">
        <w:rPr>
          <w:lang w:val="sq-AL"/>
        </w:rPr>
        <w:t xml:space="preserve"> për GP për vitin 2019 është paraqitur në tabelën e mëposhtme: </w:t>
      </w:r>
    </w:p>
    <w:p w:rsidR="00D75122" w:rsidRDefault="008133BE" w:rsidP="005D6740">
      <w:pPr>
        <w:rPr>
          <w:lang w:val="sq-AL"/>
        </w:rPr>
      </w:pPr>
      <w:r>
        <w:rPr>
          <w:lang w:val="sq-AL"/>
        </w:rPr>
        <w:t>Tabela 1: Aloki</w:t>
      </w:r>
      <w:r w:rsidR="00D75122">
        <w:rPr>
          <w:lang w:val="sq-AL"/>
        </w:rPr>
        <w:t>mi fillestar - fondet e MAPL dhe DEMOS për komunat e kualifikuara</w:t>
      </w:r>
      <w:r w:rsidR="00D61508">
        <w:rPr>
          <w:rStyle w:val="FootnoteReference"/>
          <w:lang w:val="sq-AL"/>
        </w:rPr>
        <w:footnoteReference w:id="2"/>
      </w:r>
    </w:p>
    <w:p w:rsidR="00D75122" w:rsidRPr="00D61508" w:rsidRDefault="00D75122" w:rsidP="005D6740">
      <w:r w:rsidRPr="00D75122">
        <w:rPr>
          <w:noProof/>
        </w:rPr>
        <w:drawing>
          <wp:inline distT="0" distB="0" distL="0" distR="0">
            <wp:extent cx="59436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40" w:rsidRPr="005D6740" w:rsidRDefault="00D75122" w:rsidP="005D6740">
      <w:pPr>
        <w:rPr>
          <w:lang w:val="sq-AL"/>
        </w:rPr>
      </w:pPr>
      <w:r>
        <w:rPr>
          <w:lang w:val="sq-AL"/>
        </w:rPr>
        <w:lastRenderedPageBreak/>
        <w:t>Tabela 2</w:t>
      </w:r>
      <w:r w:rsidR="005D6740" w:rsidRPr="005D6740">
        <w:rPr>
          <w:lang w:val="sq-AL"/>
        </w:rPr>
        <w:t xml:space="preserve">: Alokimi i fondeve të </w:t>
      </w:r>
      <w:r>
        <w:rPr>
          <w:lang w:val="sq-AL"/>
        </w:rPr>
        <w:t xml:space="preserve">Sida për komunat </w:t>
      </w:r>
      <w:r w:rsidR="005D6740" w:rsidRPr="005D6740">
        <w:rPr>
          <w:lang w:val="sq-AL"/>
        </w:rPr>
        <w:t>e kualifikuara</w:t>
      </w:r>
      <w:r w:rsidR="00D61508">
        <w:rPr>
          <w:rStyle w:val="FootnoteReference"/>
          <w:lang w:val="sq-AL"/>
        </w:rPr>
        <w:footnoteReference w:id="3"/>
      </w:r>
    </w:p>
    <w:p w:rsidR="00C63FB6" w:rsidRDefault="005D6740">
      <w:pPr>
        <w:rPr>
          <w:lang w:val="sq-AL"/>
        </w:rPr>
      </w:pPr>
      <w:r w:rsidRPr="002D617E">
        <w:rPr>
          <w:noProof/>
        </w:rPr>
        <w:drawing>
          <wp:inline distT="0" distB="0" distL="0" distR="0" wp14:anchorId="01739C28" wp14:editId="4B3A55C4">
            <wp:extent cx="5943600" cy="67497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2" w:rsidRDefault="00D75122">
      <w:pPr>
        <w:rPr>
          <w:lang w:val="sq-AL"/>
        </w:rPr>
      </w:pPr>
    </w:p>
    <w:p w:rsidR="00D75122" w:rsidRDefault="00D75122">
      <w:pPr>
        <w:rPr>
          <w:lang w:val="sq-AL"/>
        </w:rPr>
      </w:pPr>
    </w:p>
    <w:p w:rsidR="00D75122" w:rsidRDefault="00D75122">
      <w:pPr>
        <w:rPr>
          <w:lang w:val="sq-AL"/>
        </w:rPr>
      </w:pPr>
      <w:r>
        <w:rPr>
          <w:lang w:val="sq-AL"/>
        </w:rPr>
        <w:t>Tabela 3: Alokimi i fondeve MAPL/DEMOS/Sida për komunat e kualifikuar</w:t>
      </w:r>
      <w:r w:rsidR="008133BE">
        <w:rPr>
          <w:lang w:val="sq-AL"/>
        </w:rPr>
        <w:t>a</w:t>
      </w:r>
      <w:r w:rsidR="00D61508">
        <w:rPr>
          <w:rStyle w:val="FootnoteReference"/>
          <w:lang w:val="sq-AL"/>
        </w:rPr>
        <w:footnoteReference w:id="4"/>
      </w:r>
    </w:p>
    <w:p w:rsidR="00D75122" w:rsidRPr="005D6740" w:rsidRDefault="00D75122">
      <w:pPr>
        <w:rPr>
          <w:lang w:val="sq-AL"/>
        </w:rPr>
      </w:pPr>
      <w:r w:rsidRPr="00D75122">
        <w:rPr>
          <w:noProof/>
        </w:rPr>
        <w:drawing>
          <wp:inline distT="0" distB="0" distL="0" distR="0">
            <wp:extent cx="5943600" cy="643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122" w:rsidRPr="005D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08" w:rsidRDefault="00D61508" w:rsidP="00D61508">
      <w:pPr>
        <w:spacing w:after="0" w:line="240" w:lineRule="auto"/>
      </w:pPr>
      <w:r>
        <w:separator/>
      </w:r>
    </w:p>
  </w:endnote>
  <w:endnote w:type="continuationSeparator" w:id="0">
    <w:p w:rsidR="00D61508" w:rsidRDefault="00D61508" w:rsidP="00D6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08" w:rsidRDefault="00D61508" w:rsidP="00D61508">
      <w:pPr>
        <w:spacing w:after="0" w:line="240" w:lineRule="auto"/>
      </w:pPr>
      <w:r>
        <w:separator/>
      </w:r>
    </w:p>
  </w:footnote>
  <w:footnote w:type="continuationSeparator" w:id="0">
    <w:p w:rsidR="00D61508" w:rsidRDefault="00D61508" w:rsidP="00D61508">
      <w:pPr>
        <w:spacing w:after="0" w:line="240" w:lineRule="auto"/>
      </w:pPr>
      <w:r>
        <w:continuationSeparator/>
      </w:r>
    </w:p>
  </w:footnote>
  <w:footnote w:id="1">
    <w:p w:rsidR="0072534D" w:rsidRPr="0072534D" w:rsidRDefault="0072534D" w:rsidP="00FA1A50">
      <w:pPr>
        <w:pStyle w:val="FootnoteText"/>
        <w:jc w:val="both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Vlera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e </w:t>
      </w:r>
      <w:proofErr w:type="spellStart"/>
      <w:r>
        <w:t>bashk</w:t>
      </w:r>
      <w:proofErr w:type="spellEnd"/>
      <w:r>
        <w:rPr>
          <w:lang w:val="sq-AL"/>
        </w:rPr>
        <w:t xml:space="preserve">ëfinacimit nga Sida për </w:t>
      </w:r>
      <w:r w:rsidR="00FA1A50">
        <w:rPr>
          <w:lang w:val="sq-AL"/>
        </w:rPr>
        <w:t xml:space="preserve">tri vite (2019-2021) është </w:t>
      </w:r>
      <w:r w:rsidR="00FA1A50" w:rsidRPr="00FA1A50">
        <w:rPr>
          <w:lang w:val="sq-AL"/>
        </w:rPr>
        <w:t>20,000,000</w:t>
      </w:r>
      <w:r w:rsidR="00FA1A50">
        <w:rPr>
          <w:lang w:val="sq-AL"/>
        </w:rPr>
        <w:t xml:space="preserve">.00 kruna suedeze. Për </w:t>
      </w:r>
      <w:r>
        <w:rPr>
          <w:lang w:val="sq-AL"/>
        </w:rPr>
        <w:t xml:space="preserve">vitin 2019 </w:t>
      </w:r>
      <w:r w:rsidR="00FA1A50">
        <w:rPr>
          <w:lang w:val="sq-AL"/>
        </w:rPr>
        <w:t>bashkëfinancimi është</w:t>
      </w:r>
      <w:r>
        <w:rPr>
          <w:lang w:val="sq-AL"/>
        </w:rPr>
        <w:t xml:space="preserve"> </w:t>
      </w:r>
      <w:r w:rsidRPr="0072534D">
        <w:rPr>
          <w:lang w:val="sq-AL"/>
        </w:rPr>
        <w:t>6,716,625</w:t>
      </w:r>
      <w:r>
        <w:rPr>
          <w:lang w:val="sq-AL"/>
        </w:rPr>
        <w:t xml:space="preserve">.00 kruna suedeze, nga të cilat 5,457,837.00 </w:t>
      </w:r>
      <w:r w:rsidR="00F75688">
        <w:rPr>
          <w:lang w:val="sq-AL"/>
        </w:rPr>
        <w:t xml:space="preserve">kruna suedeze </w:t>
      </w:r>
      <w:bookmarkStart w:id="0" w:name="_GoBack"/>
      <w:bookmarkEnd w:id="0"/>
      <w:r>
        <w:rPr>
          <w:lang w:val="sq-AL"/>
        </w:rPr>
        <w:t>do të përdoren për Grantin e Performancës.</w:t>
      </w:r>
    </w:p>
  </w:footnote>
  <w:footnote w:id="2">
    <w:p w:rsidR="00D61508" w:rsidRPr="00F75688" w:rsidRDefault="00D61508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 w:rsidRPr="00F75688">
        <w:rPr>
          <w:lang w:val="sq-AL"/>
        </w:rPr>
        <w:t xml:space="preserve"> </w:t>
      </w:r>
      <w:r w:rsidRPr="00F75688">
        <w:rPr>
          <w:lang w:val="sq-AL"/>
        </w:rPr>
        <w:t>Vlera e grantit të performancës përllogaritet duke i marr parasysh edhe decimalet pas presjes dhjetore, ndonëse në tabelë nuk janë paraqitur të gjitha decimalet.</w:t>
      </w:r>
    </w:p>
  </w:footnote>
  <w:footnote w:id="3">
    <w:p w:rsidR="00D61508" w:rsidRPr="00F75688" w:rsidRDefault="00D61508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 w:rsidRPr="00F75688">
        <w:rPr>
          <w:lang w:val="sq-AL"/>
        </w:rPr>
        <w:t xml:space="preserve"> </w:t>
      </w:r>
      <w:r w:rsidRPr="00F75688">
        <w:rPr>
          <w:lang w:val="sq-AL"/>
        </w:rPr>
        <w:t>Vlera e grantit të performancës përllogaritet duke i marr parasysh edhe decimalet pas presjes dhjetore, ndonëse në tabelë nuk janë paraqitur të gjitha decimalet.</w:t>
      </w:r>
    </w:p>
  </w:footnote>
  <w:footnote w:id="4">
    <w:p w:rsidR="00D61508" w:rsidRPr="00F75688" w:rsidRDefault="00D61508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 w:rsidRPr="00F75688">
        <w:rPr>
          <w:lang w:val="sq-AL"/>
        </w:rPr>
        <w:t xml:space="preserve"> </w:t>
      </w:r>
      <w:r w:rsidRPr="00F75688">
        <w:rPr>
          <w:lang w:val="sq-AL"/>
        </w:rPr>
        <w:t xml:space="preserve">Vlera </w:t>
      </w:r>
      <w:r w:rsidRPr="00F75688">
        <w:rPr>
          <w:lang w:val="sq-AL"/>
        </w:rPr>
        <w:t>e grantit të performancës përllogaritet duke i marr parasysh edhe decimalet pas presjes dhjetore, ndonëse në tabelë nuk janë paraqitur të gjitha decimalet.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40"/>
    <w:rsid w:val="00342CEA"/>
    <w:rsid w:val="005D6740"/>
    <w:rsid w:val="0072534D"/>
    <w:rsid w:val="008133BE"/>
    <w:rsid w:val="00C63FB6"/>
    <w:rsid w:val="00D61508"/>
    <w:rsid w:val="00D75122"/>
    <w:rsid w:val="00F75688"/>
    <w:rsid w:val="00F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ACD5"/>
  <w15:chartTrackingRefBased/>
  <w15:docId w15:val="{9AAB9881-314C-4C2C-9316-9216EB9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15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5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F3BF-A2E7-4B7A-8C27-78A22C1A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Shqiponja Vokshi</dc:creator>
  <cp:keywords/>
  <dc:description/>
  <cp:lastModifiedBy>Shqiponja Vokshi</cp:lastModifiedBy>
  <cp:revision>6</cp:revision>
  <dcterms:created xsi:type="dcterms:W3CDTF">2018-11-28T10:43:00Z</dcterms:created>
  <dcterms:modified xsi:type="dcterms:W3CDTF">2018-12-20T13:48:00Z</dcterms:modified>
</cp:coreProperties>
</file>