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EC" w:rsidRPr="006B75AB" w:rsidRDefault="008507EC" w:rsidP="008507EC">
      <w:pPr>
        <w:spacing w:after="0"/>
        <w:jc w:val="center"/>
        <w:rPr>
          <w:rFonts w:ascii="Book Antiqua" w:eastAsia="Batang" w:hAnsi="Book Antiqua"/>
          <w:sz w:val="24"/>
        </w:rPr>
      </w:pPr>
      <w:r w:rsidRPr="006B75AB">
        <w:rPr>
          <w:rFonts w:ascii="Calibri" w:eastAsia="Batang" w:hAnsi="Calibri"/>
          <w:noProof/>
          <w:sz w:val="18"/>
        </w:rPr>
        <w:drawing>
          <wp:inline distT="0" distB="0" distL="0" distR="0" wp14:anchorId="0B10C964" wp14:editId="1E0AA72C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5AB">
        <w:rPr>
          <w:rFonts w:ascii="Calibri" w:eastAsia="Batang" w:hAnsi="Calibri"/>
          <w:noProof/>
          <w:sz w:val="18"/>
        </w:rPr>
        <w:t xml:space="preserve">  </w:t>
      </w:r>
    </w:p>
    <w:p w:rsidR="008507EC" w:rsidRPr="006B75AB" w:rsidRDefault="008507EC" w:rsidP="008507EC">
      <w:pPr>
        <w:spacing w:after="0"/>
        <w:jc w:val="center"/>
        <w:rPr>
          <w:rFonts w:ascii="Book Antiqua" w:eastAsia="Batang" w:hAnsi="Book Antiqua" w:cs="Book Antiqua"/>
          <w:b/>
          <w:bCs/>
          <w:sz w:val="2"/>
        </w:rPr>
      </w:pPr>
    </w:p>
    <w:p w:rsidR="008507EC" w:rsidRPr="006B75AB" w:rsidRDefault="008507EC" w:rsidP="008507EC">
      <w:pPr>
        <w:spacing w:after="0"/>
        <w:jc w:val="center"/>
        <w:rPr>
          <w:rFonts w:ascii="Book Antiqua" w:eastAsia="Batang" w:hAnsi="Book Antiqua"/>
          <w:b/>
          <w:bCs/>
          <w:sz w:val="24"/>
        </w:rPr>
      </w:pPr>
      <w:r w:rsidRPr="006B75AB">
        <w:rPr>
          <w:rFonts w:ascii="Book Antiqua" w:eastAsia="Batang" w:hAnsi="Book Antiqua" w:cs="Book Antiqua"/>
          <w:b/>
          <w:bCs/>
          <w:sz w:val="24"/>
        </w:rPr>
        <w:t>Republika e Kosovës</w:t>
      </w:r>
    </w:p>
    <w:p w:rsidR="008507EC" w:rsidRPr="006B75AB" w:rsidRDefault="008507EC" w:rsidP="008507EC">
      <w:pPr>
        <w:spacing w:after="0"/>
        <w:jc w:val="center"/>
        <w:rPr>
          <w:rFonts w:ascii="Book Antiqua" w:eastAsia="Batang" w:hAnsi="Book Antiqua" w:cs="Book Antiqua"/>
          <w:b/>
          <w:bCs/>
          <w:szCs w:val="26"/>
        </w:rPr>
      </w:pPr>
      <w:r w:rsidRPr="006B75AB">
        <w:rPr>
          <w:rFonts w:ascii="Book Antiqua" w:eastAsia="Batang" w:hAnsi="Book Antiqua"/>
          <w:b/>
          <w:bCs/>
          <w:szCs w:val="26"/>
        </w:rPr>
        <w:t>Republika Kosova-Republic of Kosovo</w:t>
      </w:r>
    </w:p>
    <w:p w:rsidR="008507EC" w:rsidRPr="006B75AB" w:rsidRDefault="008507EC" w:rsidP="008507EC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6B75AB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8507EC" w:rsidRPr="006B75AB" w:rsidRDefault="008507EC" w:rsidP="008507EC">
      <w:pPr>
        <w:spacing w:after="0"/>
        <w:jc w:val="center"/>
        <w:rPr>
          <w:rFonts w:ascii="Book Antiqua" w:eastAsia="Batang" w:hAnsi="Book Antiqua" w:cs="Book Antiqua"/>
          <w:i/>
          <w:iCs/>
          <w:sz w:val="20"/>
        </w:rPr>
      </w:pPr>
      <w:r w:rsidRPr="006B75AB">
        <w:rPr>
          <w:rFonts w:ascii="Book Antiqua" w:eastAsia="Batang" w:hAnsi="Book Antiqua"/>
          <w:i/>
          <w:sz w:val="20"/>
        </w:rPr>
        <w:t>Ministria e Administrimit të Pushtetit Lokal</w:t>
      </w:r>
    </w:p>
    <w:p w:rsidR="008507EC" w:rsidRPr="006B75AB" w:rsidRDefault="008507EC" w:rsidP="008507EC">
      <w:pPr>
        <w:spacing w:after="0"/>
        <w:jc w:val="center"/>
        <w:rPr>
          <w:rFonts w:ascii="Book Antiqua" w:eastAsia="Batang" w:hAnsi="Book Antiqua"/>
          <w:i/>
          <w:sz w:val="20"/>
        </w:rPr>
      </w:pPr>
      <w:r w:rsidRPr="006B75AB">
        <w:rPr>
          <w:rFonts w:ascii="Book Antiqua" w:eastAsia="Batang" w:hAnsi="Book Antiqua"/>
          <w:i/>
          <w:sz w:val="20"/>
        </w:rPr>
        <w:t>Ministarstvo Lokalne Samouprave Administracije</w:t>
      </w:r>
    </w:p>
    <w:p w:rsidR="008507EC" w:rsidRPr="006B75AB" w:rsidRDefault="008507EC" w:rsidP="008507EC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  <w:sz w:val="20"/>
        </w:rPr>
      </w:pPr>
      <w:r w:rsidRPr="006B75AB">
        <w:rPr>
          <w:rFonts w:ascii="Book Antiqua" w:eastAsia="Batang" w:hAnsi="Book Antiqua"/>
          <w:i/>
          <w:sz w:val="20"/>
        </w:rPr>
        <w:t>Ministry of Local Government Administration</w:t>
      </w:r>
    </w:p>
    <w:p w:rsidR="008507EC" w:rsidRPr="002842F1" w:rsidRDefault="00F84CE6" w:rsidP="008507EC">
      <w:pPr>
        <w:rPr>
          <w:lang w:val="sq-AL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8A694" wp14:editId="7C4B638A">
                <wp:simplePos x="0" y="0"/>
                <wp:positionH relativeFrom="column">
                  <wp:posOffset>358140</wp:posOffset>
                </wp:positionH>
                <wp:positionV relativeFrom="paragraph">
                  <wp:posOffset>112395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7EC" w:rsidRPr="004235DB" w:rsidRDefault="008507EC" w:rsidP="008507EC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INDEKS </w:t>
                            </w: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8A69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.2pt;margin-top:8.8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mfAIAAGQ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" filled="f" stroked="f" strokeweight=".5pt">
                <v:textbox>
                  <w:txbxContent>
                    <w:p w:rsidR="008507EC" w:rsidRPr="004235DB" w:rsidRDefault="008507EC" w:rsidP="008507EC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INDEKS </w:t>
                      </w: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694EC" wp14:editId="0FFC223D">
                <wp:simplePos x="0" y="0"/>
                <wp:positionH relativeFrom="column">
                  <wp:posOffset>900125</wp:posOffset>
                </wp:positionH>
                <wp:positionV relativeFrom="paragraph">
                  <wp:posOffset>220980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34F6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7.4pt" to="120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ESL84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</w:p>
    <w:p w:rsidR="008507EC" w:rsidRPr="00B50619" w:rsidRDefault="006E41D6" w:rsidP="008507EC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B2A3D" wp14:editId="231038A9">
                <wp:simplePos x="0" y="0"/>
                <wp:positionH relativeFrom="page">
                  <wp:align>right</wp:align>
                </wp:positionH>
                <wp:positionV relativeFrom="paragraph">
                  <wp:posOffset>14976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7EC" w:rsidRPr="004235DB" w:rsidRDefault="006E41D6" w:rsidP="008507E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</w:t>
                            </w:r>
                            <w:r w:rsidR="00385AE4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8</w:t>
                            </w:r>
                            <w:r w:rsidR="008507EC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385AE4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68</w:t>
                            </w:r>
                            <w:r w:rsidR="008507EC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8507EC" w:rsidRPr="004235DB" w:rsidRDefault="008507EC" w:rsidP="008507EC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2A3D" id="Text Box 14" o:spid="_x0000_s1027" type="#_x0000_t202" style="position:absolute;left:0;text-align:left;margin-left:216.5pt;margin-top:1.2pt;width:267.7pt;height:74.6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" filled="f" stroked="f" strokeweight=".5pt">
                <v:textbox>
                  <w:txbxContent>
                    <w:p w:rsidR="008507EC" w:rsidRPr="004235DB" w:rsidRDefault="006E41D6" w:rsidP="008507EC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</w:t>
                      </w:r>
                      <w:r w:rsidR="00385AE4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8</w:t>
                      </w:r>
                      <w:r w:rsidR="008507EC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385AE4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68</w:t>
                      </w:r>
                      <w:r w:rsidR="008507EC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8507EC" w:rsidRPr="004235DB" w:rsidRDefault="008507EC" w:rsidP="008507EC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7EC"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58493" wp14:editId="5D8BBD43">
                <wp:simplePos x="0" y="0"/>
                <wp:positionH relativeFrom="column">
                  <wp:posOffset>-276330</wp:posOffset>
                </wp:positionH>
                <wp:positionV relativeFrom="paragraph">
                  <wp:posOffset>-200967</wp:posOffset>
                </wp:positionV>
                <wp:extent cx="2146300" cy="1534160"/>
                <wp:effectExtent l="0" t="0" r="635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7EC" w:rsidRPr="00F84CE6" w:rsidRDefault="008507EC" w:rsidP="008507E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sz w:val="44"/>
                                <w:szCs w:val="48"/>
                              </w:rPr>
                            </w:pPr>
                            <w:r w:rsidRPr="00F84CE6">
                              <w:rPr>
                                <w:rFonts w:asciiTheme="minorHAnsi" w:hAnsiTheme="minorHAnsi"/>
                                <w:b/>
                                <w:sz w:val="44"/>
                                <w:szCs w:val="48"/>
                              </w:rPr>
                              <w:t xml:space="preserve">MATJA E PERFORMANCËS SË KOMUNËS SË </w:t>
                            </w:r>
                          </w:p>
                          <w:p w:rsidR="008507EC" w:rsidRPr="00F84CE6" w:rsidRDefault="008507EC" w:rsidP="008507E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sz w:val="44"/>
                                <w:szCs w:val="48"/>
                              </w:rPr>
                            </w:pPr>
                            <w:r w:rsidRPr="00F84CE6">
                              <w:rPr>
                                <w:rFonts w:asciiTheme="minorHAnsi" w:hAnsiTheme="minorHAnsi"/>
                                <w:b/>
                                <w:sz w:val="44"/>
                                <w:szCs w:val="48"/>
                              </w:rPr>
                              <w:t>DEÇANIT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58493" id="Text Box 3" o:spid="_x0000_s1028" type="#_x0000_t202" style="position:absolute;left:0;text-align:left;margin-left:-21.75pt;margin-top:-15.8pt;width:169pt;height:12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" fillcolor="white [3201]" stroked="f" strokeweight=".5pt">
                <v:textbox>
                  <w:txbxContent>
                    <w:p w:rsidR="008507EC" w:rsidRPr="00F84CE6" w:rsidRDefault="008507EC" w:rsidP="008507E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/>
                          <w:b/>
                          <w:sz w:val="44"/>
                          <w:szCs w:val="48"/>
                        </w:rPr>
                      </w:pPr>
                      <w:r w:rsidRPr="00F84CE6">
                        <w:rPr>
                          <w:rFonts w:asciiTheme="minorHAnsi" w:hAnsiTheme="minorHAnsi"/>
                          <w:b/>
                          <w:sz w:val="44"/>
                          <w:szCs w:val="48"/>
                        </w:rPr>
                        <w:t xml:space="preserve">MATJA E PERFORMANCËS SË KOMUNËS SË </w:t>
                      </w:r>
                    </w:p>
                    <w:p w:rsidR="008507EC" w:rsidRPr="00F84CE6" w:rsidRDefault="008507EC" w:rsidP="008507E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/>
                          <w:b/>
                          <w:sz w:val="44"/>
                          <w:szCs w:val="48"/>
                        </w:rPr>
                      </w:pPr>
                      <w:r w:rsidRPr="00F84CE6">
                        <w:rPr>
                          <w:rFonts w:asciiTheme="minorHAnsi" w:hAnsiTheme="minorHAnsi"/>
                          <w:b/>
                          <w:sz w:val="44"/>
                          <w:szCs w:val="48"/>
                        </w:rPr>
                        <w:t>DEÇANIT</w:t>
                      </w:r>
                    </w:p>
                  </w:txbxContent>
                </v:textbox>
              </v:shape>
            </w:pict>
          </mc:Fallback>
        </mc:AlternateContent>
      </w: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F84CE6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2C3771B3" wp14:editId="66119E71">
            <wp:simplePos x="0" y="0"/>
            <wp:positionH relativeFrom="column">
              <wp:posOffset>1132739</wp:posOffset>
            </wp:positionH>
            <wp:positionV relativeFrom="paragraph">
              <wp:posOffset>113665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1D6"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ADFB3" wp14:editId="6194AAFF">
                <wp:simplePos x="0" y="0"/>
                <wp:positionH relativeFrom="page">
                  <wp:posOffset>4355465</wp:posOffset>
                </wp:positionH>
                <wp:positionV relativeFrom="page">
                  <wp:posOffset>3826510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1D6" w:rsidRPr="00E6390E" w:rsidRDefault="006E41D6" w:rsidP="006E41D6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PERFORMANCA </w:t>
                            </w:r>
                            <w:r w:rsidR="00547978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E</w:t>
                            </w:r>
                            <w:r w:rsidR="00C75E1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</w:t>
                            </w:r>
                            <w:r w:rsidR="00547978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KOMUNËS NË 19 FUSHA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DFB3" id="Text Box 6" o:spid="_x0000_s1029" type="#_x0000_t202" style="position:absolute;left:0;text-align:left;margin-left:342.95pt;margin-top:301.3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AWx+pC4gAAAAwBAAAPAAAAAAAAAAAAAAAAAOcEAABkcnMvZG93bnJldi54&#10;bWxQSwUGAAAAAAQABADzAAAA9gUAAAAA&#10;" fillcolor="white [3201]" stroked="f" strokeweight=".5pt">
                <v:textbox>
                  <w:txbxContent>
                    <w:p w:rsidR="006E41D6" w:rsidRPr="00E6390E" w:rsidRDefault="006E41D6" w:rsidP="006E41D6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PERFORMANCA </w:t>
                      </w:r>
                      <w:r w:rsidR="00547978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E</w:t>
                      </w:r>
                      <w:r w:rsidR="00C75E1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</w:t>
                      </w:r>
                      <w:r w:rsidR="00547978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KOMUNËS NË 19 FUSHA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E1783" wp14:editId="43F8DC59">
                <wp:simplePos x="0" y="0"/>
                <wp:positionH relativeFrom="page">
                  <wp:align>left</wp:align>
                </wp:positionH>
                <wp:positionV relativeFrom="paragraph">
                  <wp:posOffset>213037</wp:posOffset>
                </wp:positionV>
                <wp:extent cx="7915275" cy="784746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847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7EC" w:rsidRPr="004E480A" w:rsidRDefault="008507EC" w:rsidP="008507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8507EC" w:rsidRPr="004E480A" w:rsidRDefault="008507EC" w:rsidP="008507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547978" w:rsidRPr="004E480A" w:rsidRDefault="008507EC" w:rsidP="0054797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Performanca e </w:t>
                            </w:r>
                            <w:r w:rsidR="00547978"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6</w:t>
                            </w:r>
                            <w:r w:rsidR="00385AE4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8</w:t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385AE4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68</w:t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547978" w:rsidRDefault="008507EC" w:rsidP="008507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="005479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 në nivel vendi sipas tregueseve      57.87 %</w:t>
                            </w:r>
                          </w:p>
                          <w:p w:rsidR="008507EC" w:rsidRPr="004E480A" w:rsidRDefault="008507EC" w:rsidP="008507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8507EC" w:rsidRPr="004E480A" w:rsidRDefault="008507EC" w:rsidP="008507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1783" id="Text Box 8" o:spid="_x0000_s1030" type="#_x0000_t202" style="position:absolute;left:0;text-align:left;margin-left:0;margin-top:16.75pt;width:623.25pt;height:61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" fillcolor="#f2f2f2 [3052]" stroked="f" strokeweight=".5pt">
                <v:textbox>
                  <w:txbxContent>
                    <w:p w:rsidR="008507EC" w:rsidRPr="004E480A" w:rsidRDefault="008507EC" w:rsidP="008507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8507EC" w:rsidRPr="004E480A" w:rsidRDefault="008507EC" w:rsidP="008507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547978" w:rsidRPr="004E480A" w:rsidRDefault="008507EC" w:rsidP="0054797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Performanca e </w:t>
                      </w:r>
                      <w:r w:rsidR="00547978"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6</w:t>
                      </w:r>
                      <w:r w:rsidR="00385AE4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8</w:t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385AE4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68</w:t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547978" w:rsidRDefault="008507EC" w:rsidP="008507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="005479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 në nivel vendi sipas tregueseve      57.87 %</w:t>
                      </w:r>
                    </w:p>
                    <w:p w:rsidR="008507EC" w:rsidRPr="004E480A" w:rsidRDefault="008507EC" w:rsidP="008507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8507EC" w:rsidRPr="004E480A" w:rsidRDefault="008507EC" w:rsidP="008507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507EC" w:rsidRDefault="0051201D" w:rsidP="008507EC">
      <w:pPr>
        <w:tabs>
          <w:tab w:val="left" w:pos="1335"/>
        </w:tabs>
        <w:rPr>
          <w:rFonts w:ascii="Book Antiqua" w:hAnsi="Book Antiqua"/>
          <w:color w:val="323E4F" w:themeColor="text2" w:themeShade="BF"/>
          <w:szCs w:val="24"/>
        </w:rPr>
      </w:pPr>
      <w:r>
        <w:rPr>
          <w:noProof/>
        </w:rPr>
        <w:drawing>
          <wp:inline distT="0" distB="0" distL="0" distR="0" wp14:anchorId="11289675" wp14:editId="4B450165">
            <wp:extent cx="5854700" cy="3657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8507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507EC" w:rsidRDefault="008507EC" w:rsidP="008507E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2668" w:type="dxa"/>
        <w:tblInd w:w="-5" w:type="dxa"/>
        <w:tblLook w:val="04A0" w:firstRow="1" w:lastRow="0" w:firstColumn="1" w:lastColumn="0" w:noHBand="0" w:noVBand="1"/>
      </w:tblPr>
      <w:tblGrid>
        <w:gridCol w:w="2268"/>
        <w:gridCol w:w="669"/>
        <w:gridCol w:w="9014"/>
        <w:gridCol w:w="717"/>
      </w:tblGrid>
      <w:tr w:rsidR="008507EC" w:rsidRPr="006B75AB" w:rsidTr="00547978">
        <w:trPr>
          <w:trHeight w:val="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98,81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2.1.1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Mbledhjet e kuvendit të bëra publike dhe të transmetuara drejtpërdrejt online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2.1.2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2.1.3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87,50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2.1.4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40,35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2.1.5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2.2.1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2.2.2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71,09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3.1.1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25,00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Dëgjime publike për KAB dhe buxhet komunal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3.1.5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Publikimi i raporteve për procese të konsultimeve publike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Miratimi me kohë i propozim buxhetit vjetor komunal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Diskutime për raportet buxhetore tre-mujore nga Kuvendi Komunal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3.2.3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3.2.4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3.2.5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3.2.6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84,62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3.3.1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50,72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3.3.2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52,14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3.3.3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 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44,44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3.4.1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3.4.2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3.5.1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3.5.3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BARAZIA NË PUNËSIM, SHËRBIMET SOCIALE DHE FAMILJARE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4.1.1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Të punësuar me nevoja të veçanta në institucione komunale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54,28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4.1.2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Të punësuar nga komunitetet jo-shumicë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52,38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4.2.1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80,00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4.2.2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KULTURË, RINI DHE SPORT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5.1.1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58,85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 xml:space="preserve">MENAXHIMI I FATKEQËSIVE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6.1.1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6.1.2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PLANIFIKIMI HAPSINOR KOMUNAL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7.1.1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0,03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7.2.1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7.2.2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7.2.3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HAPËSIRAT PUBLIKE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8.1.1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2,05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8.1.2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8.1.3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INFRASTRUKTURA RRUGORE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9.1.1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78,49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9.1.2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78,03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9.1.3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60,49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9.2.1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14,33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9.2.2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14,97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9.2.3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9.2.4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9.2.5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 xml:space="preserve">TRANSPORTI PUBLIK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10.1.1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10.1.2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10.1.3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 xml:space="preserve">PARKINGJET PUBLIKE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11.1.1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Numri i parkingjeve për parkimin e mjeteve motorike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4,00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11.1.2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38,29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11.1.3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Vendparkimet e destinuara për taksi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11.1.4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UJË I PIJSHËM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12.1.1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12.1.2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Ekonomitë familjare, institucionet publike dhe njësitë biznesore të përfshira në sistemin e ujit të pijshëm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78,06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KANALIZIMI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13.1.1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13.1.2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63,21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MENAXHIMI I MBETURINAVE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14.1.1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14.1.2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99,67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14.2.1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14.2.2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75,48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14.3.1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Sasia e deponimit të mbeturinave në kilogram për kokë banori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68,63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lastRenderedPageBreak/>
              <w:t>MBROJTJA E AMBIENTIT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15.1.1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15.1.2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15.1.3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Ndërtesat e reja që e kanë zbatuar lejen mjedisore komunale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PERFAQESIMI GJINOR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Gratë e punësuara në institucione/administratën komunale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93,37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21,62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Gratë e emëruara në pozita politike në komunë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46,15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69,50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16.1.5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78,95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16.2.4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16.3.1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2,09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16.3.2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0,46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ARSIMI PARAUNIVERISTAR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0,25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75,00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17.1.5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74,00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17.1.6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33,35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84,43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50,85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</w:rPr>
              <w:t>17.2.3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Plotësimi i buxhetit për arsim prej të hyrave vetanake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2,22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17.2.4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17.3.5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Kalueshmëria në maturën kombëtare kl.12-të  (ndarja sipas gjinisë)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81,35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17.3.7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SHENDETESIA PRIMARE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6,04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18.2.1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74,11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18.2.2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1,18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18.3.1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18.3.2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85,74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18.3.3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000000"/>
                <w:sz w:val="18"/>
              </w:rPr>
              <w:t>ZHVILLIMI EKONOMIK LOKAL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19.1.1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19.1.2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100,00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19.1.3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22,57</w:t>
            </w:r>
          </w:p>
        </w:tc>
      </w:tr>
      <w:tr w:rsidR="008507EC" w:rsidRPr="006B75AB" w:rsidTr="00547978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sz w:val="18"/>
                <w:lang w:val="sq-AL"/>
              </w:rPr>
              <w:t>19.1.4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EC" w:rsidRPr="006B75AB" w:rsidRDefault="008507EC" w:rsidP="009D6C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75A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EC" w:rsidRPr="006B75AB" w:rsidRDefault="008507EC" w:rsidP="009D6C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6"/>
              </w:rPr>
            </w:pPr>
            <w:r w:rsidRPr="006B75AB">
              <w:rPr>
                <w:rFonts w:asciiTheme="majorHAnsi" w:hAnsiTheme="majorHAnsi" w:cstheme="majorHAnsi"/>
                <w:color w:val="000000"/>
                <w:sz w:val="18"/>
                <w:szCs w:val="16"/>
              </w:rPr>
              <w:t>61,35</w:t>
            </w:r>
          </w:p>
        </w:tc>
      </w:tr>
    </w:tbl>
    <w:p w:rsidR="008507EC" w:rsidRDefault="008507EC" w:rsidP="008507EC"/>
    <w:p w:rsidR="00412F4F" w:rsidRDefault="00412F4F"/>
    <w:sectPr w:rsidR="00412F4F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8A" w:rsidRDefault="00A9768A" w:rsidP="00AC3A2A">
      <w:pPr>
        <w:spacing w:after="0" w:line="240" w:lineRule="auto"/>
      </w:pPr>
      <w:r>
        <w:separator/>
      </w:r>
    </w:p>
  </w:endnote>
  <w:endnote w:type="continuationSeparator" w:id="0">
    <w:p w:rsidR="00A9768A" w:rsidRDefault="00A9768A" w:rsidP="00AC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8A" w:rsidRDefault="00A9768A" w:rsidP="00AC3A2A">
      <w:pPr>
        <w:spacing w:after="0" w:line="240" w:lineRule="auto"/>
      </w:pPr>
      <w:r>
        <w:separator/>
      </w:r>
    </w:p>
  </w:footnote>
  <w:footnote w:type="continuationSeparator" w:id="0">
    <w:p w:rsidR="00A9768A" w:rsidRDefault="00A9768A" w:rsidP="00AC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67E1C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EC"/>
    <w:rsid w:val="00385AE4"/>
    <w:rsid w:val="00412F4F"/>
    <w:rsid w:val="0051201D"/>
    <w:rsid w:val="00547978"/>
    <w:rsid w:val="005608A4"/>
    <w:rsid w:val="00567864"/>
    <w:rsid w:val="006E41D6"/>
    <w:rsid w:val="008507EC"/>
    <w:rsid w:val="00A9768A"/>
    <w:rsid w:val="00AC3A2A"/>
    <w:rsid w:val="00AF71BF"/>
    <w:rsid w:val="00B4523A"/>
    <w:rsid w:val="00C75E1E"/>
    <w:rsid w:val="00CA2AD2"/>
    <w:rsid w:val="00CA6675"/>
    <w:rsid w:val="00D63563"/>
    <w:rsid w:val="00E676C6"/>
    <w:rsid w:val="00F44287"/>
    <w:rsid w:val="00F84CE6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E524-76DB-49B0-B0FF-7338DD0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507EC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8507EC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8507E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C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2A"/>
  </w:style>
  <w:style w:type="paragraph" w:styleId="Footer">
    <w:name w:val="footer"/>
    <w:basedOn w:val="Normal"/>
    <w:link w:val="FooterChar"/>
    <w:uiPriority w:val="99"/>
    <w:unhideWhenUsed/>
    <w:rsid w:val="00AC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Deçan!$M$95</c:f>
              <c:strCache>
                <c:ptCount val="1"/>
                <c:pt idx="0">
                  <c:v>Deçan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Deçan!$L$96:$L$115</c:f>
              <c:strCache>
                <c:ptCount val="20"/>
                <c:pt idx="0">
                  <c:v>PLANIFIKIMI HAPSINOR</c:v>
                </c:pt>
                <c:pt idx="1">
                  <c:v>KANALIZIMI</c:v>
                </c:pt>
                <c:pt idx="2">
                  <c:v>ZHVILLIMI EKONOMIK LOKAL</c:v>
                </c:pt>
                <c:pt idx="3">
                  <c:v>PËRGJEGJSHMËRIA KOMUNALE</c:v>
                </c:pt>
                <c:pt idx="4">
                  <c:v>PËRFAQËSIMI GJINOR</c:v>
                </c:pt>
                <c:pt idx="5">
                  <c:v> KULUTURË RINI DHE SPORT</c:v>
                </c:pt>
                <c:pt idx="6">
                  <c:v>INFRASTRUKTURA RRUGORE</c:v>
                </c:pt>
                <c:pt idx="7">
                  <c:v>KUJDESI PRIMAR SHËNDETËSOR</c:v>
                </c:pt>
                <c:pt idx="8">
                  <c:v>TRANSPORTI PUBLIK</c:v>
                </c:pt>
                <c:pt idx="9">
                  <c:v>HAPËSIRAT PUBLIKE</c:v>
                </c:pt>
                <c:pt idx="10">
                  <c:v>MESATARJA</c:v>
                </c:pt>
                <c:pt idx="11">
                  <c:v>BARAZIA NË PUNËSIM, SHËRBIMET SOCIALE DHE FAMILJARE</c:v>
                </c:pt>
                <c:pt idx="12">
                  <c:v>ARSIMI PARAUNIVERSITAR</c:v>
                </c:pt>
                <c:pt idx="13">
                  <c:v>TRANSPARENCA KOMUNALE</c:v>
                </c:pt>
                <c:pt idx="14">
                  <c:v>PARKINGJET PUBLIKE</c:v>
                </c:pt>
                <c:pt idx="15">
                  <c:v>MENAXHIMI I MBETURINAVE</c:v>
                </c:pt>
                <c:pt idx="16">
                  <c:v>SHËRBIMET PUBLIKE ADMINISTRATIVE</c:v>
                </c:pt>
                <c:pt idx="17">
                  <c:v>UJI I PIJSHËM</c:v>
                </c:pt>
                <c:pt idx="18">
                  <c:v>MENAXHIMI I FATKEQËSIVE </c:v>
                </c:pt>
                <c:pt idx="19">
                  <c:v>MBROJTJA E AMBIENTIT</c:v>
                </c:pt>
              </c:strCache>
            </c:strRef>
          </c:cat>
          <c:val>
            <c:numRef>
              <c:f>Deçan!$M$96:$M$115</c:f>
              <c:numCache>
                <c:formatCode>0.00</c:formatCode>
                <c:ptCount val="20"/>
                <c:pt idx="0">
                  <c:v>33.350819389564272</c:v>
                </c:pt>
                <c:pt idx="1">
                  <c:v>40.802568475721131</c:v>
                </c:pt>
                <c:pt idx="2">
                  <c:v>45.979698450750533</c:v>
                </c:pt>
                <c:pt idx="3">
                  <c:v>54.307291279570236</c:v>
                </c:pt>
                <c:pt idx="4">
                  <c:v>54.397714185103915</c:v>
                </c:pt>
                <c:pt idx="5">
                  <c:v>58.85202839462066</c:v>
                </c:pt>
                <c:pt idx="6">
                  <c:v>59.097533485360813</c:v>
                </c:pt>
                <c:pt idx="7">
                  <c:v>61.968817454446537</c:v>
                </c:pt>
                <c:pt idx="8">
                  <c:v>66.666666666666671</c:v>
                </c:pt>
                <c:pt idx="9">
                  <c:v>67.349675570770557</c:v>
                </c:pt>
                <c:pt idx="10">
                  <c:v>68.682609328897229</c:v>
                </c:pt>
                <c:pt idx="11">
                  <c:v>71.664732558672185</c:v>
                </c:pt>
                <c:pt idx="12">
                  <c:v>72.840422609743158</c:v>
                </c:pt>
                <c:pt idx="13">
                  <c:v>77.558525219298247</c:v>
                </c:pt>
                <c:pt idx="14">
                  <c:v>79.431072210065636</c:v>
                </c:pt>
                <c:pt idx="15">
                  <c:v>85.401006467989134</c:v>
                </c:pt>
                <c:pt idx="16">
                  <c:v>86.269901059715735</c:v>
                </c:pt>
                <c:pt idx="17">
                  <c:v>89.031103770988167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1976944"/>
        <c:axId val="181978512"/>
      </c:barChart>
      <c:catAx>
        <c:axId val="181976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978512"/>
        <c:crosses val="autoZero"/>
        <c:auto val="1"/>
        <c:lblAlgn val="ctr"/>
        <c:lblOffset val="100"/>
        <c:noMultiLvlLbl val="0"/>
      </c:catAx>
      <c:valAx>
        <c:axId val="181978512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8197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17</cp:revision>
  <dcterms:created xsi:type="dcterms:W3CDTF">2022-02-23T08:48:00Z</dcterms:created>
  <dcterms:modified xsi:type="dcterms:W3CDTF">2022-03-14T12:39:00Z</dcterms:modified>
</cp:coreProperties>
</file>