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A8" w:rsidRPr="00CE099D" w:rsidRDefault="000A45A8" w:rsidP="000A45A8">
      <w:pPr>
        <w:spacing w:after="0"/>
        <w:jc w:val="center"/>
        <w:rPr>
          <w:rFonts w:ascii="Book Antiqua" w:eastAsia="Batang" w:hAnsi="Book Antiqua"/>
        </w:rPr>
      </w:pPr>
      <w:r w:rsidRPr="00CE099D">
        <w:rPr>
          <w:rFonts w:ascii="Calibri" w:eastAsia="Batang" w:hAnsi="Calibri"/>
          <w:noProof/>
        </w:rPr>
        <w:drawing>
          <wp:inline distT="0" distB="0" distL="0" distR="0" wp14:anchorId="29ED63F3" wp14:editId="13201D73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9D">
        <w:rPr>
          <w:rFonts w:ascii="Calibri" w:eastAsia="Batang" w:hAnsi="Calibri"/>
          <w:noProof/>
        </w:rPr>
        <w:t xml:space="preserve">  </w:t>
      </w:r>
    </w:p>
    <w:p w:rsidR="000A45A8" w:rsidRPr="00CE099D" w:rsidRDefault="000A45A8" w:rsidP="000A45A8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CE099D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CE099D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CE099D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0A45A8" w:rsidRPr="00CE099D" w:rsidRDefault="000A45A8" w:rsidP="000A45A8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CE099D">
        <w:rPr>
          <w:rFonts w:ascii="Book Antiqua" w:eastAsia="Batang" w:hAnsi="Book Antiqua"/>
          <w:b/>
          <w:bCs/>
        </w:rPr>
        <w:t>Republika</w:t>
      </w:r>
      <w:proofErr w:type="spellEnd"/>
      <w:r w:rsidRPr="00CE099D">
        <w:rPr>
          <w:rFonts w:ascii="Book Antiqua" w:eastAsia="Batang" w:hAnsi="Book Antiqua"/>
          <w:b/>
          <w:bCs/>
        </w:rPr>
        <w:t xml:space="preserve"> </w:t>
      </w:r>
      <w:proofErr w:type="spellStart"/>
      <w:r w:rsidRPr="00CE099D">
        <w:rPr>
          <w:rFonts w:ascii="Book Antiqua" w:eastAsia="Batang" w:hAnsi="Book Antiqua"/>
          <w:b/>
          <w:bCs/>
        </w:rPr>
        <w:t>Kosova</w:t>
      </w:r>
      <w:proofErr w:type="spellEnd"/>
      <w:r w:rsidRPr="00CE099D">
        <w:rPr>
          <w:rFonts w:ascii="Book Antiqua" w:eastAsia="Batang" w:hAnsi="Book Antiqua"/>
          <w:b/>
          <w:bCs/>
        </w:rPr>
        <w:t>-Republic of Kosovo</w:t>
      </w:r>
    </w:p>
    <w:p w:rsidR="000A45A8" w:rsidRPr="00CE099D" w:rsidRDefault="000A45A8" w:rsidP="000A45A8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CE099D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CE099D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CE099D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CE099D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0A45A8" w:rsidRPr="00CE099D" w:rsidRDefault="000A45A8" w:rsidP="000A45A8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CE099D">
        <w:rPr>
          <w:rFonts w:ascii="Book Antiqua" w:eastAsia="Batang" w:hAnsi="Book Antiqua"/>
          <w:i/>
        </w:rPr>
        <w:t>Ministria</w:t>
      </w:r>
      <w:proofErr w:type="spellEnd"/>
      <w:r w:rsidRPr="00CE099D">
        <w:rPr>
          <w:rFonts w:ascii="Book Antiqua" w:eastAsia="Batang" w:hAnsi="Book Antiqua"/>
          <w:i/>
        </w:rPr>
        <w:t xml:space="preserve"> e </w:t>
      </w:r>
      <w:proofErr w:type="spellStart"/>
      <w:r w:rsidRPr="00CE099D">
        <w:rPr>
          <w:rFonts w:ascii="Book Antiqua" w:eastAsia="Batang" w:hAnsi="Book Antiqua"/>
          <w:i/>
        </w:rPr>
        <w:t>Administrimit</w:t>
      </w:r>
      <w:proofErr w:type="spellEnd"/>
      <w:r w:rsidRPr="00CE099D">
        <w:rPr>
          <w:rFonts w:ascii="Book Antiqua" w:eastAsia="Batang" w:hAnsi="Book Antiqua"/>
          <w:i/>
        </w:rPr>
        <w:t xml:space="preserve"> </w:t>
      </w:r>
      <w:proofErr w:type="spellStart"/>
      <w:r w:rsidRPr="00CE099D">
        <w:rPr>
          <w:rFonts w:ascii="Book Antiqua" w:eastAsia="Batang" w:hAnsi="Book Antiqua"/>
          <w:i/>
        </w:rPr>
        <w:t>të</w:t>
      </w:r>
      <w:proofErr w:type="spellEnd"/>
      <w:r w:rsidRPr="00CE099D">
        <w:rPr>
          <w:rFonts w:ascii="Book Antiqua" w:eastAsia="Batang" w:hAnsi="Book Antiqua"/>
          <w:i/>
        </w:rPr>
        <w:t xml:space="preserve"> </w:t>
      </w:r>
      <w:proofErr w:type="spellStart"/>
      <w:r w:rsidRPr="00CE099D">
        <w:rPr>
          <w:rFonts w:ascii="Book Antiqua" w:eastAsia="Batang" w:hAnsi="Book Antiqua"/>
          <w:i/>
        </w:rPr>
        <w:t>Pushtetit</w:t>
      </w:r>
      <w:proofErr w:type="spellEnd"/>
      <w:r w:rsidRPr="00CE099D">
        <w:rPr>
          <w:rFonts w:ascii="Book Antiqua" w:eastAsia="Batang" w:hAnsi="Book Antiqua"/>
          <w:i/>
        </w:rPr>
        <w:t xml:space="preserve"> </w:t>
      </w:r>
      <w:proofErr w:type="spellStart"/>
      <w:r w:rsidRPr="00CE099D">
        <w:rPr>
          <w:rFonts w:ascii="Book Antiqua" w:eastAsia="Batang" w:hAnsi="Book Antiqua"/>
          <w:i/>
        </w:rPr>
        <w:t>Lokal</w:t>
      </w:r>
      <w:proofErr w:type="spellEnd"/>
    </w:p>
    <w:p w:rsidR="000A45A8" w:rsidRPr="00CE099D" w:rsidRDefault="000A45A8" w:rsidP="000A45A8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CE099D">
        <w:rPr>
          <w:rFonts w:ascii="Book Antiqua" w:eastAsia="Batang" w:hAnsi="Book Antiqua"/>
          <w:i/>
        </w:rPr>
        <w:t>Ministarstvo</w:t>
      </w:r>
      <w:proofErr w:type="spellEnd"/>
      <w:r w:rsidRPr="00CE099D">
        <w:rPr>
          <w:rFonts w:ascii="Book Antiqua" w:eastAsia="Batang" w:hAnsi="Book Antiqua"/>
          <w:i/>
        </w:rPr>
        <w:t xml:space="preserve"> </w:t>
      </w:r>
      <w:proofErr w:type="spellStart"/>
      <w:r w:rsidRPr="00CE099D">
        <w:rPr>
          <w:rFonts w:ascii="Book Antiqua" w:eastAsia="Batang" w:hAnsi="Book Antiqua"/>
          <w:i/>
        </w:rPr>
        <w:t>Lokalne</w:t>
      </w:r>
      <w:proofErr w:type="spellEnd"/>
      <w:r w:rsidRPr="00CE099D">
        <w:rPr>
          <w:rFonts w:ascii="Book Antiqua" w:eastAsia="Batang" w:hAnsi="Book Antiqua"/>
          <w:i/>
        </w:rPr>
        <w:t xml:space="preserve"> </w:t>
      </w:r>
      <w:proofErr w:type="spellStart"/>
      <w:r w:rsidRPr="00CE099D">
        <w:rPr>
          <w:rFonts w:ascii="Book Antiqua" w:eastAsia="Batang" w:hAnsi="Book Antiqua"/>
          <w:i/>
        </w:rPr>
        <w:t>Samouprave</w:t>
      </w:r>
      <w:proofErr w:type="spellEnd"/>
      <w:r w:rsidRPr="00CE099D">
        <w:rPr>
          <w:rFonts w:ascii="Book Antiqua" w:eastAsia="Batang" w:hAnsi="Book Antiqua"/>
          <w:i/>
        </w:rPr>
        <w:t xml:space="preserve"> </w:t>
      </w:r>
      <w:proofErr w:type="spellStart"/>
      <w:r w:rsidRPr="00CE099D">
        <w:rPr>
          <w:rFonts w:ascii="Book Antiqua" w:eastAsia="Batang" w:hAnsi="Book Antiqua"/>
          <w:i/>
        </w:rPr>
        <w:t>Administracije</w:t>
      </w:r>
      <w:proofErr w:type="spellEnd"/>
    </w:p>
    <w:p w:rsidR="000A45A8" w:rsidRPr="00CE099D" w:rsidRDefault="00CE099D" w:rsidP="000A45A8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ED1E6" wp14:editId="54674B35">
                <wp:simplePos x="0" y="0"/>
                <wp:positionH relativeFrom="column">
                  <wp:posOffset>-329388</wp:posOffset>
                </wp:positionH>
                <wp:positionV relativeFrom="paragraph">
                  <wp:posOffset>217096</wp:posOffset>
                </wp:positionV>
                <wp:extent cx="26479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5A8" w:rsidRPr="007C7429" w:rsidRDefault="000A45A8" w:rsidP="000A45A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7C7429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</w:t>
                            </w:r>
                            <w:r w:rsidR="00A767DB" w:rsidRPr="007C7429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Pr="007C7429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t xml:space="preserve">RAHOVECIT </w:t>
                            </w:r>
                            <w:r w:rsidRPr="007C7429">
                              <w:rPr>
                                <w:rFonts w:cs="Calibr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6BEF4E3" wp14:editId="26C59364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45A8" w:rsidRPr="007C7429" w:rsidRDefault="000A45A8" w:rsidP="000A45A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A45A8" w:rsidRPr="007C7429" w:rsidRDefault="000A45A8" w:rsidP="000A45A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A45A8" w:rsidRPr="007C7429" w:rsidRDefault="000A45A8" w:rsidP="000A45A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ED1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5.95pt;margin-top:17.1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OiwIAAIs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" fillcolor="white [3201]" stroked="f" strokeweight=".5pt">
                <v:textbox>
                  <w:txbxContent>
                    <w:p w:rsidR="000A45A8" w:rsidRPr="007C7429" w:rsidRDefault="000A45A8" w:rsidP="000A45A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  <w:r w:rsidRPr="007C7429">
                        <w:rPr>
                          <w:rFonts w:cs="Calibri"/>
                          <w:b/>
                          <w:sz w:val="48"/>
                          <w:szCs w:val="48"/>
                        </w:rPr>
                        <w:t xml:space="preserve">MATJA E PERFORMANCËS SË KOMUNËS SË </w:t>
                      </w:r>
                      <w:r w:rsidR="00A767DB" w:rsidRPr="007C7429">
                        <w:rPr>
                          <w:rFonts w:cs="Calibri"/>
                          <w:b/>
                          <w:sz w:val="48"/>
                          <w:szCs w:val="48"/>
                        </w:rPr>
                        <w:br/>
                      </w:r>
                      <w:r w:rsidRPr="007C7429">
                        <w:rPr>
                          <w:rFonts w:cs="Calibri"/>
                          <w:b/>
                          <w:sz w:val="48"/>
                          <w:szCs w:val="48"/>
                        </w:rPr>
                        <w:t xml:space="preserve">RAHOVECIT </w:t>
                      </w:r>
                      <w:r w:rsidRPr="007C7429">
                        <w:rPr>
                          <w:rFonts w:cs="Calibr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46BEF4E3" wp14:editId="26C59364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45A8" w:rsidRPr="007C7429" w:rsidRDefault="000A45A8" w:rsidP="000A45A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0A45A8" w:rsidRPr="007C7429" w:rsidRDefault="000A45A8" w:rsidP="000A45A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0A45A8" w:rsidRPr="007C7429" w:rsidRDefault="000A45A8" w:rsidP="000A45A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5A8" w:rsidRPr="00CE099D">
        <w:rPr>
          <w:rFonts w:ascii="Book Antiqua" w:eastAsia="Batang" w:hAnsi="Book Antiqua"/>
          <w:i/>
        </w:rPr>
        <w:t>Ministry of Local Government Administration</w:t>
      </w:r>
    </w:p>
    <w:p w:rsidR="000A45A8" w:rsidRPr="00B50619" w:rsidRDefault="007C7429" w:rsidP="000A45A8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0F163" wp14:editId="4F093323">
                <wp:simplePos x="0" y="0"/>
                <wp:positionH relativeFrom="column">
                  <wp:posOffset>463550</wp:posOffset>
                </wp:positionH>
                <wp:positionV relativeFrom="paragraph">
                  <wp:posOffset>57785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5A8" w:rsidRPr="004235DB" w:rsidRDefault="007C7429" w:rsidP="000A45A8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A45A8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A45A8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0A45A8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0F163" id="Text Box 12" o:spid="_x0000_s1027" type="#_x0000_t202" style="position:absolute;left:0;text-align:left;margin-left:36.5pt;margin-top:4.5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CEuxDb&#10;3wAAAAgBAAAPAAAAAAAAAAAAAAAAANgEAABkcnMvZG93bnJldi54bWxQSwUGAAAAAAQABADzAAAA&#10;5AUAAAAA&#10;" filled="f" stroked="f" strokeweight=".5pt">
                <v:textbox>
                  <w:txbxContent>
                    <w:p w:rsidR="000A45A8" w:rsidRPr="004235DB" w:rsidRDefault="007C7429" w:rsidP="000A45A8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0A45A8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0A45A8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0A45A8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FE6F5" wp14:editId="4D9BF375">
                <wp:simplePos x="0" y="0"/>
                <wp:positionH relativeFrom="column">
                  <wp:posOffset>982980</wp:posOffset>
                </wp:positionH>
                <wp:positionV relativeFrom="paragraph">
                  <wp:posOffset>170180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2A5A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pt,13.4pt" to="127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CqoENh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 w:rsidR="00956BCF"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6E505" wp14:editId="1B0CD6DF">
                <wp:simplePos x="0" y="0"/>
                <wp:positionH relativeFrom="column">
                  <wp:posOffset>3794389</wp:posOffset>
                </wp:positionH>
                <wp:positionV relativeFrom="paragraph">
                  <wp:posOffset>140287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5A8" w:rsidRPr="004235DB" w:rsidRDefault="007C7429" w:rsidP="000A45A8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69.92</w:t>
                            </w:r>
                            <w:r w:rsidR="000A45A8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0A45A8" w:rsidRPr="004235DB" w:rsidRDefault="000A45A8" w:rsidP="000A45A8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6E505" id="Text Box 14" o:spid="_x0000_s1028" type="#_x0000_t202" style="position:absolute;left:0;text-align:left;margin-left:298.75pt;margin-top:11.05pt;width:267.7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" filled="f" stroked="f" strokeweight=".5pt">
                <v:textbox>
                  <w:txbxContent>
                    <w:p w:rsidR="000A45A8" w:rsidRPr="004235DB" w:rsidRDefault="007C7429" w:rsidP="000A45A8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69.92</w:t>
                      </w:r>
                      <w:r w:rsidR="000A45A8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0A45A8" w:rsidRPr="004235DB" w:rsidRDefault="000A45A8" w:rsidP="000A45A8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45A8" w:rsidRDefault="000A45A8" w:rsidP="000A45A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A45A8" w:rsidRDefault="000A45A8" w:rsidP="000A45A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A45A8" w:rsidRDefault="000A45A8" w:rsidP="000A45A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A45A8" w:rsidRDefault="000A45A8" w:rsidP="000A45A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A45A8" w:rsidRDefault="00956BCF" w:rsidP="000A45A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37EDD" wp14:editId="3F368FD2">
                <wp:simplePos x="0" y="0"/>
                <wp:positionH relativeFrom="page">
                  <wp:posOffset>4761542</wp:posOffset>
                </wp:positionH>
                <wp:positionV relativeFrom="page">
                  <wp:posOffset>3766820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429" w:rsidRPr="00E6390E" w:rsidRDefault="007C7429" w:rsidP="007C742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7C7429" w:rsidRPr="00E6390E" w:rsidRDefault="007C7429" w:rsidP="007C742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E6390E" w:rsidRDefault="007C7429" w:rsidP="007C742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956BCF" w:rsidRPr="002D7219" w:rsidRDefault="00956BCF" w:rsidP="00956BCF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7EDD" id="Text Box 6" o:spid="_x0000_s1029" type="#_x0000_t202" style="position:absolute;left:0;text-align:left;margin-left:374.9pt;margin-top:296.6pt;width:233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" fillcolor="white [3201]" stroked="f" strokeweight=".5pt">
                <v:textbox>
                  <w:txbxContent>
                    <w:p w:rsidR="007C7429" w:rsidRPr="00E6390E" w:rsidRDefault="007C7429" w:rsidP="007C742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7C7429" w:rsidRPr="00E6390E" w:rsidRDefault="007C7429" w:rsidP="007C742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7C7429" w:rsidRPr="00E6390E" w:rsidRDefault="007C7429" w:rsidP="007C742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956BCF" w:rsidRPr="002D7219" w:rsidRDefault="00956BCF" w:rsidP="00956BCF">
                      <w:pPr>
                        <w:rPr>
                          <w:rFonts w:asciiTheme="majorHAnsi" w:hAnsiTheme="majorHAnsi" w:cstheme="majorHAnsi"/>
                          <w:b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A45A8" w:rsidRDefault="000A45A8" w:rsidP="000A45A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A45A8" w:rsidRDefault="00CE099D" w:rsidP="000A45A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EE3E" wp14:editId="7259A9A5">
                <wp:simplePos x="0" y="0"/>
                <wp:positionH relativeFrom="page">
                  <wp:posOffset>23751</wp:posOffset>
                </wp:positionH>
                <wp:positionV relativeFrom="paragraph">
                  <wp:posOffset>224015</wp:posOffset>
                </wp:positionV>
                <wp:extent cx="7915275" cy="807522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075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69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92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7C7429" w:rsidRDefault="007C7429" w:rsidP="007C7429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014E11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C7429" w:rsidRPr="004E480A" w:rsidRDefault="007C7429" w:rsidP="007C742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A45A8" w:rsidRPr="004E480A" w:rsidRDefault="000A45A8" w:rsidP="000A45A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DEE3E" id="Text Box 8" o:spid="_x0000_s1030" type="#_x0000_t202" style="position:absolute;left:0;text-align:left;margin-left:1.85pt;margin-top:17.65pt;width:623.2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" fillcolor="#f2f2f2 [3052]" stroked="f" strokeweight=".5pt">
                <v:textbox>
                  <w:txbxContent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69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92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7C7429" w:rsidRDefault="007C7429" w:rsidP="007C7429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C7429" w:rsidRPr="00014E11" w:rsidRDefault="007C7429" w:rsidP="007C7429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C7429" w:rsidRPr="004E480A" w:rsidRDefault="007C7429" w:rsidP="007C742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A45A8" w:rsidRPr="004E480A" w:rsidRDefault="000A45A8" w:rsidP="000A45A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45A8" w:rsidRDefault="000A45A8" w:rsidP="000A45A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A45A8" w:rsidRDefault="000A45A8" w:rsidP="000A45A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A45A8" w:rsidRDefault="000A45A8" w:rsidP="000A45A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A45A8" w:rsidRDefault="000A45A8" w:rsidP="000A45A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A45A8" w:rsidRDefault="000A45A8" w:rsidP="000A45A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A45A8" w:rsidRDefault="007C7429" w:rsidP="000A45A8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455E123" wp14:editId="6DAAA6CC">
            <wp:simplePos x="0" y="0"/>
            <wp:positionH relativeFrom="page">
              <wp:posOffset>1432863</wp:posOffset>
            </wp:positionH>
            <wp:positionV relativeFrom="page">
              <wp:posOffset>5361001</wp:posOffset>
            </wp:positionV>
            <wp:extent cx="4563717" cy="4001330"/>
            <wp:effectExtent l="0" t="0" r="8890" b="1841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5A8" w:rsidRPr="00CE099D" w:rsidRDefault="000A45A8" w:rsidP="000A45A8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  <w:sectPr w:rsidR="000A45A8" w:rsidRPr="00CE09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0A45A8" w:rsidRPr="00A767DB" w:rsidRDefault="007C7429" w:rsidP="000A45A8">
      <w:pPr>
        <w:pStyle w:val="BodyText2"/>
        <w:spacing w:line="276" w:lineRule="auto"/>
        <w:jc w:val="both"/>
        <w:rPr>
          <w:rFonts w:asciiTheme="majorHAnsi" w:hAnsiTheme="majorHAnsi" w:cstheme="majorHAnsi"/>
          <w:b/>
          <w:color w:val="323E4F" w:themeColor="text2" w:themeShade="BF"/>
          <w:sz w:val="22"/>
          <w:szCs w:val="24"/>
        </w:rPr>
      </w:pPr>
      <w:r>
        <w:rPr>
          <w:rFonts w:asciiTheme="majorHAnsi" w:hAnsiTheme="majorHAnsi" w:cstheme="majorHAnsi"/>
          <w:color w:val="323E4F" w:themeColor="text2" w:themeShade="BF"/>
          <w:sz w:val="22"/>
          <w:szCs w:val="24"/>
        </w:rPr>
        <w:lastRenderedPageBreak/>
        <w:t xml:space="preserve"> </w:t>
      </w: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CE099D" w:rsidRPr="00CE099D" w:rsidTr="003C298B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99,83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93,85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22,42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92,31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64,90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23,81%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37,63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78,07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5,59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89,83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52,78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52,78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63,65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31,31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81,89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86,34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43,09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49,75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87,42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85,00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19,84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2,29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96,42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53,17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81,69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82,50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73,91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52,63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77,19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59,02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13,55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70,12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18,88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0,02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33,48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71,43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86,57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52,38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88,63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50,37</w:t>
            </w:r>
          </w:p>
        </w:tc>
      </w:tr>
      <w:tr w:rsidR="00CE099D" w:rsidRPr="00CE099D" w:rsidTr="003C298B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2,76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)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62,10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99,22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99,63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3,23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16,43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86,42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E099D" w:rsidRPr="00CE099D" w:rsidTr="003C298B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99D" w:rsidRPr="00CE099D" w:rsidRDefault="00CE099D" w:rsidP="00CE09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99D" w:rsidRPr="00CE099D" w:rsidRDefault="00CE099D" w:rsidP="00CE099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E099D">
              <w:rPr>
                <w:rFonts w:asciiTheme="majorHAnsi" w:eastAsia="Times New Roman" w:hAnsiTheme="majorHAnsi" w:cstheme="majorHAnsi"/>
                <w:color w:val="2F2B20"/>
                <w:sz w:val="18"/>
              </w:rPr>
              <w:t>83,20</w:t>
            </w:r>
          </w:p>
        </w:tc>
      </w:tr>
    </w:tbl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D089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8"/>
    <w:rsid w:val="000A45A8"/>
    <w:rsid w:val="003242C4"/>
    <w:rsid w:val="003C298B"/>
    <w:rsid w:val="00576317"/>
    <w:rsid w:val="00757ED4"/>
    <w:rsid w:val="007C7429"/>
    <w:rsid w:val="00956BCF"/>
    <w:rsid w:val="00A767DB"/>
    <w:rsid w:val="00C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0C4A0-C954-4A27-8583-E4C1FB7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0A45A8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0A45A8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0A45A8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0A45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Sheet1!$F$536</c:f>
              <c:strCache>
                <c:ptCount val="1"/>
                <c:pt idx="0">
                  <c:v>Rahovec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Sheet1!$E$537:$E$556</c:f>
              <c:strCache>
                <c:ptCount val="20"/>
                <c:pt idx="0">
                  <c:v>PLANIFIKIMI HAPSINOR</c:v>
                </c:pt>
                <c:pt idx="1">
                  <c:v>PARKINGJET PUBLIKE</c:v>
                </c:pt>
                <c:pt idx="2">
                  <c:v>MENAXHIMI I FATKEQËSIVE </c:v>
                </c:pt>
                <c:pt idx="3">
                  <c:v>KANALIZIMI</c:v>
                </c:pt>
                <c:pt idx="4">
                  <c:v>PËRFAQËSIMI GJINOR</c:v>
                </c:pt>
                <c:pt idx="5">
                  <c:v>KUJDESI PRIMAR SHËNDETËSOR</c:v>
                </c:pt>
                <c:pt idx="6">
                  <c:v>HAPËSIRAT PUBLIKE</c:v>
                </c:pt>
                <c:pt idx="7">
                  <c:v>ARSIMI PARAUNIVERSITAR</c:v>
                </c:pt>
                <c:pt idx="8">
                  <c:v>TRANSPORTI PUBLIK</c:v>
                </c:pt>
                <c:pt idx="9">
                  <c:v>MESATARJA</c:v>
                </c:pt>
                <c:pt idx="10">
                  <c:v>ZHVILLIMI EKONOMIK LOKAL</c:v>
                </c:pt>
                <c:pt idx="11">
                  <c:v>INFRASTRUKTURA RRUGORE</c:v>
                </c:pt>
                <c:pt idx="12">
                  <c:v>PËRGJEGJSHMËRIA KOMUNALE</c:v>
                </c:pt>
                <c:pt idx="13">
                  <c:v> KULUTURË RINI DHE SPORT</c:v>
                </c:pt>
                <c:pt idx="14">
                  <c:v>SHËRBIMET PUBLIKE ADMINISTRATIVE</c:v>
                </c:pt>
                <c:pt idx="15">
                  <c:v>BARAZIA NË PUNËSIM, SHËRBIMET SOCIALE DHE FAMILJARE</c:v>
                </c:pt>
                <c:pt idx="16">
                  <c:v>MENAXHIMI I MBETURINAVE</c:v>
                </c:pt>
                <c:pt idx="17">
                  <c:v>MBROJTJA E AMBIENTIT</c:v>
                </c:pt>
                <c:pt idx="18">
                  <c:v>TRANSPARENCA KOMUNALE</c:v>
                </c:pt>
                <c:pt idx="19">
                  <c:v>UJI I PIJSHËM</c:v>
                </c:pt>
              </c:strCache>
            </c:strRef>
          </c:cat>
          <c:val>
            <c:numRef>
              <c:f>Sheet1!$F$537:$F$556</c:f>
              <c:numCache>
                <c:formatCode>0.00</c:formatCode>
                <c:ptCount val="20"/>
                <c:pt idx="0">
                  <c:v>35.359389377072787</c:v>
                </c:pt>
                <c:pt idx="1">
                  <c:v>40.710731416682812</c:v>
                </c:pt>
                <c:pt idx="2">
                  <c:v>50</c:v>
                </c:pt>
                <c:pt idx="3">
                  <c:v>50</c:v>
                </c:pt>
                <c:pt idx="4">
                  <c:v>51.582874898134634</c:v>
                </c:pt>
                <c:pt idx="5">
                  <c:v>64.682425649841932</c:v>
                </c:pt>
                <c:pt idx="6">
                  <c:v>64.987647141944024</c:v>
                </c:pt>
                <c:pt idx="7">
                  <c:v>65.957669480743959</c:v>
                </c:pt>
                <c:pt idx="8">
                  <c:v>66.666666666666671</c:v>
                </c:pt>
                <c:pt idx="9">
                  <c:v>69.920935957395614</c:v>
                </c:pt>
                <c:pt idx="10">
                  <c:v>70.799308415378874</c:v>
                </c:pt>
                <c:pt idx="11">
                  <c:v>72.731144466729276</c:v>
                </c:pt>
                <c:pt idx="12">
                  <c:v>73.554411265512499</c:v>
                </c:pt>
                <c:pt idx="13">
                  <c:v>78.069298602938588</c:v>
                </c:pt>
                <c:pt idx="14">
                  <c:v>79.943180500475435</c:v>
                </c:pt>
                <c:pt idx="15">
                  <c:v>84.406354515050168</c:v>
                </c:pt>
                <c:pt idx="16">
                  <c:v>85.495398742062989</c:v>
                </c:pt>
                <c:pt idx="17">
                  <c:v>94.166666666666671</c:v>
                </c:pt>
                <c:pt idx="18">
                  <c:v>99.384615384615387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7457712"/>
        <c:axId val="787462024"/>
      </c:barChart>
      <c:catAx>
        <c:axId val="787457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462024"/>
        <c:crosses val="autoZero"/>
        <c:auto val="1"/>
        <c:lblAlgn val="ctr"/>
        <c:lblOffset val="100"/>
        <c:noMultiLvlLbl val="0"/>
      </c:catAx>
      <c:valAx>
        <c:axId val="787462024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78745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5</cp:revision>
  <dcterms:created xsi:type="dcterms:W3CDTF">2022-02-24T10:22:00Z</dcterms:created>
  <dcterms:modified xsi:type="dcterms:W3CDTF">2022-03-16T14:53:00Z</dcterms:modified>
</cp:coreProperties>
</file>