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1A" w:rsidRPr="007F20E2" w:rsidRDefault="00DD3B1A" w:rsidP="007F20E2">
      <w:pPr>
        <w:spacing w:after="0"/>
        <w:jc w:val="center"/>
        <w:rPr>
          <w:rFonts w:ascii="Book Antiqua" w:eastAsia="Batang" w:hAnsi="Book Antiqua"/>
        </w:rPr>
      </w:pPr>
      <w:r w:rsidRPr="007F20E2">
        <w:rPr>
          <w:rFonts w:ascii="Calibri" w:eastAsia="Batang" w:hAnsi="Calibri"/>
          <w:noProof/>
        </w:rPr>
        <w:drawing>
          <wp:inline distT="0" distB="0" distL="0" distR="0" wp14:anchorId="72C3438F" wp14:editId="4803B21F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0E2">
        <w:rPr>
          <w:rFonts w:ascii="Calibri" w:eastAsia="Batang" w:hAnsi="Calibri"/>
          <w:noProof/>
        </w:rPr>
        <w:t xml:space="preserve">  </w:t>
      </w:r>
    </w:p>
    <w:p w:rsidR="00DD3B1A" w:rsidRPr="007F20E2" w:rsidRDefault="00DD3B1A" w:rsidP="00DD3B1A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7F20E2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7F20E2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7F20E2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DD3B1A" w:rsidRPr="007F20E2" w:rsidRDefault="00DD3B1A" w:rsidP="00DD3B1A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7F20E2">
        <w:rPr>
          <w:rFonts w:ascii="Book Antiqua" w:eastAsia="Batang" w:hAnsi="Book Antiqua"/>
          <w:b/>
          <w:bCs/>
        </w:rPr>
        <w:t>Republika</w:t>
      </w:r>
      <w:proofErr w:type="spellEnd"/>
      <w:r w:rsidRPr="007F20E2">
        <w:rPr>
          <w:rFonts w:ascii="Book Antiqua" w:eastAsia="Batang" w:hAnsi="Book Antiqua"/>
          <w:b/>
          <w:bCs/>
        </w:rPr>
        <w:t xml:space="preserve"> </w:t>
      </w:r>
      <w:proofErr w:type="spellStart"/>
      <w:r w:rsidRPr="007F20E2">
        <w:rPr>
          <w:rFonts w:ascii="Book Antiqua" w:eastAsia="Batang" w:hAnsi="Book Antiqua"/>
          <w:b/>
          <w:bCs/>
        </w:rPr>
        <w:t>Kosova</w:t>
      </w:r>
      <w:proofErr w:type="spellEnd"/>
      <w:r w:rsidRPr="007F20E2">
        <w:rPr>
          <w:rFonts w:ascii="Book Antiqua" w:eastAsia="Batang" w:hAnsi="Book Antiqua"/>
          <w:b/>
          <w:bCs/>
        </w:rPr>
        <w:t>-Republic of Kosovo</w:t>
      </w:r>
    </w:p>
    <w:p w:rsidR="00DD3B1A" w:rsidRPr="007F20E2" w:rsidRDefault="00DD3B1A" w:rsidP="007F20E2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7F20E2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7F20E2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7F20E2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7F20E2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DD3B1A" w:rsidRPr="007F20E2" w:rsidRDefault="00DD3B1A" w:rsidP="00DD3B1A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7F20E2">
        <w:rPr>
          <w:rFonts w:ascii="Book Antiqua" w:eastAsia="Batang" w:hAnsi="Book Antiqua"/>
          <w:i/>
        </w:rPr>
        <w:t>Ministria</w:t>
      </w:r>
      <w:proofErr w:type="spellEnd"/>
      <w:r w:rsidRPr="007F20E2">
        <w:rPr>
          <w:rFonts w:ascii="Book Antiqua" w:eastAsia="Batang" w:hAnsi="Book Antiqua"/>
          <w:i/>
        </w:rPr>
        <w:t xml:space="preserve"> e </w:t>
      </w:r>
      <w:proofErr w:type="spellStart"/>
      <w:r w:rsidRPr="007F20E2">
        <w:rPr>
          <w:rFonts w:ascii="Book Antiqua" w:eastAsia="Batang" w:hAnsi="Book Antiqua"/>
          <w:i/>
        </w:rPr>
        <w:t>Administrimit</w:t>
      </w:r>
      <w:proofErr w:type="spellEnd"/>
      <w:r w:rsidRPr="007F20E2">
        <w:rPr>
          <w:rFonts w:ascii="Book Antiqua" w:eastAsia="Batang" w:hAnsi="Book Antiqua"/>
          <w:i/>
        </w:rPr>
        <w:t xml:space="preserve"> </w:t>
      </w:r>
      <w:proofErr w:type="spellStart"/>
      <w:r w:rsidRPr="007F20E2">
        <w:rPr>
          <w:rFonts w:ascii="Book Antiqua" w:eastAsia="Batang" w:hAnsi="Book Antiqua"/>
          <w:i/>
        </w:rPr>
        <w:t>të</w:t>
      </w:r>
      <w:proofErr w:type="spellEnd"/>
      <w:r w:rsidRPr="007F20E2">
        <w:rPr>
          <w:rFonts w:ascii="Book Antiqua" w:eastAsia="Batang" w:hAnsi="Book Antiqua"/>
          <w:i/>
        </w:rPr>
        <w:t xml:space="preserve"> </w:t>
      </w:r>
      <w:proofErr w:type="spellStart"/>
      <w:r w:rsidRPr="007F20E2">
        <w:rPr>
          <w:rFonts w:ascii="Book Antiqua" w:eastAsia="Batang" w:hAnsi="Book Antiqua"/>
          <w:i/>
        </w:rPr>
        <w:t>Pushtetit</w:t>
      </w:r>
      <w:proofErr w:type="spellEnd"/>
      <w:r w:rsidRPr="007F20E2">
        <w:rPr>
          <w:rFonts w:ascii="Book Antiqua" w:eastAsia="Batang" w:hAnsi="Book Antiqua"/>
          <w:i/>
        </w:rPr>
        <w:t xml:space="preserve"> </w:t>
      </w:r>
      <w:proofErr w:type="spellStart"/>
      <w:r w:rsidRPr="007F20E2">
        <w:rPr>
          <w:rFonts w:ascii="Book Antiqua" w:eastAsia="Batang" w:hAnsi="Book Antiqua"/>
          <w:i/>
        </w:rPr>
        <w:t>Lokal</w:t>
      </w:r>
      <w:proofErr w:type="spellEnd"/>
    </w:p>
    <w:p w:rsidR="00DD3B1A" w:rsidRPr="007F20E2" w:rsidRDefault="00DD3B1A" w:rsidP="00DD3B1A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7F20E2">
        <w:rPr>
          <w:rFonts w:ascii="Book Antiqua" w:eastAsia="Batang" w:hAnsi="Book Antiqua"/>
          <w:i/>
        </w:rPr>
        <w:t>Ministarstvo</w:t>
      </w:r>
      <w:proofErr w:type="spellEnd"/>
      <w:r w:rsidRPr="007F20E2">
        <w:rPr>
          <w:rFonts w:ascii="Book Antiqua" w:eastAsia="Batang" w:hAnsi="Book Antiqua"/>
          <w:i/>
        </w:rPr>
        <w:t xml:space="preserve"> </w:t>
      </w:r>
      <w:proofErr w:type="spellStart"/>
      <w:r w:rsidRPr="007F20E2">
        <w:rPr>
          <w:rFonts w:ascii="Book Antiqua" w:eastAsia="Batang" w:hAnsi="Book Antiqua"/>
          <w:i/>
        </w:rPr>
        <w:t>Lokalne</w:t>
      </w:r>
      <w:proofErr w:type="spellEnd"/>
      <w:r w:rsidRPr="007F20E2">
        <w:rPr>
          <w:rFonts w:ascii="Book Antiqua" w:eastAsia="Batang" w:hAnsi="Book Antiqua"/>
          <w:i/>
        </w:rPr>
        <w:t xml:space="preserve"> </w:t>
      </w:r>
      <w:proofErr w:type="spellStart"/>
      <w:r w:rsidRPr="007F20E2">
        <w:rPr>
          <w:rFonts w:ascii="Book Antiqua" w:eastAsia="Batang" w:hAnsi="Book Antiqua"/>
          <w:i/>
        </w:rPr>
        <w:t>Samouprave</w:t>
      </w:r>
      <w:proofErr w:type="spellEnd"/>
      <w:r w:rsidRPr="007F20E2">
        <w:rPr>
          <w:rFonts w:ascii="Book Antiqua" w:eastAsia="Batang" w:hAnsi="Book Antiqua"/>
          <w:i/>
        </w:rPr>
        <w:t xml:space="preserve"> </w:t>
      </w:r>
      <w:proofErr w:type="spellStart"/>
      <w:r w:rsidRPr="007F20E2">
        <w:rPr>
          <w:rFonts w:ascii="Book Antiqua" w:eastAsia="Batang" w:hAnsi="Book Antiqua"/>
          <w:i/>
        </w:rPr>
        <w:t>Administracije</w:t>
      </w:r>
      <w:proofErr w:type="spellEnd"/>
    </w:p>
    <w:p w:rsidR="00DD3B1A" w:rsidRPr="007F20E2" w:rsidRDefault="007F20E2" w:rsidP="00DD3B1A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DC36D" wp14:editId="28BF10A1">
                <wp:simplePos x="0" y="0"/>
                <wp:positionH relativeFrom="column">
                  <wp:posOffset>-276225</wp:posOffset>
                </wp:positionH>
                <wp:positionV relativeFrom="paragraph">
                  <wp:posOffset>213995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B1A" w:rsidRPr="003A776A" w:rsidRDefault="00DD3B1A" w:rsidP="00DD3B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3A776A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SUHAREKËS </w:t>
                            </w:r>
                            <w:r w:rsidRPr="003A776A">
                              <w:rPr>
                                <w:rFonts w:cs="Calibr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9B04AAE" wp14:editId="3B2DC2B0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3B1A" w:rsidRPr="003A776A" w:rsidRDefault="00DD3B1A" w:rsidP="00DD3B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DD3B1A" w:rsidRPr="003A776A" w:rsidRDefault="00DD3B1A" w:rsidP="00DD3B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DD3B1A" w:rsidRPr="003A776A" w:rsidRDefault="00DD3B1A" w:rsidP="00DD3B1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DC3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85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AT6La74QAAAAoBAAAPAAAAAAAAAAAAAAAAAOUEAABkcnMvZG93bnJldi54bWxQ&#10;SwUGAAAAAAQABADzAAAA8wUAAAAA&#10;" fillcolor="white [3201]" stroked="f" strokeweight=".5pt">
                <v:textbox>
                  <w:txbxContent>
                    <w:p w:rsidR="00DD3B1A" w:rsidRPr="003A776A" w:rsidRDefault="00DD3B1A" w:rsidP="00DD3B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3A776A">
                        <w:rPr>
                          <w:rFonts w:cs="Calibri"/>
                          <w:b/>
                          <w:sz w:val="48"/>
                          <w:szCs w:val="48"/>
                        </w:rPr>
                        <w:t xml:space="preserve">MATJA E PERFORMANCËS SË KOMUNËS SË SUHAREKËS </w:t>
                      </w:r>
                      <w:r w:rsidRPr="003A776A">
                        <w:rPr>
                          <w:rFonts w:cs="Calibr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39B04AAE" wp14:editId="3B2DC2B0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3B1A" w:rsidRPr="003A776A" w:rsidRDefault="00DD3B1A" w:rsidP="00DD3B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DD3B1A" w:rsidRPr="003A776A" w:rsidRDefault="00DD3B1A" w:rsidP="00DD3B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DD3B1A" w:rsidRPr="003A776A" w:rsidRDefault="00DD3B1A" w:rsidP="00DD3B1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B1A" w:rsidRPr="007F20E2">
        <w:rPr>
          <w:rFonts w:ascii="Book Antiqua" w:eastAsia="Batang" w:hAnsi="Book Antiqua"/>
          <w:i/>
        </w:rPr>
        <w:t>Ministry of Local Government Administration</w:t>
      </w:r>
    </w:p>
    <w:p w:rsidR="00DD3B1A" w:rsidRPr="00B50619" w:rsidRDefault="003A776A" w:rsidP="00DD3B1A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63ED5" wp14:editId="005538A4">
                <wp:simplePos x="0" y="0"/>
                <wp:positionH relativeFrom="column">
                  <wp:posOffset>996950</wp:posOffset>
                </wp:positionH>
                <wp:positionV relativeFrom="paragraph">
                  <wp:posOffset>173355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E2CF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13.65pt" to="128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A2waow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B8392" wp14:editId="6653430A">
                <wp:simplePos x="0" y="0"/>
                <wp:positionH relativeFrom="column">
                  <wp:posOffset>455295</wp:posOffset>
                </wp:positionH>
                <wp:positionV relativeFrom="paragraph">
                  <wp:posOffset>45720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B1A" w:rsidRPr="004235DB" w:rsidRDefault="00DD3B1A" w:rsidP="00DD3B1A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B8392" id="Text Box 12" o:spid="_x0000_s1027" type="#_x0000_t202" style="position:absolute;left:0;text-align:left;margin-left:35.85pt;margin-top:3.6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BZFGQU&#10;3wAAAAgBAAAPAAAAAAAAAAAAAAAAANgEAABkcnMvZG93bnJldi54bWxQSwUGAAAAAAQABADzAAAA&#10;5AUAAAAA&#10;" filled="f" stroked="f" strokeweight=".5pt">
                <v:textbox>
                  <w:txbxContent>
                    <w:p w:rsidR="00DD3B1A" w:rsidRPr="004235DB" w:rsidRDefault="00DD3B1A" w:rsidP="00DD3B1A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DD3B1A" w:rsidRDefault="00551590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E0BED" wp14:editId="2E1C6A20">
                <wp:simplePos x="0" y="0"/>
                <wp:positionH relativeFrom="column">
                  <wp:posOffset>3810635</wp:posOffset>
                </wp:positionH>
                <wp:positionV relativeFrom="paragraph">
                  <wp:posOffset>2540</wp:posOffset>
                </wp:positionV>
                <wp:extent cx="3399155" cy="94805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55" cy="94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B1A" w:rsidRPr="004235DB" w:rsidRDefault="003A776A" w:rsidP="00DD3B1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54.01</w:t>
                            </w:r>
                            <w:r w:rsidR="00DD3B1A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DD3B1A" w:rsidRPr="004235DB" w:rsidRDefault="00DD3B1A" w:rsidP="00DD3B1A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0BED" id="Text Box 14" o:spid="_x0000_s1028" type="#_x0000_t202" style="position:absolute;left:0;text-align:left;margin-left:300.05pt;margin-top:.2pt;width:267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" filled="f" stroked="f" strokeweight=".5pt">
                <v:textbox>
                  <w:txbxContent>
                    <w:p w:rsidR="00DD3B1A" w:rsidRPr="004235DB" w:rsidRDefault="003A776A" w:rsidP="00DD3B1A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54.01</w:t>
                      </w:r>
                      <w:r w:rsidR="00DD3B1A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DD3B1A" w:rsidRPr="004235DB" w:rsidRDefault="00DD3B1A" w:rsidP="00DD3B1A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D3B1A" w:rsidRDefault="00551590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5DACE" wp14:editId="2997DBC4">
                <wp:simplePos x="0" y="0"/>
                <wp:positionH relativeFrom="page">
                  <wp:align>right</wp:align>
                </wp:positionH>
                <wp:positionV relativeFrom="page">
                  <wp:posOffset>3767455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76A" w:rsidRPr="00E6390E" w:rsidRDefault="003A776A" w:rsidP="003A776A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551590" w:rsidRPr="00E6390E" w:rsidRDefault="00551590" w:rsidP="00551590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5DACE" id="Text Box 6" o:spid="_x0000_s1029" type="#_x0000_t202" style="position:absolute;left:0;text-align:left;margin-left:181.8pt;margin-top:296.65pt;width:233pt;height:24.4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" fillcolor="white [3201]" stroked="f" strokeweight=".5pt">
                <v:textbox>
                  <w:txbxContent>
                    <w:p w:rsidR="003A776A" w:rsidRPr="00E6390E" w:rsidRDefault="003A776A" w:rsidP="003A776A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551590" w:rsidRPr="00E6390E" w:rsidRDefault="00551590" w:rsidP="00551590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D3B1A" w:rsidRDefault="009365E2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9CA19" wp14:editId="1DBAEF16">
                <wp:simplePos x="0" y="0"/>
                <wp:positionH relativeFrom="page">
                  <wp:posOffset>19050</wp:posOffset>
                </wp:positionH>
                <wp:positionV relativeFrom="paragraph">
                  <wp:posOffset>280035</wp:posOffset>
                </wp:positionV>
                <wp:extent cx="7915275" cy="8286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54.01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3A776A" w:rsidRDefault="003A776A" w:rsidP="003A776A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014E11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3A776A" w:rsidRPr="004E480A" w:rsidRDefault="003A776A" w:rsidP="003A776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D3B1A" w:rsidRPr="004E480A" w:rsidRDefault="00DD3B1A" w:rsidP="00DD3B1A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CA19" id="Text Box 8" o:spid="_x0000_s1030" type="#_x0000_t202" style="position:absolute;left:0;text-align:left;margin-left:1.5pt;margin-top:22.05pt;width:623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" fillcolor="#f2f2f2 [3052]" stroked="f" strokeweight=".5pt">
                <v:textbox>
                  <w:txbxContent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54.01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3A776A" w:rsidRDefault="003A776A" w:rsidP="003A776A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014E11" w:rsidRDefault="003A776A" w:rsidP="003A776A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3A776A" w:rsidRPr="004E480A" w:rsidRDefault="003A776A" w:rsidP="003A776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D3B1A" w:rsidRPr="004E480A" w:rsidRDefault="00DD3B1A" w:rsidP="00DD3B1A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bookmarkStart w:id="0" w:name="_GoBack"/>
      <w:bookmarkEnd w:id="0"/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DD3B1A" w:rsidRDefault="003A776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E3A2859" wp14:editId="182AE907">
            <wp:simplePos x="0" y="0"/>
            <wp:positionH relativeFrom="page">
              <wp:posOffset>1533525</wp:posOffset>
            </wp:positionH>
            <wp:positionV relativeFrom="page">
              <wp:posOffset>5400675</wp:posOffset>
            </wp:positionV>
            <wp:extent cx="4933950" cy="3990975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DD3B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D3B1A" w:rsidRDefault="00DD3B1A" w:rsidP="00DD3B1A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7F20E2" w:rsidRPr="007F20E2" w:rsidTr="003B3CA7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115A34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97,67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75,38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51,89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81,06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55,00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20,09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98,32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41,67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78,45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30,30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49,03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56,00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1,18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67,50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9,61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9,61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19,93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7,19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55,86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87,88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27,87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22,10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35,66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66,03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51,10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1,68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38,10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44,00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8,14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37,50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95,34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72,38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75,31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98,09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10,98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97,85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94,09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43,14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66,67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87,80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2,11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24,68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10,63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19,22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0,33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90,63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95,00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69,32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95,11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61,82</w:t>
            </w:r>
          </w:p>
        </w:tc>
      </w:tr>
      <w:tr w:rsidR="007F20E2" w:rsidRPr="007F20E2" w:rsidTr="003B3CA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5,53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)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79,56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71,81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27,78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55,30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4,96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20,35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87,66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7F20E2" w:rsidRPr="007F20E2" w:rsidTr="003B3CA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E2" w:rsidRPr="007F20E2" w:rsidRDefault="007F20E2" w:rsidP="007F20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E2" w:rsidRPr="007F20E2" w:rsidRDefault="007F20E2" w:rsidP="007F20E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7F20E2">
              <w:rPr>
                <w:rFonts w:asciiTheme="majorHAnsi" w:eastAsia="Times New Roman" w:hAnsiTheme="majorHAnsi" w:cstheme="majorHAnsi"/>
                <w:color w:val="2F2B20"/>
                <w:sz w:val="18"/>
              </w:rPr>
              <w:t>23,44</w:t>
            </w:r>
          </w:p>
        </w:tc>
      </w:tr>
    </w:tbl>
    <w:p w:rsidR="00DD3B1A" w:rsidRDefault="00DD3B1A" w:rsidP="00DD3B1A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AC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1A"/>
    <w:rsid w:val="00115A34"/>
    <w:rsid w:val="00262C04"/>
    <w:rsid w:val="003A776A"/>
    <w:rsid w:val="003B3CA7"/>
    <w:rsid w:val="00551590"/>
    <w:rsid w:val="00576317"/>
    <w:rsid w:val="00796D84"/>
    <w:rsid w:val="007F20E2"/>
    <w:rsid w:val="009365E2"/>
    <w:rsid w:val="00CD6D2C"/>
    <w:rsid w:val="00D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89B61-3C00-452D-9F65-2B135E5F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DD3B1A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DD3B1A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DD3B1A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DD3B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Performanca sipas fushave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Sheet1!$F$792</c:f>
              <c:strCache>
                <c:ptCount val="1"/>
                <c:pt idx="0">
                  <c:v>Suharekë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Sheet1!$E$793:$E$812</c:f>
              <c:strCache>
                <c:ptCount val="20"/>
                <c:pt idx="0">
                  <c:v>PLANIFIKIMI HAPSINOR</c:v>
                </c:pt>
                <c:pt idx="1">
                  <c:v>HAPËSIRAT PUBLIKE</c:v>
                </c:pt>
                <c:pt idx="2">
                  <c:v>ZHVILLIMI EKONOMIK LOKAL</c:v>
                </c:pt>
                <c:pt idx="3">
                  <c:v>MBROJTJA E AMBIENTIT</c:v>
                </c:pt>
                <c:pt idx="4">
                  <c:v>INFRASTRUKTURA RRUGORE</c:v>
                </c:pt>
                <c:pt idx="5">
                  <c:v>KANALIZIMI</c:v>
                </c:pt>
                <c:pt idx="6">
                  <c:v>PËRFAQËSIMI GJINOR</c:v>
                </c:pt>
                <c:pt idx="7">
                  <c:v>KUJDESI PRIMAR SHËNDETËSOR</c:v>
                </c:pt>
                <c:pt idx="8">
                  <c:v>TRANSPORTI PUBLIK</c:v>
                </c:pt>
                <c:pt idx="9">
                  <c:v>MENAXHIMI I FATKEQËSIVE </c:v>
                </c:pt>
                <c:pt idx="10">
                  <c:v>MESATARJA</c:v>
                </c:pt>
                <c:pt idx="11">
                  <c:v>BARAZIA NË PUNËSIM, SHËRBIMET SOCIALE DHE FAMILJARE</c:v>
                </c:pt>
                <c:pt idx="12">
                  <c:v>MENAXHIMI I MBETURINAVE</c:v>
                </c:pt>
                <c:pt idx="13">
                  <c:v>UJI I PIJSHËM</c:v>
                </c:pt>
                <c:pt idx="14">
                  <c:v>PËRGJEGJSHMËRIA KOMUNALE</c:v>
                </c:pt>
                <c:pt idx="15">
                  <c:v>PARKINGJET PUBLIKE</c:v>
                </c:pt>
                <c:pt idx="16">
                  <c:v>ARSIMI PARAUNIVERSITAR</c:v>
                </c:pt>
                <c:pt idx="17">
                  <c:v>TRANSPARENCA KOMUNALE</c:v>
                </c:pt>
                <c:pt idx="18">
                  <c:v>SHËRBIMET PUBLIKE ADMINISTRATIVE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Sheet1!$F$793:$F$812</c:f>
              <c:numCache>
                <c:formatCode>0.00</c:formatCode>
                <c:ptCount val="20"/>
                <c:pt idx="0">
                  <c:v>15.045566925647844</c:v>
                </c:pt>
                <c:pt idx="1">
                  <c:v>27.657281239820922</c:v>
                </c:pt>
                <c:pt idx="2">
                  <c:v>30.86019159091806</c:v>
                </c:pt>
                <c:pt idx="3">
                  <c:v>32.616666666666667</c:v>
                </c:pt>
                <c:pt idx="4">
                  <c:v>38.422959670782781</c:v>
                </c:pt>
                <c:pt idx="5">
                  <c:v>43.096132242209158</c:v>
                </c:pt>
                <c:pt idx="6">
                  <c:v>43.971974965858834</c:v>
                </c:pt>
                <c:pt idx="7">
                  <c:v>44.197065818170636</c:v>
                </c:pt>
                <c:pt idx="8">
                  <c:v>46.031746031746032</c:v>
                </c:pt>
                <c:pt idx="9">
                  <c:v>50</c:v>
                </c:pt>
                <c:pt idx="10">
                  <c:v>54.013516095822141</c:v>
                </c:pt>
                <c:pt idx="11">
                  <c:v>58.832242705694718</c:v>
                </c:pt>
                <c:pt idx="12">
                  <c:v>62.559843420482821</c:v>
                </c:pt>
                <c:pt idx="13">
                  <c:v>66.41903590304355</c:v>
                </c:pt>
                <c:pt idx="14">
                  <c:v>69.148449023214724</c:v>
                </c:pt>
                <c:pt idx="15">
                  <c:v>69.379754996776271</c:v>
                </c:pt>
                <c:pt idx="16">
                  <c:v>72.127026167208442</c:v>
                </c:pt>
                <c:pt idx="17">
                  <c:v>73.333201389805168</c:v>
                </c:pt>
                <c:pt idx="18">
                  <c:v>82.557667062574225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4939056"/>
        <c:axId val="454939448"/>
      </c:barChart>
      <c:catAx>
        <c:axId val="454939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939448"/>
        <c:crosses val="autoZero"/>
        <c:auto val="1"/>
        <c:lblAlgn val="ctr"/>
        <c:lblOffset val="100"/>
        <c:noMultiLvlLbl val="0"/>
      </c:catAx>
      <c:valAx>
        <c:axId val="45493944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45493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9</cp:revision>
  <dcterms:created xsi:type="dcterms:W3CDTF">2022-02-24T12:29:00Z</dcterms:created>
  <dcterms:modified xsi:type="dcterms:W3CDTF">2022-03-16T15:24:00Z</dcterms:modified>
</cp:coreProperties>
</file>