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679A" w14:textId="77777777" w:rsidR="004D4457" w:rsidRPr="004D2E1C" w:rsidRDefault="004D4457" w:rsidP="004D4457">
      <w:pPr>
        <w:pBdr>
          <w:bottom w:val="single" w:sz="12" w:space="1" w:color="auto"/>
        </w:pBdr>
        <w:tabs>
          <w:tab w:val="left" w:pos="3773"/>
        </w:tabs>
        <w:spacing w:before="120"/>
        <w:rPr>
          <w:rFonts w:ascii="Arial" w:hAnsi="Arial"/>
          <w:bCs/>
          <w:color w:val="FF0000"/>
          <w:sz w:val="22"/>
          <w:szCs w:val="22"/>
        </w:rPr>
      </w:pPr>
    </w:p>
    <w:p w14:paraId="40A05FAE" w14:textId="77777777" w:rsidR="004D4457" w:rsidRPr="004D2E1C" w:rsidRDefault="004D4457" w:rsidP="004D4457">
      <w:pPr>
        <w:tabs>
          <w:tab w:val="left" w:pos="3773"/>
        </w:tabs>
        <w:spacing w:before="120"/>
        <w:rPr>
          <w:rFonts w:ascii="Arial" w:hAnsi="Arial"/>
          <w:bCs/>
          <w:color w:val="FF0000"/>
          <w:sz w:val="22"/>
          <w:szCs w:val="22"/>
        </w:rPr>
      </w:pPr>
    </w:p>
    <w:p w14:paraId="63835CCB" w14:textId="77777777" w:rsidR="004D4457" w:rsidRPr="004D2E1C" w:rsidRDefault="004D4457" w:rsidP="004D4457">
      <w:pPr>
        <w:tabs>
          <w:tab w:val="left" w:pos="3773"/>
        </w:tabs>
        <w:spacing w:before="120"/>
        <w:rPr>
          <w:rFonts w:ascii="Arial" w:hAnsi="Arial"/>
          <w:bCs/>
          <w:color w:val="FF0000"/>
          <w:sz w:val="22"/>
          <w:szCs w:val="22"/>
        </w:rPr>
      </w:pPr>
    </w:p>
    <w:p w14:paraId="418BB5A2" w14:textId="77777777" w:rsidR="000D6CE5" w:rsidRPr="004D2E1C" w:rsidRDefault="000D6CE5" w:rsidP="000D6CE5">
      <w:pPr>
        <w:tabs>
          <w:tab w:val="left" w:pos="3773"/>
        </w:tabs>
        <w:spacing w:before="120"/>
        <w:jc w:val="center"/>
        <w:rPr>
          <w:rFonts w:ascii="Arial" w:hAnsi="Arial"/>
          <w:bCs/>
          <w:color w:val="FF0000"/>
          <w:sz w:val="28"/>
          <w:szCs w:val="28"/>
        </w:rPr>
      </w:pPr>
      <w:r w:rsidRPr="004D2E1C">
        <w:rPr>
          <w:rFonts w:ascii="Arial" w:hAnsi="Arial"/>
          <w:bCs/>
          <w:color w:val="FF0000"/>
          <w:sz w:val="28"/>
          <w:szCs w:val="28"/>
        </w:rPr>
        <w:t>Rregullat e</w:t>
      </w:r>
    </w:p>
    <w:p w14:paraId="27C3D22F" w14:textId="77777777" w:rsidR="000D6CE5" w:rsidRPr="004D2E1C" w:rsidRDefault="000D6CE5" w:rsidP="000D6CE5">
      <w:pPr>
        <w:tabs>
          <w:tab w:val="left" w:pos="3773"/>
        </w:tabs>
        <w:spacing w:before="120"/>
        <w:jc w:val="center"/>
        <w:rPr>
          <w:rFonts w:ascii="Arial" w:hAnsi="Arial"/>
          <w:bCs/>
          <w:color w:val="FF0000"/>
          <w:sz w:val="28"/>
          <w:szCs w:val="28"/>
        </w:rPr>
      </w:pPr>
    </w:p>
    <w:p w14:paraId="1E630FBF" w14:textId="77777777" w:rsidR="000D6CE5" w:rsidRPr="004D2E1C" w:rsidRDefault="000D6CE5" w:rsidP="000D6CE5">
      <w:pPr>
        <w:tabs>
          <w:tab w:val="left" w:pos="3773"/>
        </w:tabs>
        <w:spacing w:before="120"/>
        <w:jc w:val="center"/>
        <w:rPr>
          <w:rFonts w:ascii="Arial" w:hAnsi="Arial"/>
          <w:b/>
          <w:bCs/>
          <w:caps/>
          <w:color w:val="FF0000"/>
          <w:sz w:val="52"/>
          <w:szCs w:val="52"/>
        </w:rPr>
      </w:pPr>
      <w:r w:rsidRPr="004D2E1C">
        <w:rPr>
          <w:rFonts w:ascii="Arial" w:hAnsi="Arial"/>
          <w:b/>
          <w:bCs/>
          <w:caps/>
          <w:color w:val="FF0000"/>
          <w:sz w:val="52"/>
          <w:szCs w:val="52"/>
        </w:rPr>
        <w:t>GRANTIT TË PERFORMANCË</w:t>
      </w:r>
      <w:r w:rsidR="00353685" w:rsidRPr="004D2E1C">
        <w:rPr>
          <w:rFonts w:ascii="Arial" w:hAnsi="Arial"/>
          <w:b/>
          <w:bCs/>
          <w:caps/>
          <w:color w:val="FF0000"/>
          <w:sz w:val="52"/>
          <w:szCs w:val="52"/>
        </w:rPr>
        <w:t>S</w:t>
      </w:r>
      <w:r w:rsidR="006E6903">
        <w:rPr>
          <w:rFonts w:ascii="Arial" w:hAnsi="Arial"/>
          <w:b/>
          <w:bCs/>
          <w:caps/>
          <w:color w:val="FF0000"/>
          <w:sz w:val="52"/>
          <w:szCs w:val="52"/>
        </w:rPr>
        <w:t xml:space="preserve"> KOMUNALE</w:t>
      </w:r>
    </w:p>
    <w:p w14:paraId="595FCE7A" w14:textId="77777777" w:rsidR="000D6CE5" w:rsidRPr="004D2E1C" w:rsidRDefault="000D6CE5" w:rsidP="000D6CE5">
      <w:pPr>
        <w:tabs>
          <w:tab w:val="left" w:pos="3773"/>
        </w:tabs>
        <w:spacing w:before="120"/>
        <w:jc w:val="center"/>
        <w:rPr>
          <w:rFonts w:ascii="Arial" w:hAnsi="Arial"/>
          <w:b/>
          <w:bCs/>
          <w:color w:val="FF0000"/>
          <w:sz w:val="28"/>
          <w:szCs w:val="28"/>
        </w:rPr>
      </w:pPr>
    </w:p>
    <w:p w14:paraId="4B811216" w14:textId="7E826473" w:rsidR="000D6CE5" w:rsidRDefault="000D6CE5" w:rsidP="000D6CE5">
      <w:pPr>
        <w:tabs>
          <w:tab w:val="left" w:pos="3773"/>
        </w:tabs>
        <w:spacing w:before="120"/>
        <w:jc w:val="center"/>
        <w:rPr>
          <w:rFonts w:ascii="Arial" w:hAnsi="Arial"/>
          <w:bCs/>
          <w:color w:val="FF0000"/>
          <w:sz w:val="28"/>
          <w:szCs w:val="28"/>
        </w:rPr>
      </w:pPr>
      <w:r w:rsidRPr="004D2E1C">
        <w:rPr>
          <w:rFonts w:ascii="Arial" w:hAnsi="Arial"/>
          <w:bCs/>
          <w:color w:val="FF0000"/>
          <w:sz w:val="28"/>
          <w:szCs w:val="28"/>
        </w:rPr>
        <w:t xml:space="preserve">    </w:t>
      </w:r>
      <w:r w:rsidR="00A24964">
        <w:rPr>
          <w:rFonts w:ascii="Arial" w:hAnsi="Arial"/>
          <w:bCs/>
          <w:color w:val="FF0000"/>
          <w:sz w:val="28"/>
          <w:szCs w:val="28"/>
        </w:rPr>
        <w:t>për vitin fiskal 202</w:t>
      </w:r>
      <w:r w:rsidR="00622042">
        <w:rPr>
          <w:rFonts w:ascii="Arial" w:hAnsi="Arial"/>
          <w:bCs/>
          <w:color w:val="FF0000"/>
          <w:sz w:val="28"/>
          <w:szCs w:val="28"/>
        </w:rPr>
        <w:t>3</w:t>
      </w:r>
    </w:p>
    <w:p w14:paraId="72DE46D6" w14:textId="6B5479E0" w:rsidR="006C2C80" w:rsidRPr="004D2E1C" w:rsidRDefault="006C2C80" w:rsidP="000D6CE5">
      <w:pPr>
        <w:tabs>
          <w:tab w:val="left" w:pos="3773"/>
        </w:tabs>
        <w:spacing w:before="120"/>
        <w:jc w:val="center"/>
        <w:rPr>
          <w:rFonts w:ascii="Arial" w:hAnsi="Arial"/>
          <w:bCs/>
          <w:color w:val="FF0000"/>
          <w:sz w:val="28"/>
          <w:szCs w:val="28"/>
        </w:rPr>
      </w:pPr>
      <w:r>
        <w:rPr>
          <w:rFonts w:ascii="Arial" w:hAnsi="Arial"/>
          <w:bCs/>
          <w:color w:val="FF0000"/>
          <w:sz w:val="28"/>
          <w:szCs w:val="28"/>
        </w:rPr>
        <w:t>bazuar ne vler</w:t>
      </w:r>
      <w:r w:rsidR="006518E3">
        <w:rPr>
          <w:rFonts w:ascii="Arial" w:hAnsi="Arial"/>
          <w:bCs/>
          <w:color w:val="FF0000"/>
          <w:sz w:val="28"/>
          <w:szCs w:val="28"/>
        </w:rPr>
        <w:t>ë</w:t>
      </w:r>
      <w:r>
        <w:rPr>
          <w:rFonts w:ascii="Arial" w:hAnsi="Arial"/>
          <w:bCs/>
          <w:color w:val="FF0000"/>
          <w:sz w:val="28"/>
          <w:szCs w:val="28"/>
        </w:rPr>
        <w:t>simin e performanc</w:t>
      </w:r>
      <w:r w:rsidR="006518E3">
        <w:rPr>
          <w:rFonts w:ascii="Arial" w:hAnsi="Arial"/>
          <w:bCs/>
          <w:color w:val="FF0000"/>
          <w:sz w:val="28"/>
          <w:szCs w:val="28"/>
        </w:rPr>
        <w:t>ë</w:t>
      </w:r>
      <w:r>
        <w:rPr>
          <w:rFonts w:ascii="Arial" w:hAnsi="Arial"/>
          <w:bCs/>
          <w:color w:val="FF0000"/>
          <w:sz w:val="28"/>
          <w:szCs w:val="28"/>
        </w:rPr>
        <w:t>s p</w:t>
      </w:r>
      <w:r w:rsidR="006518E3">
        <w:rPr>
          <w:rFonts w:ascii="Arial" w:hAnsi="Arial"/>
          <w:bCs/>
          <w:color w:val="FF0000"/>
          <w:sz w:val="28"/>
          <w:szCs w:val="28"/>
        </w:rPr>
        <w:t>ë</w:t>
      </w:r>
      <w:r>
        <w:rPr>
          <w:rFonts w:ascii="Arial" w:hAnsi="Arial"/>
          <w:bCs/>
          <w:color w:val="FF0000"/>
          <w:sz w:val="28"/>
          <w:szCs w:val="28"/>
        </w:rPr>
        <w:t>r vitin fiskal 202</w:t>
      </w:r>
      <w:r w:rsidR="00622042">
        <w:rPr>
          <w:rFonts w:ascii="Arial" w:hAnsi="Arial"/>
          <w:bCs/>
          <w:color w:val="FF0000"/>
          <w:sz w:val="28"/>
          <w:szCs w:val="28"/>
        </w:rPr>
        <w:t>1</w:t>
      </w:r>
    </w:p>
    <w:p w14:paraId="319FA1D2" w14:textId="77777777" w:rsidR="000D6CE5" w:rsidRPr="004D2E1C" w:rsidRDefault="000D6CE5" w:rsidP="000D6CE5">
      <w:pPr>
        <w:spacing w:before="120" w:line="264" w:lineRule="auto"/>
        <w:jc w:val="center"/>
        <w:rPr>
          <w:rFonts w:ascii="Arial" w:hAnsi="Arial"/>
          <w:bCs/>
          <w:color w:val="FF0000"/>
          <w:sz w:val="28"/>
          <w:szCs w:val="28"/>
        </w:rPr>
      </w:pPr>
    </w:p>
    <w:p w14:paraId="540FC83C" w14:textId="77777777" w:rsidR="000D6CE5" w:rsidRPr="004D2E1C" w:rsidRDefault="000D6CE5" w:rsidP="000D6CE5">
      <w:pPr>
        <w:tabs>
          <w:tab w:val="left" w:pos="1655"/>
        </w:tabs>
        <w:spacing w:before="120" w:line="264" w:lineRule="auto"/>
        <w:jc w:val="both"/>
        <w:rPr>
          <w:rFonts w:ascii="Arial" w:hAnsi="Arial"/>
          <w:bCs/>
          <w:color w:val="FF0000"/>
          <w:sz w:val="22"/>
          <w:szCs w:val="32"/>
        </w:rPr>
      </w:pPr>
      <w:r w:rsidRPr="004D2E1C">
        <w:rPr>
          <w:rFonts w:ascii="Arial" w:hAnsi="Arial"/>
          <w:bCs/>
          <w:color w:val="FF0000"/>
          <w:sz w:val="22"/>
          <w:szCs w:val="32"/>
        </w:rPr>
        <w:tab/>
      </w:r>
    </w:p>
    <w:p w14:paraId="7C81828E" w14:textId="77777777" w:rsidR="000D6CE5" w:rsidRPr="004D2E1C" w:rsidRDefault="000D6CE5" w:rsidP="000D6CE5">
      <w:pPr>
        <w:tabs>
          <w:tab w:val="left" w:pos="1655"/>
        </w:tabs>
        <w:spacing w:before="120" w:line="264" w:lineRule="auto"/>
        <w:jc w:val="both"/>
        <w:rPr>
          <w:rFonts w:ascii="Arial" w:hAnsi="Arial"/>
          <w:bCs/>
          <w:color w:val="FF0000"/>
          <w:sz w:val="22"/>
          <w:szCs w:val="32"/>
        </w:rPr>
      </w:pPr>
    </w:p>
    <w:p w14:paraId="0F7A7CD9" w14:textId="77777777" w:rsidR="000D6CE5" w:rsidRPr="004D2E1C" w:rsidRDefault="000D6CE5" w:rsidP="000D6CE5">
      <w:pPr>
        <w:tabs>
          <w:tab w:val="left" w:pos="1655"/>
        </w:tabs>
        <w:spacing w:before="120" w:line="264" w:lineRule="auto"/>
        <w:jc w:val="both"/>
        <w:rPr>
          <w:rFonts w:ascii="Arial" w:hAnsi="Arial"/>
          <w:bCs/>
          <w:color w:val="FF0000"/>
          <w:sz w:val="22"/>
          <w:szCs w:val="32"/>
        </w:rPr>
      </w:pPr>
    </w:p>
    <w:p w14:paraId="69143CAA" w14:textId="77777777" w:rsidR="000D6CE5" w:rsidRPr="004D2E1C" w:rsidRDefault="000D6CE5" w:rsidP="000D6CE5">
      <w:pPr>
        <w:tabs>
          <w:tab w:val="left" w:pos="1655"/>
        </w:tabs>
        <w:spacing w:before="120" w:line="264" w:lineRule="auto"/>
        <w:jc w:val="both"/>
        <w:rPr>
          <w:rFonts w:ascii="Arial" w:hAnsi="Arial"/>
          <w:bCs/>
          <w:color w:val="FF0000"/>
          <w:sz w:val="22"/>
          <w:szCs w:val="32"/>
        </w:rPr>
      </w:pPr>
    </w:p>
    <w:p w14:paraId="48682990" w14:textId="77777777" w:rsidR="000D6CE5" w:rsidRPr="004D2E1C" w:rsidRDefault="000D6CE5" w:rsidP="000D6CE5">
      <w:pPr>
        <w:tabs>
          <w:tab w:val="left" w:pos="1655"/>
        </w:tabs>
        <w:spacing w:before="120" w:line="264" w:lineRule="auto"/>
        <w:jc w:val="right"/>
        <w:rPr>
          <w:rFonts w:ascii="Arial" w:hAnsi="Arial"/>
          <w:bCs/>
          <w:color w:val="FF0000"/>
          <w:sz w:val="22"/>
          <w:szCs w:val="32"/>
        </w:rPr>
      </w:pPr>
    </w:p>
    <w:p w14:paraId="5F0F510D" w14:textId="22D46802" w:rsidR="000D6CE5" w:rsidRPr="004D2E1C" w:rsidRDefault="007357ED" w:rsidP="00CD55EA">
      <w:pPr>
        <w:tabs>
          <w:tab w:val="left" w:pos="1575"/>
          <w:tab w:val="left" w:pos="1655"/>
          <w:tab w:val="center" w:pos="4493"/>
        </w:tabs>
        <w:spacing w:before="120" w:line="264" w:lineRule="auto"/>
        <w:rPr>
          <w:rFonts w:ascii="Arial" w:hAnsi="Arial"/>
          <w:color w:val="FF0000"/>
          <w:sz w:val="22"/>
          <w:szCs w:val="22"/>
        </w:rPr>
      </w:pPr>
      <w:r>
        <w:rPr>
          <w:rFonts w:ascii="Arial" w:hAnsi="Arial"/>
          <w:color w:val="FF0000"/>
          <w:sz w:val="22"/>
          <w:szCs w:val="22"/>
        </w:rPr>
        <w:tab/>
      </w:r>
      <w:r>
        <w:rPr>
          <w:rFonts w:ascii="Arial" w:hAnsi="Arial"/>
          <w:color w:val="FF0000"/>
          <w:sz w:val="22"/>
          <w:szCs w:val="22"/>
        </w:rPr>
        <w:tab/>
      </w:r>
      <w:r>
        <w:rPr>
          <w:rFonts w:ascii="Arial" w:hAnsi="Arial"/>
          <w:color w:val="FF0000"/>
          <w:sz w:val="22"/>
          <w:szCs w:val="22"/>
        </w:rPr>
        <w:tab/>
      </w:r>
      <w:r w:rsidR="00622042">
        <w:rPr>
          <w:rFonts w:ascii="Arial" w:hAnsi="Arial"/>
          <w:color w:val="FF0000"/>
          <w:sz w:val="22"/>
          <w:szCs w:val="22"/>
        </w:rPr>
        <w:t>Gusht</w:t>
      </w:r>
      <w:r w:rsidR="3610681C" w:rsidRPr="7D684930">
        <w:rPr>
          <w:rFonts w:ascii="Arial" w:hAnsi="Arial"/>
          <w:color w:val="FF0000"/>
          <w:sz w:val="22"/>
          <w:szCs w:val="22"/>
        </w:rPr>
        <w:t>,</w:t>
      </w:r>
      <w:r w:rsidR="39B421E1" w:rsidRPr="7D684930">
        <w:rPr>
          <w:rFonts w:ascii="Arial" w:hAnsi="Arial"/>
          <w:color w:val="FF0000"/>
          <w:sz w:val="22"/>
          <w:szCs w:val="22"/>
        </w:rPr>
        <w:t xml:space="preserve"> </w:t>
      </w:r>
      <w:r w:rsidR="588224E8" w:rsidRPr="7D684930">
        <w:rPr>
          <w:rFonts w:ascii="Arial" w:hAnsi="Arial"/>
          <w:color w:val="FF0000"/>
          <w:sz w:val="22"/>
          <w:szCs w:val="22"/>
        </w:rPr>
        <w:t>202</w:t>
      </w:r>
      <w:r w:rsidR="004D790F">
        <w:rPr>
          <w:rFonts w:ascii="Arial" w:hAnsi="Arial"/>
          <w:color w:val="FF0000"/>
          <w:sz w:val="22"/>
          <w:szCs w:val="22"/>
        </w:rPr>
        <w:t>2</w:t>
      </w:r>
    </w:p>
    <w:p w14:paraId="69A55475" w14:textId="60E58714" w:rsidR="000D6CE5" w:rsidRPr="004D2E1C" w:rsidRDefault="000D6CE5" w:rsidP="000D6CE5">
      <w:pPr>
        <w:tabs>
          <w:tab w:val="left" w:pos="1655"/>
        </w:tabs>
        <w:spacing w:before="120" w:line="264" w:lineRule="auto"/>
        <w:jc w:val="both"/>
        <w:rPr>
          <w:rFonts w:ascii="Arial" w:hAnsi="Arial"/>
          <w:bCs/>
          <w:color w:val="000000" w:themeColor="text1"/>
          <w:sz w:val="22"/>
          <w:szCs w:val="32"/>
        </w:rPr>
      </w:pPr>
    </w:p>
    <w:p w14:paraId="06A60C8F" w14:textId="161A13A8" w:rsidR="000D6CE5" w:rsidRPr="004D2E1C" w:rsidRDefault="000D6CE5" w:rsidP="000D6CE5">
      <w:pPr>
        <w:jc w:val="right"/>
        <w:rPr>
          <w:rFonts w:asciiTheme="majorHAnsi" w:hAnsiTheme="majorHAnsi"/>
          <w:color w:val="000000" w:themeColor="text1"/>
          <w:sz w:val="18"/>
          <w:szCs w:val="18"/>
        </w:rPr>
      </w:pPr>
      <w:r w:rsidRPr="004D2E1C">
        <w:rPr>
          <w:rFonts w:asciiTheme="majorHAnsi" w:hAnsiTheme="majorHAnsi"/>
          <w:color w:val="000000" w:themeColor="text1"/>
          <w:sz w:val="18"/>
          <w:szCs w:val="18"/>
        </w:rPr>
        <w:t xml:space="preserve">Me mbështetje teknike dhe financiare nga:  </w:t>
      </w:r>
    </w:p>
    <w:p w14:paraId="4BC6FCE9" w14:textId="5F2F718F" w:rsidR="00CD55EA" w:rsidRDefault="00CD55EA" w:rsidP="00CD55EA">
      <w:pPr>
        <w:rPr>
          <w:b/>
          <w:bCs/>
        </w:rPr>
      </w:pPr>
    </w:p>
    <w:p w14:paraId="627CA9D9" w14:textId="77777777" w:rsidR="00CD55EA" w:rsidRDefault="00CD55EA" w:rsidP="00CD55EA">
      <w:pPr>
        <w:rPr>
          <w:b/>
          <w:bCs/>
        </w:rPr>
      </w:pPr>
    </w:p>
    <w:p w14:paraId="2BE16265" w14:textId="77777777" w:rsidR="00CD55EA" w:rsidRDefault="00CD55EA" w:rsidP="00CD55EA">
      <w:pPr>
        <w:rPr>
          <w:b/>
          <w:bCs/>
        </w:rPr>
      </w:pPr>
    </w:p>
    <w:p w14:paraId="008877D0" w14:textId="77777777" w:rsidR="00CD55EA" w:rsidRPr="00DC6DC9" w:rsidRDefault="00CD55EA" w:rsidP="00CD55EA">
      <w:pPr>
        <w:ind w:left="-90"/>
        <w:rPr>
          <w:b/>
          <w:bCs/>
        </w:rPr>
      </w:pPr>
      <w:r>
        <w:rPr>
          <w:rFonts w:ascii="Arial" w:hAnsi="Arial" w:cs="Arial"/>
          <w:noProof/>
          <w:sz w:val="28"/>
          <w:szCs w:val="28"/>
          <w:lang w:eastAsia="en-GB"/>
        </w:rPr>
        <w:t xml:space="preserve"> </w:t>
      </w:r>
      <w:r w:rsidRPr="00F76B67">
        <w:rPr>
          <w:rFonts w:ascii="Arial" w:hAnsi="Arial" w:cs="Arial"/>
          <w:noProof/>
          <w:sz w:val="28"/>
          <w:szCs w:val="28"/>
          <w:lang w:eastAsia="en-GB"/>
        </w:rPr>
        <w:drawing>
          <wp:inline distT="0" distB="0" distL="0" distR="0" wp14:anchorId="72E78E7B" wp14:editId="385204A0">
            <wp:extent cx="1886726" cy="394609"/>
            <wp:effectExtent l="0" t="0" r="0" b="5715"/>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539" cy="400635"/>
                    </a:xfrm>
                    <a:prstGeom prst="rect">
                      <a:avLst/>
                    </a:prstGeom>
                    <a:noFill/>
                    <a:ln>
                      <a:noFill/>
                    </a:ln>
                  </pic:spPr>
                </pic:pic>
              </a:graphicData>
            </a:graphic>
          </wp:inline>
        </w:drawing>
      </w:r>
      <w:r>
        <w:rPr>
          <w:rFonts w:ascii="Arial" w:hAnsi="Arial" w:cs="Arial"/>
          <w:noProof/>
          <w:sz w:val="28"/>
          <w:szCs w:val="28"/>
          <w:lang w:eastAsia="en-GB"/>
        </w:rPr>
        <w:t xml:space="preserve"> </w:t>
      </w:r>
      <w:r w:rsidRPr="00F76B67">
        <w:rPr>
          <w:rFonts w:ascii="Arial" w:hAnsi="Arial" w:cs="Arial"/>
          <w:noProof/>
          <w:sz w:val="28"/>
          <w:szCs w:val="28"/>
          <w:lang w:eastAsia="en-GB"/>
        </w:rPr>
        <w:drawing>
          <wp:inline distT="0" distB="0" distL="0" distR="0" wp14:anchorId="3D883AA1" wp14:editId="2E3DF76C">
            <wp:extent cx="863098" cy="388189"/>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719" cy="390717"/>
                    </a:xfrm>
                    <a:prstGeom prst="rect">
                      <a:avLst/>
                    </a:prstGeom>
                    <a:noFill/>
                    <a:ln>
                      <a:noFill/>
                    </a:ln>
                  </pic:spPr>
                </pic:pic>
              </a:graphicData>
            </a:graphic>
          </wp:inline>
        </w:drawing>
      </w:r>
      <w:r w:rsidRPr="00F76B67">
        <w:rPr>
          <w:rFonts w:ascii="Arial" w:hAnsi="Arial" w:cs="Arial"/>
          <w:noProof/>
          <w:sz w:val="28"/>
          <w:szCs w:val="28"/>
        </w:rPr>
        <w:t xml:space="preserve"> </w:t>
      </w:r>
      <w:r>
        <w:rPr>
          <w:rFonts w:ascii="Arial" w:hAnsi="Arial" w:cs="Arial"/>
          <w:noProof/>
          <w:sz w:val="28"/>
          <w:szCs w:val="28"/>
        </w:rPr>
        <w:t xml:space="preserve"> </w:t>
      </w:r>
      <w:r w:rsidRPr="00F76B67">
        <w:rPr>
          <w:rFonts w:ascii="Arial" w:hAnsi="Arial" w:cs="Arial"/>
          <w:noProof/>
          <w:sz w:val="28"/>
          <w:szCs w:val="28"/>
        </w:rPr>
        <w:t xml:space="preserve">  </w:t>
      </w:r>
      <w:r w:rsidRPr="00F76B67">
        <w:rPr>
          <w:rFonts w:ascii="Arial" w:hAnsi="Arial" w:cs="Arial"/>
          <w:noProof/>
          <w:sz w:val="28"/>
          <w:szCs w:val="28"/>
          <w:lang w:eastAsia="en-GB"/>
        </w:rPr>
        <w:drawing>
          <wp:inline distT="0" distB="0" distL="0" distR="0" wp14:anchorId="1A49C846" wp14:editId="1B94D756">
            <wp:extent cx="1335287" cy="387937"/>
            <wp:effectExtent l="0" t="0" r="0" b="0"/>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1578" cy="389765"/>
                    </a:xfrm>
                    <a:prstGeom prst="rect">
                      <a:avLst/>
                    </a:prstGeom>
                    <a:noFill/>
                    <a:ln>
                      <a:noFill/>
                    </a:ln>
                  </pic:spPr>
                </pic:pic>
              </a:graphicData>
            </a:graphic>
          </wp:inline>
        </w:drawing>
      </w:r>
      <w:r w:rsidRPr="00F76B67">
        <w:rPr>
          <w:rFonts w:ascii="Arial" w:hAnsi="Arial" w:cs="Arial"/>
          <w:noProof/>
          <w:sz w:val="28"/>
          <w:szCs w:val="28"/>
        </w:rPr>
        <w:t xml:space="preserve">  </w:t>
      </w:r>
      <w:r>
        <w:rPr>
          <w:rFonts w:ascii="Arial" w:hAnsi="Arial" w:cs="Arial"/>
          <w:noProof/>
          <w:sz w:val="28"/>
          <w:szCs w:val="28"/>
        </w:rPr>
        <w:t xml:space="preserve"> </w:t>
      </w:r>
      <w:r>
        <w:rPr>
          <w:noProof/>
        </w:rPr>
        <w:drawing>
          <wp:inline distT="0" distB="0" distL="0" distR="0" wp14:anchorId="3815B0AB" wp14:editId="33277354">
            <wp:extent cx="1361493" cy="400011"/>
            <wp:effectExtent l="0" t="0" r="0" b="635"/>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338" cy="414068"/>
                    </a:xfrm>
                    <a:prstGeom prst="rect">
                      <a:avLst/>
                    </a:prstGeom>
                    <a:noFill/>
                    <a:ln>
                      <a:noFill/>
                    </a:ln>
                  </pic:spPr>
                </pic:pic>
              </a:graphicData>
            </a:graphic>
          </wp:inline>
        </w:drawing>
      </w:r>
    </w:p>
    <w:p w14:paraId="54D00EED" w14:textId="0E69261B" w:rsidR="004D790F" w:rsidRDefault="004D790F" w:rsidP="000D6CE5">
      <w:pPr>
        <w:jc w:val="right"/>
        <w:rPr>
          <w:b/>
          <w:bCs/>
          <w:noProof/>
          <w:color w:val="000000" w:themeColor="text1"/>
          <w:sz w:val="21"/>
          <w:szCs w:val="21"/>
          <w:lang w:val="en-US"/>
        </w:rPr>
      </w:pPr>
    </w:p>
    <w:p w14:paraId="2B3C8DB0" w14:textId="09C4F865" w:rsidR="000D6CE5" w:rsidRPr="004D2E1C" w:rsidRDefault="000D6CE5" w:rsidP="000D6CE5">
      <w:pPr>
        <w:jc w:val="right"/>
        <w:rPr>
          <w:rFonts w:asciiTheme="majorHAnsi" w:hAnsiTheme="majorHAnsi"/>
          <w:color w:val="000000" w:themeColor="text1"/>
          <w:sz w:val="18"/>
          <w:szCs w:val="18"/>
        </w:rPr>
      </w:pPr>
    </w:p>
    <w:p w14:paraId="4D145435" w14:textId="77777777" w:rsidR="000D6CE5" w:rsidRPr="004D2E1C" w:rsidRDefault="000D6CE5" w:rsidP="003B5AB6">
      <w:pPr>
        <w:jc w:val="center"/>
        <w:rPr>
          <w:rFonts w:ascii="Arial" w:hAnsi="Arial"/>
          <w:b/>
          <w:bCs/>
          <w:color w:val="000000" w:themeColor="text1"/>
          <w:sz w:val="28"/>
          <w:szCs w:val="28"/>
        </w:rPr>
        <w:sectPr w:rsidR="000D6CE5" w:rsidRPr="004D2E1C" w:rsidSect="00CD55EA">
          <w:footerReference w:type="default" r:id="rId12"/>
          <w:headerReference w:type="first" r:id="rId13"/>
          <w:type w:val="continuous"/>
          <w:pgSz w:w="11909" w:h="16834" w:code="9"/>
          <w:pgMar w:top="1440" w:right="1019" w:bottom="1440" w:left="1440" w:header="0" w:footer="0" w:gutter="0"/>
          <w:pgNumType w:start="0"/>
          <w:cols w:space="720"/>
          <w:titlePg/>
          <w:docGrid w:linePitch="360"/>
        </w:sectPr>
      </w:pPr>
    </w:p>
    <w:p w14:paraId="7DA41EC1" w14:textId="77777777" w:rsidR="000D6CE5" w:rsidRPr="00C576E1" w:rsidRDefault="000D6CE5" w:rsidP="00D11982">
      <w:pPr>
        <w:pStyle w:val="TOC1"/>
      </w:pPr>
      <w:r w:rsidRPr="00C576E1">
        <w:lastRenderedPageBreak/>
        <w:t>Tabela e përmbajtjes</w:t>
      </w:r>
    </w:p>
    <w:p w14:paraId="1C3CD59D" w14:textId="77777777" w:rsidR="000D6CE5" w:rsidRPr="00915A78" w:rsidRDefault="000D6CE5" w:rsidP="00D11982">
      <w:pPr>
        <w:pStyle w:val="TOC1"/>
      </w:pPr>
    </w:p>
    <w:p w14:paraId="64DBB97B" w14:textId="78795CE1" w:rsidR="0001063F" w:rsidRPr="00C576E1" w:rsidRDefault="000D6CE5">
      <w:pPr>
        <w:pStyle w:val="TOC1"/>
        <w:rPr>
          <w:rFonts w:asciiTheme="minorHAnsi" w:hAnsiTheme="minorHAnsi" w:cstheme="minorBidi"/>
          <w:b w:val="0"/>
          <w:bCs/>
          <w:color w:val="000000" w:themeColor="text1"/>
          <w:sz w:val="21"/>
          <w:szCs w:val="21"/>
        </w:rPr>
      </w:pPr>
      <w:r w:rsidRPr="0001063F">
        <w:rPr>
          <w:b w:val="0"/>
          <w:bCs/>
          <w:noProof w:val="0"/>
          <w:color w:val="000000" w:themeColor="text1"/>
          <w:sz w:val="21"/>
          <w:szCs w:val="21"/>
        </w:rPr>
        <w:fldChar w:fldCharType="begin"/>
      </w:r>
      <w:r w:rsidRPr="0001063F">
        <w:rPr>
          <w:b w:val="0"/>
          <w:bCs/>
          <w:noProof w:val="0"/>
          <w:color w:val="000000" w:themeColor="text1"/>
          <w:sz w:val="21"/>
          <w:szCs w:val="21"/>
        </w:rPr>
        <w:instrText xml:space="preserve"> TOC \o "1-3" </w:instrText>
      </w:r>
      <w:r w:rsidRPr="0001063F">
        <w:rPr>
          <w:b w:val="0"/>
          <w:bCs/>
          <w:noProof w:val="0"/>
          <w:color w:val="000000" w:themeColor="text1"/>
          <w:sz w:val="21"/>
          <w:szCs w:val="21"/>
        </w:rPr>
        <w:fldChar w:fldCharType="separate"/>
      </w:r>
      <w:r w:rsidR="0001063F" w:rsidRPr="0001063F">
        <w:rPr>
          <w:b w:val="0"/>
          <w:bCs/>
          <w:color w:val="000000" w:themeColor="text1"/>
          <w:sz w:val="21"/>
          <w:szCs w:val="21"/>
        </w:rPr>
        <w:t>Parathënie</w:t>
      </w:r>
      <w:r w:rsidR="0001063F" w:rsidRPr="0001063F">
        <w:rPr>
          <w:b w:val="0"/>
          <w:bCs/>
          <w:color w:val="000000" w:themeColor="text1"/>
          <w:sz w:val="21"/>
          <w:szCs w:val="21"/>
        </w:rPr>
        <w:tab/>
      </w:r>
      <w:r w:rsidR="0001063F" w:rsidRPr="0001063F">
        <w:rPr>
          <w:b w:val="0"/>
          <w:bCs/>
          <w:color w:val="000000" w:themeColor="text1"/>
          <w:sz w:val="21"/>
          <w:szCs w:val="21"/>
        </w:rPr>
        <w:fldChar w:fldCharType="begin"/>
      </w:r>
      <w:r w:rsidR="0001063F" w:rsidRPr="0001063F">
        <w:rPr>
          <w:b w:val="0"/>
          <w:bCs/>
          <w:color w:val="000000" w:themeColor="text1"/>
          <w:sz w:val="21"/>
          <w:szCs w:val="21"/>
        </w:rPr>
        <w:instrText xml:space="preserve"> PAGEREF _Toc61062509 \h </w:instrText>
      </w:r>
      <w:r w:rsidR="0001063F" w:rsidRPr="0001063F">
        <w:rPr>
          <w:b w:val="0"/>
          <w:bCs/>
          <w:color w:val="000000" w:themeColor="text1"/>
          <w:sz w:val="21"/>
          <w:szCs w:val="21"/>
        </w:rPr>
      </w:r>
      <w:r w:rsidR="0001063F" w:rsidRPr="0001063F">
        <w:rPr>
          <w:b w:val="0"/>
          <w:bCs/>
          <w:color w:val="000000" w:themeColor="text1"/>
          <w:sz w:val="21"/>
          <w:szCs w:val="21"/>
        </w:rPr>
        <w:fldChar w:fldCharType="separate"/>
      </w:r>
      <w:r w:rsidR="00AC7EB6">
        <w:rPr>
          <w:b w:val="0"/>
          <w:bCs/>
          <w:color w:val="000000" w:themeColor="text1"/>
          <w:sz w:val="21"/>
          <w:szCs w:val="21"/>
        </w:rPr>
        <w:t>4</w:t>
      </w:r>
      <w:r w:rsidR="0001063F" w:rsidRPr="0001063F">
        <w:rPr>
          <w:b w:val="0"/>
          <w:bCs/>
          <w:color w:val="000000" w:themeColor="text1"/>
          <w:sz w:val="21"/>
          <w:szCs w:val="21"/>
        </w:rPr>
        <w:fldChar w:fldCharType="end"/>
      </w:r>
    </w:p>
    <w:p w14:paraId="5C678E88" w14:textId="3CA89BD2" w:rsidR="0001063F" w:rsidRPr="00C576E1" w:rsidRDefault="0001063F">
      <w:pPr>
        <w:pStyle w:val="TOC1"/>
        <w:tabs>
          <w:tab w:val="left" w:pos="992"/>
        </w:tabs>
        <w:rPr>
          <w:rFonts w:asciiTheme="minorHAnsi" w:hAnsiTheme="minorHAnsi" w:cstheme="minorBidi"/>
          <w:b w:val="0"/>
          <w:bCs/>
          <w:color w:val="000000" w:themeColor="text1"/>
          <w:sz w:val="21"/>
          <w:szCs w:val="21"/>
        </w:rPr>
      </w:pPr>
      <w:r w:rsidRPr="0001063F">
        <w:rPr>
          <w:b w:val="0"/>
          <w:bCs/>
          <w:color w:val="000000" w:themeColor="text1"/>
          <w:sz w:val="21"/>
          <w:szCs w:val="21"/>
        </w:rPr>
        <w:t>1.</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Granti i performancës komunale - Hyrje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_Toc61062510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6</w:t>
      </w:r>
      <w:r w:rsidRPr="0001063F">
        <w:rPr>
          <w:b w:val="0"/>
          <w:bCs/>
          <w:color w:val="000000" w:themeColor="text1"/>
          <w:sz w:val="21"/>
          <w:szCs w:val="21"/>
        </w:rPr>
        <w:fldChar w:fldCharType="end"/>
      </w:r>
    </w:p>
    <w:p w14:paraId="0BD3D200" w14:textId="4DBDE572"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1.1</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Hyrje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_Toc61062511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6</w:t>
      </w:r>
      <w:r w:rsidRPr="0001063F">
        <w:rPr>
          <w:b w:val="0"/>
          <w:bCs/>
          <w:color w:val="000000" w:themeColor="text1"/>
          <w:sz w:val="21"/>
          <w:szCs w:val="21"/>
        </w:rPr>
        <w:fldChar w:fldCharType="end"/>
      </w:r>
    </w:p>
    <w:p w14:paraId="582BEE44" w14:textId="7D6391BD"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1.2</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Baza juridike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_Toc61062512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6</w:t>
      </w:r>
      <w:r w:rsidRPr="0001063F">
        <w:rPr>
          <w:b w:val="0"/>
          <w:bCs/>
          <w:color w:val="000000" w:themeColor="text1"/>
          <w:sz w:val="21"/>
          <w:szCs w:val="21"/>
        </w:rPr>
        <w:fldChar w:fldCharType="end"/>
      </w:r>
    </w:p>
    <w:p w14:paraId="28607D3F" w14:textId="3FC1B12B"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1.3</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Qëllimi</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_Toc61062514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7</w:t>
      </w:r>
      <w:r w:rsidRPr="0001063F">
        <w:rPr>
          <w:b w:val="0"/>
          <w:bCs/>
          <w:color w:val="000000" w:themeColor="text1"/>
          <w:sz w:val="21"/>
          <w:szCs w:val="21"/>
        </w:rPr>
        <w:fldChar w:fldCharType="end"/>
      </w:r>
    </w:p>
    <w:p w14:paraId="18B1ABDC" w14:textId="6A88499C"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1.4</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Temat kyçe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_Toc61062515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7</w:t>
      </w:r>
      <w:r w:rsidRPr="0001063F">
        <w:rPr>
          <w:b w:val="0"/>
          <w:bCs/>
          <w:color w:val="000000" w:themeColor="text1"/>
          <w:sz w:val="21"/>
          <w:szCs w:val="21"/>
        </w:rPr>
        <w:fldChar w:fldCharType="end"/>
      </w:r>
    </w:p>
    <w:p w14:paraId="731AE5D2" w14:textId="12C30B25"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1.5</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Mbulueshmëria gjeografike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_Toc61062516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7</w:t>
      </w:r>
      <w:r w:rsidRPr="0001063F">
        <w:rPr>
          <w:b w:val="0"/>
          <w:bCs/>
          <w:color w:val="000000" w:themeColor="text1"/>
          <w:sz w:val="21"/>
          <w:szCs w:val="21"/>
        </w:rPr>
        <w:fldChar w:fldCharType="end"/>
      </w:r>
    </w:p>
    <w:p w14:paraId="69EF8D64" w14:textId="13D7429A"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1.6</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Orientimi strategjik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_Toc61062517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7</w:t>
      </w:r>
      <w:r w:rsidRPr="0001063F">
        <w:rPr>
          <w:b w:val="0"/>
          <w:bCs/>
          <w:color w:val="000000" w:themeColor="text1"/>
          <w:sz w:val="21"/>
          <w:szCs w:val="21"/>
        </w:rPr>
        <w:fldChar w:fldCharType="end"/>
      </w:r>
    </w:p>
    <w:p w14:paraId="261028F2" w14:textId="02E1EF3D"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1.7</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Struktura dhe audienca e synuar</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_Toc61062518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8</w:t>
      </w:r>
      <w:r w:rsidRPr="0001063F">
        <w:rPr>
          <w:b w:val="0"/>
          <w:bCs/>
          <w:color w:val="000000" w:themeColor="text1"/>
          <w:sz w:val="21"/>
          <w:szCs w:val="21"/>
        </w:rPr>
        <w:fldChar w:fldCharType="end"/>
      </w:r>
    </w:p>
    <w:p w14:paraId="54FF89CE" w14:textId="1409678B" w:rsidR="0001063F" w:rsidRPr="0001063F" w:rsidRDefault="0001063F">
      <w:pPr>
        <w:pStyle w:val="TOC1"/>
        <w:tabs>
          <w:tab w:val="left" w:pos="992"/>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Granti i performancës komunale– Parametrat dizajnues</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_Toc61062519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9</w:t>
      </w:r>
      <w:r w:rsidRPr="0001063F">
        <w:rPr>
          <w:b w:val="0"/>
          <w:bCs/>
          <w:color w:val="000000" w:themeColor="text1"/>
          <w:sz w:val="21"/>
          <w:szCs w:val="21"/>
        </w:rPr>
        <w:fldChar w:fldCharType="end"/>
      </w:r>
    </w:p>
    <w:p w14:paraId="6A567F05" w14:textId="78E7C8D2"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2.1</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Parimet themelore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_Toc61062520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9</w:t>
      </w:r>
      <w:r w:rsidRPr="0001063F">
        <w:rPr>
          <w:b w:val="0"/>
          <w:bCs/>
          <w:color w:val="000000" w:themeColor="text1"/>
          <w:sz w:val="21"/>
          <w:szCs w:val="21"/>
        </w:rPr>
        <w:fldChar w:fldCharType="end"/>
      </w:r>
    </w:p>
    <w:p w14:paraId="1353E532" w14:textId="56CA09F8"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Kushtet minimale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_Toc61062521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9</w:t>
      </w:r>
      <w:r w:rsidRPr="0001063F">
        <w:rPr>
          <w:b w:val="0"/>
          <w:bCs/>
          <w:color w:val="000000" w:themeColor="text1"/>
          <w:sz w:val="21"/>
          <w:szCs w:val="21"/>
        </w:rPr>
        <w:fldChar w:fldCharType="end"/>
      </w:r>
    </w:p>
    <w:p w14:paraId="148C64BE" w14:textId="6CB7CEA2"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Treguesit e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_Toc61062522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10</w:t>
      </w:r>
      <w:r w:rsidRPr="0001063F">
        <w:rPr>
          <w:b w:val="0"/>
          <w:bCs/>
          <w:color w:val="000000" w:themeColor="text1"/>
          <w:sz w:val="21"/>
          <w:szCs w:val="21"/>
        </w:rPr>
        <w:fldChar w:fldCharType="end"/>
      </w:r>
    </w:p>
    <w:p w14:paraId="69017BA0" w14:textId="3E3D59DB"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2.4</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Burimet e financimit të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_Toc61062523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12</w:t>
      </w:r>
      <w:r w:rsidRPr="0001063F">
        <w:rPr>
          <w:b w:val="0"/>
          <w:bCs/>
          <w:color w:val="000000" w:themeColor="text1"/>
          <w:sz w:val="21"/>
          <w:szCs w:val="21"/>
        </w:rPr>
        <w:fldChar w:fldCharType="end"/>
      </w:r>
    </w:p>
    <w:p w14:paraId="78F0A893" w14:textId="50880B26"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2.5</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Llogaritja e shumës së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_Toc61062524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12</w:t>
      </w:r>
      <w:r w:rsidRPr="0001063F">
        <w:rPr>
          <w:b w:val="0"/>
          <w:bCs/>
          <w:color w:val="000000" w:themeColor="text1"/>
          <w:sz w:val="21"/>
          <w:szCs w:val="21"/>
        </w:rPr>
        <w:fldChar w:fldCharType="end"/>
      </w:r>
    </w:p>
    <w:p w14:paraId="43800E7B" w14:textId="151423D8"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2.6</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Kriteret për shfrytëzimin e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_Toc61062525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13</w:t>
      </w:r>
      <w:r w:rsidRPr="0001063F">
        <w:rPr>
          <w:b w:val="0"/>
          <w:bCs/>
          <w:color w:val="000000" w:themeColor="text1"/>
          <w:sz w:val="21"/>
          <w:szCs w:val="21"/>
        </w:rPr>
        <w:fldChar w:fldCharType="end"/>
      </w:r>
    </w:p>
    <w:p w14:paraId="22B860EC" w14:textId="34690A51"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2.7</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Auditimi i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_Toc61062526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13</w:t>
      </w:r>
      <w:r w:rsidRPr="0001063F">
        <w:rPr>
          <w:b w:val="0"/>
          <w:bCs/>
          <w:color w:val="000000" w:themeColor="text1"/>
          <w:sz w:val="21"/>
          <w:szCs w:val="21"/>
        </w:rPr>
        <w:fldChar w:fldCharType="end"/>
      </w:r>
    </w:p>
    <w:p w14:paraId="166B0837" w14:textId="5179E68A" w:rsidR="0001063F" w:rsidRPr="0001063F" w:rsidRDefault="0001063F">
      <w:pPr>
        <w:pStyle w:val="TOC1"/>
        <w:tabs>
          <w:tab w:val="left" w:pos="992"/>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Granti i performancës komunale – Procesi i vlerësimit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_Toc61062527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14</w:t>
      </w:r>
      <w:r w:rsidRPr="0001063F">
        <w:rPr>
          <w:b w:val="0"/>
          <w:bCs/>
          <w:color w:val="000000" w:themeColor="text1"/>
          <w:sz w:val="21"/>
          <w:szCs w:val="21"/>
        </w:rPr>
        <w:fldChar w:fldCharType="end"/>
      </w:r>
    </w:p>
    <w:p w14:paraId="2326EE97" w14:textId="01ABA61C"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3.1</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Aranzhimet institucionale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_Toc61062528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14</w:t>
      </w:r>
      <w:r w:rsidRPr="0001063F">
        <w:rPr>
          <w:b w:val="0"/>
          <w:bCs/>
          <w:color w:val="000000" w:themeColor="text1"/>
          <w:sz w:val="21"/>
          <w:szCs w:val="21"/>
        </w:rPr>
        <w:fldChar w:fldCharType="end"/>
      </w:r>
    </w:p>
    <w:p w14:paraId="279BCAB5" w14:textId="527DFCCD"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3.1.1</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Komisioni i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_Toc61062529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14</w:t>
      </w:r>
      <w:r w:rsidRPr="0001063F">
        <w:rPr>
          <w:b w:val="0"/>
          <w:bCs/>
          <w:color w:val="000000" w:themeColor="text1"/>
          <w:sz w:val="21"/>
          <w:szCs w:val="21"/>
        </w:rPr>
        <w:fldChar w:fldCharType="end"/>
      </w:r>
    </w:p>
    <w:p w14:paraId="1EBC4FE8" w14:textId="3A247097"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3.1.2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Grupi teknik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_Toc61062530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14</w:t>
      </w:r>
      <w:r w:rsidRPr="0001063F">
        <w:rPr>
          <w:b w:val="0"/>
          <w:bCs/>
          <w:color w:val="000000" w:themeColor="text1"/>
          <w:sz w:val="21"/>
          <w:szCs w:val="21"/>
        </w:rPr>
        <w:fldChar w:fldCharType="end"/>
      </w:r>
    </w:p>
    <w:p w14:paraId="39523C11" w14:textId="1D7E3672" w:rsidR="0001063F" w:rsidRPr="0001063F" w:rsidRDefault="0001063F" w:rsidP="0001063F">
      <w:pPr>
        <w:pStyle w:val="TOC1"/>
        <w:tabs>
          <w:tab w:val="left" w:pos="1440"/>
        </w:tabs>
        <w:rPr>
          <w:b w:val="0"/>
          <w:bCs/>
          <w:color w:val="000000" w:themeColor="text1"/>
          <w:sz w:val="21"/>
          <w:szCs w:val="21"/>
        </w:rPr>
      </w:pPr>
      <w:r w:rsidRPr="0001063F">
        <w:rPr>
          <w:b w:val="0"/>
          <w:bCs/>
          <w:color w:val="000000" w:themeColor="text1"/>
          <w:sz w:val="21"/>
          <w:szCs w:val="21"/>
        </w:rPr>
        <w:t>3.1.3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Komisioni i ankesave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_Toc61062531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15</w:t>
      </w:r>
      <w:r w:rsidRPr="0001063F">
        <w:rPr>
          <w:b w:val="0"/>
          <w:bCs/>
          <w:color w:val="000000" w:themeColor="text1"/>
          <w:sz w:val="21"/>
          <w:szCs w:val="21"/>
        </w:rPr>
        <w:fldChar w:fldCharType="end"/>
      </w:r>
    </w:p>
    <w:p w14:paraId="22D72847" w14:textId="030B4EF5" w:rsidR="0001063F" w:rsidRPr="0001063F" w:rsidRDefault="0001063F" w:rsidP="0001063F">
      <w:pPr>
        <w:pStyle w:val="TOC1"/>
        <w:tabs>
          <w:tab w:val="left" w:pos="1440"/>
        </w:tabs>
        <w:rPr>
          <w:rFonts w:asciiTheme="minorHAnsi" w:hAnsiTheme="minorHAnsi" w:cstheme="minorBidi"/>
          <w:b w:val="0"/>
          <w:bCs/>
          <w:color w:val="000000" w:themeColor="text1"/>
          <w:sz w:val="21"/>
          <w:szCs w:val="21"/>
          <w:lang w:val="en-US"/>
        </w:rPr>
      </w:pPr>
      <w:r w:rsidRPr="0001063F">
        <w:rPr>
          <w:rFonts w:cstheme="majorHAnsi"/>
          <w:b w:val="0"/>
          <w:bCs/>
          <w:color w:val="000000" w:themeColor="text1"/>
          <w:sz w:val="21"/>
          <w:szCs w:val="21"/>
          <w:lang w:val="en-IE"/>
        </w:rPr>
        <w:t>3.1.4. Grupi Përgjegjës për hartimin e Rregullave të GPK-së</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_Toc61062532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15</w:t>
      </w:r>
      <w:r w:rsidRPr="0001063F">
        <w:rPr>
          <w:b w:val="0"/>
          <w:bCs/>
          <w:color w:val="000000" w:themeColor="text1"/>
          <w:sz w:val="21"/>
          <w:szCs w:val="21"/>
        </w:rPr>
        <w:fldChar w:fldCharType="end"/>
      </w:r>
    </w:p>
    <w:p w14:paraId="3330E5F0" w14:textId="2300168A"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Afati kohor</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_Toc61062534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15</w:t>
      </w:r>
      <w:r w:rsidRPr="0001063F">
        <w:rPr>
          <w:b w:val="0"/>
          <w:bCs/>
          <w:color w:val="000000" w:themeColor="text1"/>
          <w:sz w:val="21"/>
          <w:szCs w:val="21"/>
        </w:rPr>
        <w:fldChar w:fldCharType="end"/>
      </w:r>
    </w:p>
    <w:p w14:paraId="75F2003A" w14:textId="634C5370"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Procedurat e vlerësimit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_Toc61062535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16</w:t>
      </w:r>
      <w:r w:rsidRPr="0001063F">
        <w:rPr>
          <w:b w:val="0"/>
          <w:bCs/>
          <w:color w:val="000000" w:themeColor="text1"/>
          <w:sz w:val="21"/>
          <w:szCs w:val="21"/>
        </w:rPr>
        <w:fldChar w:fldCharType="end"/>
      </w:r>
    </w:p>
    <w:p w14:paraId="5FFF9B51" w14:textId="182231D9"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Përgatitjet për vlerësim të GPK-së</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_Toc61062536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16</w:t>
      </w:r>
      <w:r w:rsidRPr="0001063F">
        <w:rPr>
          <w:b w:val="0"/>
          <w:bCs/>
          <w:color w:val="000000" w:themeColor="text1"/>
          <w:sz w:val="21"/>
          <w:szCs w:val="21"/>
        </w:rPr>
        <w:fldChar w:fldCharType="end"/>
      </w:r>
    </w:p>
    <w:p w14:paraId="6BF66224" w14:textId="556D8320"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Mbledhja dhe vlerësimi i të dhënave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_Toc61062537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16</w:t>
      </w:r>
      <w:r w:rsidRPr="0001063F">
        <w:rPr>
          <w:b w:val="0"/>
          <w:bCs/>
          <w:color w:val="000000" w:themeColor="text1"/>
          <w:sz w:val="21"/>
          <w:szCs w:val="21"/>
        </w:rPr>
        <w:fldChar w:fldCharType="end"/>
      </w:r>
    </w:p>
    <w:p w14:paraId="661FF89C" w14:textId="4DB8C7FD"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3.3.4.</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Komunikimi i rezultateve të komunave dhe procedura e ankesës</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_Toc61062538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17</w:t>
      </w:r>
      <w:r w:rsidRPr="0001063F">
        <w:rPr>
          <w:b w:val="0"/>
          <w:bCs/>
          <w:color w:val="000000" w:themeColor="text1"/>
          <w:sz w:val="21"/>
          <w:szCs w:val="21"/>
        </w:rPr>
        <w:fldChar w:fldCharType="end"/>
      </w:r>
    </w:p>
    <w:p w14:paraId="73916A7C" w14:textId="72C7882C"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3.3.5.</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Finalizimi dhe publikimi i rezultateve të vlerësimit dhe ndarja e grantit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_Toc61062539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18</w:t>
      </w:r>
      <w:r w:rsidRPr="0001063F">
        <w:rPr>
          <w:b w:val="0"/>
          <w:bCs/>
          <w:color w:val="000000" w:themeColor="text1"/>
          <w:sz w:val="21"/>
          <w:szCs w:val="21"/>
        </w:rPr>
        <w:fldChar w:fldCharType="end"/>
      </w:r>
    </w:p>
    <w:p w14:paraId="2CAF13E1" w14:textId="401EBFD2"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3.3.6.</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Masat për sigurimin e vlerësimit objektiv</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_Toc61062540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18</w:t>
      </w:r>
      <w:r w:rsidRPr="0001063F">
        <w:rPr>
          <w:b w:val="0"/>
          <w:bCs/>
          <w:color w:val="000000" w:themeColor="text1"/>
          <w:sz w:val="21"/>
          <w:szCs w:val="21"/>
        </w:rPr>
        <w:fldChar w:fldCharType="end"/>
      </w:r>
    </w:p>
    <w:p w14:paraId="539A69E4" w14:textId="1CAC2B93" w:rsidR="0001063F" w:rsidRPr="0001063F" w:rsidRDefault="0001063F">
      <w:pPr>
        <w:pStyle w:val="TOC1"/>
        <w:tabs>
          <w:tab w:val="left" w:pos="992"/>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4.</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Shtojcat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_Toc61062541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20</w:t>
      </w:r>
      <w:r w:rsidRPr="0001063F">
        <w:rPr>
          <w:b w:val="0"/>
          <w:bCs/>
          <w:color w:val="000000" w:themeColor="text1"/>
          <w:sz w:val="21"/>
          <w:szCs w:val="21"/>
        </w:rPr>
        <w:fldChar w:fldCharType="end"/>
      </w:r>
    </w:p>
    <w:p w14:paraId="65DD30C9" w14:textId="532F5495"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1: Udhëzuesi për vlerësim – Kushtet minimale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_Toc61062542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21</w:t>
      </w:r>
      <w:r w:rsidRPr="0001063F">
        <w:rPr>
          <w:b w:val="0"/>
          <w:bCs/>
          <w:color w:val="000000" w:themeColor="text1"/>
          <w:sz w:val="21"/>
          <w:szCs w:val="21"/>
        </w:rPr>
        <w:fldChar w:fldCharType="end"/>
      </w:r>
    </w:p>
    <w:p w14:paraId="71A56A81" w14:textId="1BD19468"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2: Udhëzuesi për vlerësim – Treguesit e performancës</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_Toc61062543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23</w:t>
      </w:r>
      <w:r w:rsidRPr="0001063F">
        <w:rPr>
          <w:b w:val="0"/>
          <w:bCs/>
          <w:color w:val="000000" w:themeColor="text1"/>
          <w:sz w:val="21"/>
          <w:szCs w:val="21"/>
        </w:rPr>
        <w:fldChar w:fldCharType="end"/>
      </w:r>
    </w:p>
    <w:p w14:paraId="71F3CEBF" w14:textId="654C380B"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3: Shablloni i fletëvlerësimit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_Toc61062544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33</w:t>
      </w:r>
      <w:r w:rsidRPr="0001063F">
        <w:rPr>
          <w:b w:val="0"/>
          <w:bCs/>
          <w:color w:val="000000" w:themeColor="text1"/>
          <w:sz w:val="21"/>
          <w:szCs w:val="21"/>
        </w:rPr>
        <w:fldChar w:fldCharType="end"/>
      </w:r>
    </w:p>
    <w:p w14:paraId="314F6734" w14:textId="380EDA89"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4: Shablloni për llogaritjen e shumave të ndara të grantit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_Toc61062545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40</w:t>
      </w:r>
      <w:r w:rsidRPr="0001063F">
        <w:rPr>
          <w:b w:val="0"/>
          <w:bCs/>
          <w:color w:val="000000" w:themeColor="text1"/>
          <w:sz w:val="21"/>
          <w:szCs w:val="21"/>
        </w:rPr>
        <w:fldChar w:fldCharType="end"/>
      </w:r>
    </w:p>
    <w:p w14:paraId="4E370C6F" w14:textId="2CE279C3"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5</w:t>
      </w:r>
      <w:r w:rsidRPr="0001063F">
        <w:rPr>
          <w:b w:val="0"/>
          <w:bCs/>
          <w:color w:val="000000" w:themeColor="text1"/>
          <w:sz w:val="21"/>
          <w:szCs w:val="21"/>
        </w:rPr>
        <w:t>: Termat e referencës – Komisioni i GPK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_Toc61062546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43</w:t>
      </w:r>
      <w:r w:rsidRPr="0001063F">
        <w:rPr>
          <w:b w:val="0"/>
          <w:bCs/>
          <w:color w:val="000000" w:themeColor="text1"/>
          <w:sz w:val="21"/>
          <w:szCs w:val="21"/>
        </w:rPr>
        <w:fldChar w:fldCharType="end"/>
      </w:r>
    </w:p>
    <w:p w14:paraId="30E4D04C" w14:textId="0765E5F7"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6</w:t>
      </w:r>
      <w:r w:rsidRPr="0001063F">
        <w:rPr>
          <w:b w:val="0"/>
          <w:bCs/>
          <w:color w:val="000000" w:themeColor="text1"/>
          <w:sz w:val="21"/>
          <w:szCs w:val="21"/>
        </w:rPr>
        <w:t>: Termat e referencës – Grupi teknik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_Toc61062547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45</w:t>
      </w:r>
      <w:r w:rsidRPr="0001063F">
        <w:rPr>
          <w:b w:val="0"/>
          <w:bCs/>
          <w:color w:val="000000" w:themeColor="text1"/>
          <w:sz w:val="21"/>
          <w:szCs w:val="21"/>
        </w:rPr>
        <w:fldChar w:fldCharType="end"/>
      </w:r>
    </w:p>
    <w:p w14:paraId="5517C282" w14:textId="6B33EA14"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7</w:t>
      </w:r>
      <w:r w:rsidRPr="0001063F">
        <w:rPr>
          <w:b w:val="0"/>
          <w:bCs/>
          <w:color w:val="000000" w:themeColor="text1"/>
          <w:sz w:val="21"/>
          <w:szCs w:val="21"/>
        </w:rPr>
        <w:t>: Termat e referencës – Komisioni i ankesave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_Toc61062548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47</w:t>
      </w:r>
      <w:r w:rsidRPr="0001063F">
        <w:rPr>
          <w:b w:val="0"/>
          <w:bCs/>
          <w:color w:val="000000" w:themeColor="text1"/>
          <w:sz w:val="21"/>
          <w:szCs w:val="21"/>
        </w:rPr>
        <w:fldChar w:fldCharType="end"/>
      </w:r>
    </w:p>
    <w:p w14:paraId="0B8DD956" w14:textId="41A7E7B1"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8</w:t>
      </w:r>
      <w:r w:rsidRPr="0001063F">
        <w:rPr>
          <w:b w:val="0"/>
          <w:bCs/>
          <w:color w:val="000000" w:themeColor="text1"/>
          <w:sz w:val="21"/>
          <w:szCs w:val="21"/>
        </w:rPr>
        <w:t xml:space="preserve">: Termat e referencës – Komisioni për hartimin e rregullave te GPK-së  </w:t>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_Toc61062549 \h </w:instrText>
      </w:r>
      <w:r w:rsidRPr="0001063F">
        <w:rPr>
          <w:b w:val="0"/>
          <w:bCs/>
          <w:color w:val="000000" w:themeColor="text1"/>
          <w:sz w:val="21"/>
          <w:szCs w:val="21"/>
        </w:rPr>
      </w:r>
      <w:r w:rsidRPr="0001063F">
        <w:rPr>
          <w:b w:val="0"/>
          <w:bCs/>
          <w:color w:val="000000" w:themeColor="text1"/>
          <w:sz w:val="21"/>
          <w:szCs w:val="21"/>
        </w:rPr>
        <w:fldChar w:fldCharType="separate"/>
      </w:r>
      <w:r w:rsidR="00AC7EB6">
        <w:rPr>
          <w:b w:val="0"/>
          <w:bCs/>
          <w:color w:val="000000" w:themeColor="text1"/>
          <w:sz w:val="21"/>
          <w:szCs w:val="21"/>
        </w:rPr>
        <w:t>49</w:t>
      </w:r>
      <w:r w:rsidRPr="0001063F">
        <w:rPr>
          <w:b w:val="0"/>
          <w:bCs/>
          <w:color w:val="000000" w:themeColor="text1"/>
          <w:sz w:val="21"/>
          <w:szCs w:val="21"/>
        </w:rPr>
        <w:fldChar w:fldCharType="end"/>
      </w:r>
    </w:p>
    <w:p w14:paraId="5BD75F21" w14:textId="77777777" w:rsidR="0001063F" w:rsidRPr="0001063F" w:rsidRDefault="0001063F">
      <w:pPr>
        <w:pStyle w:val="TOC2"/>
        <w:tabs>
          <w:tab w:val="right" w:leader="dot" w:pos="8758"/>
        </w:tabs>
        <w:rPr>
          <w:rFonts w:cstheme="minorBidi"/>
          <w:b w:val="0"/>
          <w:bCs/>
          <w:noProof/>
          <w:color w:val="000000" w:themeColor="text1"/>
          <w:sz w:val="21"/>
          <w:szCs w:val="21"/>
          <w:lang w:val="en-US"/>
        </w:rPr>
      </w:pPr>
    </w:p>
    <w:p w14:paraId="7069593D" w14:textId="77777777" w:rsidR="000D6CE5" w:rsidRPr="00AD5B0B" w:rsidRDefault="000D6CE5" w:rsidP="00D11982">
      <w:pPr>
        <w:pStyle w:val="TOC1"/>
        <w:rPr>
          <w:color w:val="auto"/>
        </w:rPr>
      </w:pPr>
      <w:r w:rsidRPr="0001063F">
        <w:rPr>
          <w:b w:val="0"/>
          <w:bCs/>
          <w:color w:val="000000" w:themeColor="text1"/>
          <w:sz w:val="21"/>
          <w:szCs w:val="21"/>
        </w:rPr>
        <w:fldChar w:fldCharType="end"/>
      </w:r>
      <w:r w:rsidRPr="00AD5B0B">
        <w:rPr>
          <w:bCs/>
          <w:color w:val="auto"/>
        </w:rPr>
        <w:br w:type="page"/>
      </w:r>
    </w:p>
    <w:p w14:paraId="14917AB7" w14:textId="3CB95D62" w:rsidR="000D6CE5" w:rsidRPr="004D2E1C" w:rsidRDefault="000D6CE5" w:rsidP="000D6CE5">
      <w:pPr>
        <w:pStyle w:val="Heading1"/>
        <w:shd w:val="clear" w:color="auto" w:fill="D55635"/>
        <w:tabs>
          <w:tab w:val="left" w:pos="540"/>
        </w:tabs>
        <w:rPr>
          <w:rFonts w:asciiTheme="majorHAnsi" w:hAnsiTheme="majorHAnsi"/>
          <w:color w:val="FFFFFF" w:themeColor="background1"/>
          <w:sz w:val="32"/>
          <w:szCs w:val="32"/>
          <w:lang w:val="sq-AL"/>
        </w:rPr>
      </w:pPr>
      <w:bookmarkStart w:id="0" w:name="_Toc61062509"/>
      <w:r w:rsidRPr="004D2E1C">
        <w:rPr>
          <w:rFonts w:asciiTheme="majorHAnsi" w:hAnsiTheme="majorHAnsi"/>
          <w:color w:val="FFFFFF" w:themeColor="background1"/>
          <w:sz w:val="32"/>
          <w:szCs w:val="32"/>
          <w:lang w:val="sq-AL"/>
        </w:rPr>
        <w:lastRenderedPageBreak/>
        <w:t>Parathënie</w:t>
      </w:r>
      <w:bookmarkEnd w:id="0"/>
    </w:p>
    <w:p w14:paraId="2C1D7435" w14:textId="2DBFE194" w:rsidR="000D6CE5" w:rsidRDefault="3799D6D5" w:rsidP="6887815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68878158">
        <w:rPr>
          <w:rFonts w:asciiTheme="majorHAnsi" w:hAnsiTheme="majorHAnsi"/>
          <w:sz w:val="21"/>
          <w:szCs w:val="21"/>
        </w:rPr>
        <w:t>Në vitin 2009</w:t>
      </w:r>
      <w:r w:rsidR="27667340" w:rsidRPr="68878158">
        <w:rPr>
          <w:rFonts w:asciiTheme="majorHAnsi" w:hAnsiTheme="majorHAnsi"/>
          <w:sz w:val="21"/>
          <w:szCs w:val="21"/>
        </w:rPr>
        <w:t>,</w:t>
      </w:r>
      <w:r w:rsidRPr="68878158">
        <w:rPr>
          <w:rFonts w:asciiTheme="majorHAnsi" w:hAnsiTheme="majorHAnsi"/>
          <w:sz w:val="21"/>
          <w:szCs w:val="21"/>
        </w:rPr>
        <w:t xml:space="preserve"> Kosova ishte vendi i parë në rajon që </w:t>
      </w:r>
      <w:r w:rsidR="163FE566" w:rsidRPr="68878158">
        <w:rPr>
          <w:rFonts w:asciiTheme="majorHAnsi" w:hAnsiTheme="majorHAnsi"/>
          <w:sz w:val="21"/>
          <w:szCs w:val="21"/>
        </w:rPr>
        <w:t>aprovoi</w:t>
      </w:r>
      <w:r w:rsidRPr="68878158">
        <w:rPr>
          <w:rFonts w:asciiTheme="majorHAnsi" w:hAnsiTheme="majorHAnsi"/>
          <w:sz w:val="21"/>
          <w:szCs w:val="21"/>
        </w:rPr>
        <w:t xml:space="preserve"> skemën </w:t>
      </w:r>
      <w:r w:rsidR="69982F9F" w:rsidRPr="68878158">
        <w:rPr>
          <w:rFonts w:asciiTheme="majorHAnsi" w:hAnsiTheme="majorHAnsi"/>
          <w:sz w:val="21"/>
          <w:szCs w:val="21"/>
        </w:rPr>
        <w:t xml:space="preserve">stimuluese financiare </w:t>
      </w:r>
      <w:r w:rsidRPr="68878158">
        <w:rPr>
          <w:rFonts w:asciiTheme="majorHAnsi" w:hAnsiTheme="majorHAnsi"/>
          <w:sz w:val="21"/>
          <w:szCs w:val="21"/>
        </w:rPr>
        <w:t>të bazuar në performancë</w:t>
      </w:r>
      <w:r w:rsidR="27AB6040" w:rsidRPr="68878158">
        <w:rPr>
          <w:rFonts w:asciiTheme="majorHAnsi" w:hAnsiTheme="majorHAnsi"/>
          <w:sz w:val="21"/>
          <w:szCs w:val="21"/>
        </w:rPr>
        <w:t>,</w:t>
      </w:r>
      <w:r w:rsidRPr="68878158">
        <w:rPr>
          <w:rFonts w:asciiTheme="majorHAnsi" w:hAnsiTheme="majorHAnsi"/>
          <w:sz w:val="21"/>
          <w:szCs w:val="21"/>
        </w:rPr>
        <w:t xml:space="preserve"> për</w:t>
      </w:r>
      <w:r w:rsidR="69982F9F" w:rsidRPr="68878158">
        <w:rPr>
          <w:rFonts w:asciiTheme="majorHAnsi" w:hAnsiTheme="majorHAnsi"/>
          <w:sz w:val="21"/>
          <w:szCs w:val="21"/>
        </w:rPr>
        <w:t>mes</w:t>
      </w:r>
      <w:r w:rsidRPr="68878158">
        <w:rPr>
          <w:rFonts w:asciiTheme="majorHAnsi" w:hAnsiTheme="majorHAnsi"/>
          <w:sz w:val="21"/>
          <w:szCs w:val="21"/>
        </w:rPr>
        <w:t xml:space="preserve"> </w:t>
      </w:r>
      <w:r w:rsidR="69982F9F" w:rsidRPr="68878158">
        <w:rPr>
          <w:rFonts w:asciiTheme="majorHAnsi" w:hAnsiTheme="majorHAnsi"/>
          <w:sz w:val="21"/>
          <w:szCs w:val="21"/>
        </w:rPr>
        <w:t>ndarjes s</w:t>
      </w:r>
      <w:r w:rsidR="5A659ED2" w:rsidRPr="68878158">
        <w:rPr>
          <w:rFonts w:asciiTheme="majorHAnsi" w:hAnsiTheme="majorHAnsi"/>
          <w:sz w:val="21"/>
          <w:szCs w:val="21"/>
        </w:rPr>
        <w:t>ë</w:t>
      </w:r>
      <w:r w:rsidR="69982F9F" w:rsidRPr="68878158">
        <w:rPr>
          <w:rFonts w:asciiTheme="majorHAnsi" w:hAnsiTheme="majorHAnsi"/>
          <w:sz w:val="21"/>
          <w:szCs w:val="21"/>
        </w:rPr>
        <w:t xml:space="preserve"> </w:t>
      </w:r>
      <w:r w:rsidRPr="68878158">
        <w:rPr>
          <w:rFonts w:asciiTheme="majorHAnsi" w:hAnsiTheme="majorHAnsi"/>
          <w:sz w:val="21"/>
          <w:szCs w:val="21"/>
        </w:rPr>
        <w:t xml:space="preserve">fondeve për komunat si </w:t>
      </w:r>
      <w:r w:rsidR="163FE566" w:rsidRPr="68878158">
        <w:rPr>
          <w:rFonts w:asciiTheme="majorHAnsi" w:hAnsiTheme="majorHAnsi"/>
          <w:sz w:val="21"/>
          <w:szCs w:val="21"/>
        </w:rPr>
        <w:t xml:space="preserve">nxitje </w:t>
      </w:r>
      <w:r w:rsidR="27667340" w:rsidRPr="68878158">
        <w:rPr>
          <w:rFonts w:asciiTheme="majorHAnsi" w:hAnsiTheme="majorHAnsi"/>
          <w:sz w:val="21"/>
          <w:szCs w:val="21"/>
        </w:rPr>
        <w:t>p</w:t>
      </w:r>
      <w:r w:rsidR="3D4AA727" w:rsidRPr="68878158">
        <w:rPr>
          <w:rFonts w:asciiTheme="majorHAnsi" w:hAnsiTheme="majorHAnsi"/>
          <w:sz w:val="21"/>
          <w:szCs w:val="21"/>
        </w:rPr>
        <w:t>ë</w:t>
      </w:r>
      <w:r w:rsidR="27667340" w:rsidRPr="68878158">
        <w:rPr>
          <w:rFonts w:asciiTheme="majorHAnsi" w:hAnsiTheme="majorHAnsi"/>
          <w:sz w:val="21"/>
          <w:szCs w:val="21"/>
        </w:rPr>
        <w:t xml:space="preserve">r </w:t>
      </w:r>
      <w:r w:rsidRPr="68878158">
        <w:rPr>
          <w:rFonts w:asciiTheme="majorHAnsi" w:hAnsiTheme="majorHAnsi"/>
          <w:sz w:val="21"/>
          <w:szCs w:val="21"/>
        </w:rPr>
        <w:t>përmirësimi</w:t>
      </w:r>
      <w:r w:rsidR="27667340" w:rsidRPr="68878158">
        <w:rPr>
          <w:rFonts w:asciiTheme="majorHAnsi" w:hAnsiTheme="majorHAnsi"/>
          <w:sz w:val="21"/>
          <w:szCs w:val="21"/>
        </w:rPr>
        <w:t xml:space="preserve">n e </w:t>
      </w:r>
      <w:r w:rsidRPr="68878158">
        <w:rPr>
          <w:rFonts w:asciiTheme="majorHAnsi" w:hAnsiTheme="majorHAnsi"/>
          <w:sz w:val="21"/>
          <w:szCs w:val="21"/>
        </w:rPr>
        <w:t xml:space="preserve">qeverisjes lokale. Në fund të vitit 2017, </w:t>
      </w:r>
      <w:r w:rsidR="669135CC" w:rsidRPr="68878158">
        <w:rPr>
          <w:rFonts w:asciiTheme="majorHAnsi" w:hAnsiTheme="majorHAnsi"/>
          <w:sz w:val="21"/>
          <w:szCs w:val="21"/>
        </w:rPr>
        <w:t xml:space="preserve">Ministria e </w:t>
      </w:r>
      <w:r w:rsidR="00241932">
        <w:rPr>
          <w:rFonts w:asciiTheme="majorHAnsi" w:hAnsiTheme="majorHAnsi"/>
          <w:sz w:val="21"/>
          <w:szCs w:val="21"/>
        </w:rPr>
        <w:t>Administrimit t</w:t>
      </w:r>
      <w:r w:rsidR="00164F19">
        <w:rPr>
          <w:rFonts w:asciiTheme="majorHAnsi" w:hAnsiTheme="majorHAnsi"/>
          <w:sz w:val="21"/>
          <w:szCs w:val="21"/>
        </w:rPr>
        <w:t>ë</w:t>
      </w:r>
      <w:r w:rsidR="00241932">
        <w:rPr>
          <w:rFonts w:asciiTheme="majorHAnsi" w:hAnsiTheme="majorHAnsi"/>
          <w:sz w:val="21"/>
          <w:szCs w:val="21"/>
        </w:rPr>
        <w:t xml:space="preserve"> </w:t>
      </w:r>
      <w:r w:rsidR="669135CC" w:rsidRPr="68878158">
        <w:rPr>
          <w:rFonts w:asciiTheme="majorHAnsi" w:hAnsiTheme="majorHAnsi"/>
          <w:sz w:val="21"/>
          <w:szCs w:val="21"/>
        </w:rPr>
        <w:t>Pushtetit Lokal</w:t>
      </w:r>
      <w:r w:rsidRPr="68878158">
        <w:rPr>
          <w:rFonts w:asciiTheme="majorHAnsi" w:hAnsiTheme="majorHAnsi"/>
          <w:sz w:val="21"/>
          <w:szCs w:val="21"/>
        </w:rPr>
        <w:t xml:space="preserve"> (</w:t>
      </w:r>
      <w:r w:rsidR="5199BD70" w:rsidRPr="68878158">
        <w:rPr>
          <w:rFonts w:asciiTheme="majorHAnsi" w:hAnsiTheme="majorHAnsi"/>
          <w:sz w:val="21"/>
          <w:szCs w:val="21"/>
        </w:rPr>
        <w:t>MAPL</w:t>
      </w:r>
      <w:r w:rsidRPr="68878158">
        <w:rPr>
          <w:rFonts w:asciiTheme="majorHAnsi" w:hAnsiTheme="majorHAnsi"/>
          <w:sz w:val="21"/>
          <w:szCs w:val="21"/>
        </w:rPr>
        <w:t xml:space="preserve">), në partneritet me </w:t>
      </w:r>
      <w:r w:rsidR="4AA5153B" w:rsidRPr="68878158">
        <w:rPr>
          <w:rFonts w:asciiTheme="majorHAnsi" w:hAnsiTheme="majorHAnsi"/>
          <w:sz w:val="21"/>
          <w:szCs w:val="21"/>
        </w:rPr>
        <w:t xml:space="preserve">Zyrën Zvicerane për </w:t>
      </w:r>
      <w:r w:rsidR="672CA399" w:rsidRPr="68878158">
        <w:rPr>
          <w:rFonts w:asciiTheme="majorHAnsi" w:hAnsiTheme="majorHAnsi"/>
          <w:sz w:val="21"/>
          <w:szCs w:val="21"/>
        </w:rPr>
        <w:t xml:space="preserve">Zhvillim dhe </w:t>
      </w:r>
      <w:r w:rsidRPr="68878158">
        <w:rPr>
          <w:rFonts w:asciiTheme="majorHAnsi" w:hAnsiTheme="majorHAnsi"/>
          <w:sz w:val="21"/>
          <w:szCs w:val="21"/>
        </w:rPr>
        <w:t>Bashkëpunim</w:t>
      </w:r>
      <w:r w:rsidR="27667340" w:rsidRPr="68878158">
        <w:rPr>
          <w:rFonts w:asciiTheme="majorHAnsi" w:hAnsiTheme="majorHAnsi"/>
          <w:sz w:val="21"/>
          <w:szCs w:val="21"/>
        </w:rPr>
        <w:t xml:space="preserve"> </w:t>
      </w:r>
      <w:r w:rsidRPr="68878158">
        <w:rPr>
          <w:rFonts w:asciiTheme="majorHAnsi" w:hAnsiTheme="majorHAnsi"/>
          <w:sz w:val="21"/>
          <w:szCs w:val="21"/>
        </w:rPr>
        <w:t>(S</w:t>
      </w:r>
      <w:r w:rsidR="27667340" w:rsidRPr="68878158">
        <w:rPr>
          <w:rFonts w:asciiTheme="majorHAnsi" w:hAnsiTheme="majorHAnsi"/>
          <w:sz w:val="21"/>
          <w:szCs w:val="21"/>
        </w:rPr>
        <w:t>DC</w:t>
      </w:r>
      <w:r w:rsidRPr="68878158">
        <w:rPr>
          <w:rFonts w:asciiTheme="majorHAnsi" w:hAnsiTheme="majorHAnsi"/>
          <w:sz w:val="21"/>
          <w:szCs w:val="21"/>
        </w:rPr>
        <w:t xml:space="preserve">), zhvilluan dhe u pajtuan të bashkëfinancojnë një skemë </w:t>
      </w:r>
      <w:r w:rsidR="69982F9F" w:rsidRPr="68878158">
        <w:rPr>
          <w:rFonts w:asciiTheme="majorHAnsi" w:hAnsiTheme="majorHAnsi"/>
          <w:sz w:val="21"/>
          <w:szCs w:val="21"/>
        </w:rPr>
        <w:t xml:space="preserve">unike </w:t>
      </w:r>
      <w:r w:rsidRPr="68878158">
        <w:rPr>
          <w:rFonts w:asciiTheme="majorHAnsi" w:hAnsiTheme="majorHAnsi"/>
          <w:sz w:val="21"/>
          <w:szCs w:val="21"/>
        </w:rPr>
        <w:t>për ndarjen e grant</w:t>
      </w:r>
      <w:r w:rsidR="163FE566" w:rsidRPr="68878158">
        <w:rPr>
          <w:rFonts w:asciiTheme="majorHAnsi" w:hAnsiTheme="majorHAnsi"/>
          <w:sz w:val="21"/>
          <w:szCs w:val="21"/>
        </w:rPr>
        <w:t>it</w:t>
      </w:r>
      <w:r w:rsidRPr="68878158">
        <w:rPr>
          <w:rFonts w:asciiTheme="majorHAnsi" w:hAnsiTheme="majorHAnsi"/>
          <w:sz w:val="21"/>
          <w:szCs w:val="21"/>
        </w:rPr>
        <w:t xml:space="preserve"> </w:t>
      </w:r>
      <w:r w:rsidR="672CA399" w:rsidRPr="68878158">
        <w:rPr>
          <w:rFonts w:asciiTheme="majorHAnsi" w:hAnsiTheme="majorHAnsi"/>
          <w:sz w:val="21"/>
          <w:szCs w:val="21"/>
        </w:rPr>
        <w:t>t</w:t>
      </w:r>
      <w:r w:rsidR="3D4AA727" w:rsidRPr="68878158">
        <w:rPr>
          <w:rFonts w:asciiTheme="majorHAnsi" w:hAnsiTheme="majorHAnsi"/>
          <w:sz w:val="21"/>
          <w:szCs w:val="21"/>
        </w:rPr>
        <w:t>ë</w:t>
      </w:r>
      <w:r w:rsidR="672CA399" w:rsidRPr="68878158">
        <w:rPr>
          <w:rFonts w:asciiTheme="majorHAnsi" w:hAnsiTheme="majorHAnsi"/>
          <w:sz w:val="21"/>
          <w:szCs w:val="21"/>
        </w:rPr>
        <w:t xml:space="preserve"> </w:t>
      </w:r>
      <w:r w:rsidRPr="68878158">
        <w:rPr>
          <w:rFonts w:asciiTheme="majorHAnsi" w:hAnsiTheme="majorHAnsi"/>
          <w:sz w:val="21"/>
          <w:szCs w:val="21"/>
        </w:rPr>
        <w:t>performancë</w:t>
      </w:r>
      <w:r w:rsidR="672CA399" w:rsidRPr="68878158">
        <w:rPr>
          <w:rFonts w:asciiTheme="majorHAnsi" w:hAnsiTheme="majorHAnsi"/>
          <w:sz w:val="21"/>
          <w:szCs w:val="21"/>
        </w:rPr>
        <w:t>s</w:t>
      </w:r>
      <w:r w:rsidRPr="68878158">
        <w:rPr>
          <w:rFonts w:asciiTheme="majorHAnsi" w:hAnsiTheme="majorHAnsi"/>
          <w:sz w:val="21"/>
          <w:szCs w:val="21"/>
        </w:rPr>
        <w:t xml:space="preserve"> për komunat</w:t>
      </w:r>
      <w:r w:rsidR="69982F9F" w:rsidRPr="68878158">
        <w:rPr>
          <w:rFonts w:asciiTheme="majorHAnsi" w:hAnsiTheme="majorHAnsi"/>
          <w:sz w:val="21"/>
          <w:szCs w:val="21"/>
        </w:rPr>
        <w:t>.</w:t>
      </w:r>
      <w:r w:rsidR="006C2C80">
        <w:rPr>
          <w:rFonts w:asciiTheme="majorHAnsi" w:hAnsiTheme="majorHAnsi"/>
          <w:sz w:val="21"/>
          <w:szCs w:val="21"/>
        </w:rPr>
        <w:t xml:space="preserve"> N</w:t>
      </w:r>
      <w:r w:rsidR="006518E3">
        <w:rPr>
          <w:rFonts w:asciiTheme="majorHAnsi" w:hAnsiTheme="majorHAnsi"/>
          <w:sz w:val="21"/>
          <w:szCs w:val="21"/>
        </w:rPr>
        <w:t>ë</w:t>
      </w:r>
      <w:r w:rsidR="006C2C80">
        <w:rPr>
          <w:rFonts w:asciiTheme="majorHAnsi" w:hAnsiTheme="majorHAnsi"/>
          <w:sz w:val="21"/>
          <w:szCs w:val="21"/>
        </w:rPr>
        <w:t xml:space="preserve"> vitin 2019, Suedia dhe Norvegjia kan</w:t>
      </w:r>
      <w:r w:rsidR="006518E3">
        <w:rPr>
          <w:rFonts w:asciiTheme="majorHAnsi" w:hAnsiTheme="majorHAnsi"/>
          <w:sz w:val="21"/>
          <w:szCs w:val="21"/>
        </w:rPr>
        <w:t>ë</w:t>
      </w:r>
      <w:r w:rsidR="006C2C80">
        <w:rPr>
          <w:rFonts w:asciiTheme="majorHAnsi" w:hAnsiTheme="majorHAnsi"/>
          <w:sz w:val="21"/>
          <w:szCs w:val="21"/>
        </w:rPr>
        <w:t xml:space="preserve"> </w:t>
      </w:r>
      <w:r w:rsidR="00C9025A">
        <w:rPr>
          <w:rFonts w:asciiTheme="majorHAnsi" w:hAnsiTheme="majorHAnsi"/>
          <w:sz w:val="21"/>
          <w:szCs w:val="21"/>
        </w:rPr>
        <w:t>vendosur që të bashkëfinancojnë</w:t>
      </w:r>
      <w:r w:rsidR="006C2C80">
        <w:rPr>
          <w:rFonts w:asciiTheme="majorHAnsi" w:hAnsiTheme="majorHAnsi"/>
          <w:sz w:val="21"/>
          <w:szCs w:val="21"/>
        </w:rPr>
        <w:t xml:space="preserve"> skem</w:t>
      </w:r>
      <w:r w:rsidR="006518E3">
        <w:rPr>
          <w:rFonts w:asciiTheme="majorHAnsi" w:hAnsiTheme="majorHAnsi"/>
          <w:sz w:val="21"/>
          <w:szCs w:val="21"/>
        </w:rPr>
        <w:t>ë</w:t>
      </w:r>
      <w:r w:rsidR="006C2C80">
        <w:rPr>
          <w:rFonts w:asciiTheme="majorHAnsi" w:hAnsiTheme="majorHAnsi"/>
          <w:sz w:val="21"/>
          <w:szCs w:val="21"/>
        </w:rPr>
        <w:t>n e GPK. N</w:t>
      </w:r>
      <w:r w:rsidR="006518E3">
        <w:rPr>
          <w:rFonts w:asciiTheme="majorHAnsi" w:hAnsiTheme="majorHAnsi"/>
          <w:sz w:val="21"/>
          <w:szCs w:val="21"/>
        </w:rPr>
        <w:t>ë</w:t>
      </w:r>
      <w:r w:rsidR="006C2C80">
        <w:rPr>
          <w:rFonts w:asciiTheme="majorHAnsi" w:hAnsiTheme="majorHAnsi"/>
          <w:sz w:val="21"/>
          <w:szCs w:val="21"/>
        </w:rPr>
        <w:t xml:space="preserve"> vitin 2022, BE p</w:t>
      </w:r>
      <w:r w:rsidR="006518E3">
        <w:rPr>
          <w:rFonts w:asciiTheme="majorHAnsi" w:hAnsiTheme="majorHAnsi"/>
          <w:sz w:val="21"/>
          <w:szCs w:val="21"/>
        </w:rPr>
        <w:t>ë</w:t>
      </w:r>
      <w:r w:rsidR="006C2C80">
        <w:rPr>
          <w:rFonts w:asciiTheme="majorHAnsi" w:hAnsiTheme="majorHAnsi"/>
          <w:sz w:val="21"/>
          <w:szCs w:val="21"/>
        </w:rPr>
        <w:t>rmes Suedis</w:t>
      </w:r>
      <w:r w:rsidR="006518E3">
        <w:rPr>
          <w:rFonts w:asciiTheme="majorHAnsi" w:hAnsiTheme="majorHAnsi"/>
          <w:sz w:val="21"/>
          <w:szCs w:val="21"/>
        </w:rPr>
        <w:t>ë</w:t>
      </w:r>
      <w:r w:rsidR="006C2C80">
        <w:rPr>
          <w:rFonts w:asciiTheme="majorHAnsi" w:hAnsiTheme="majorHAnsi"/>
          <w:sz w:val="21"/>
          <w:szCs w:val="21"/>
        </w:rPr>
        <w:t xml:space="preserve"> </w:t>
      </w:r>
      <w:r w:rsidR="00622042">
        <w:rPr>
          <w:rFonts w:asciiTheme="majorHAnsi" w:hAnsiTheme="majorHAnsi"/>
          <w:sz w:val="21"/>
          <w:szCs w:val="21"/>
        </w:rPr>
        <w:t>poashtu i</w:t>
      </w:r>
      <w:r w:rsidR="006C2C80">
        <w:rPr>
          <w:rFonts w:asciiTheme="majorHAnsi" w:hAnsiTheme="majorHAnsi"/>
          <w:sz w:val="21"/>
          <w:szCs w:val="21"/>
        </w:rPr>
        <w:t xml:space="preserve"> bashkoh</w:t>
      </w:r>
      <w:r w:rsidR="00622042">
        <w:rPr>
          <w:rFonts w:asciiTheme="majorHAnsi" w:hAnsiTheme="majorHAnsi"/>
          <w:sz w:val="21"/>
          <w:szCs w:val="21"/>
        </w:rPr>
        <w:t>e</w:t>
      </w:r>
      <w:r w:rsidR="006C2C80">
        <w:rPr>
          <w:rFonts w:asciiTheme="majorHAnsi" w:hAnsiTheme="majorHAnsi"/>
          <w:sz w:val="21"/>
          <w:szCs w:val="21"/>
        </w:rPr>
        <w:t>t financimit t</w:t>
      </w:r>
      <w:r w:rsidR="006518E3">
        <w:rPr>
          <w:rFonts w:asciiTheme="majorHAnsi" w:hAnsiTheme="majorHAnsi"/>
          <w:sz w:val="21"/>
          <w:szCs w:val="21"/>
        </w:rPr>
        <w:t>ë</w:t>
      </w:r>
      <w:r w:rsidR="006C2C80">
        <w:rPr>
          <w:rFonts w:asciiTheme="majorHAnsi" w:hAnsiTheme="majorHAnsi"/>
          <w:sz w:val="21"/>
          <w:szCs w:val="21"/>
        </w:rPr>
        <w:t xml:space="preserve"> skem</w:t>
      </w:r>
      <w:r w:rsidR="006518E3">
        <w:rPr>
          <w:rFonts w:asciiTheme="majorHAnsi" w:hAnsiTheme="majorHAnsi"/>
          <w:sz w:val="21"/>
          <w:szCs w:val="21"/>
        </w:rPr>
        <w:t>ë</w:t>
      </w:r>
      <w:r w:rsidR="006C2C80">
        <w:rPr>
          <w:rFonts w:asciiTheme="majorHAnsi" w:hAnsiTheme="majorHAnsi"/>
          <w:sz w:val="21"/>
          <w:szCs w:val="21"/>
        </w:rPr>
        <w:t>s s</w:t>
      </w:r>
      <w:r w:rsidR="006518E3">
        <w:rPr>
          <w:rFonts w:asciiTheme="majorHAnsi" w:hAnsiTheme="majorHAnsi"/>
          <w:sz w:val="21"/>
          <w:szCs w:val="21"/>
        </w:rPr>
        <w:t>ë</w:t>
      </w:r>
      <w:r w:rsidR="006C2C80">
        <w:rPr>
          <w:rFonts w:asciiTheme="majorHAnsi" w:hAnsiTheme="majorHAnsi"/>
          <w:sz w:val="21"/>
          <w:szCs w:val="21"/>
        </w:rPr>
        <w:t xml:space="preserve"> GPK. </w:t>
      </w:r>
    </w:p>
    <w:p w14:paraId="00FFD1CD" w14:textId="00BD906C" w:rsidR="00C529B4" w:rsidRDefault="6B1869AD" w:rsidP="68878158">
      <w:pPr>
        <w:spacing w:before="120" w:line="264" w:lineRule="auto"/>
        <w:jc w:val="both"/>
        <w:rPr>
          <w:rFonts w:asciiTheme="majorHAnsi" w:hAnsiTheme="majorHAnsi"/>
          <w:sz w:val="21"/>
          <w:szCs w:val="21"/>
        </w:rPr>
      </w:pPr>
      <w:r w:rsidRPr="68878158">
        <w:rPr>
          <w:rFonts w:asciiTheme="majorHAnsi" w:hAnsiTheme="majorHAnsi"/>
          <w:sz w:val="21"/>
          <w:szCs w:val="21"/>
        </w:rPr>
        <w:t>Ndërmjet viteve 2018 dhe 2021</w:t>
      </w:r>
      <w:r w:rsidR="1CF8497E" w:rsidRPr="68878158">
        <w:rPr>
          <w:rFonts w:asciiTheme="majorHAnsi" w:hAnsiTheme="majorHAnsi"/>
          <w:sz w:val="21"/>
          <w:szCs w:val="21"/>
        </w:rPr>
        <w:t>,</w:t>
      </w:r>
      <w:r w:rsidRPr="68878158">
        <w:rPr>
          <w:rFonts w:asciiTheme="majorHAnsi" w:hAnsiTheme="majorHAnsi"/>
          <w:sz w:val="21"/>
          <w:szCs w:val="21"/>
        </w:rPr>
        <w:t xml:space="preserve"> rreth 14 milionë euro </w:t>
      </w:r>
      <w:r w:rsidR="24753069" w:rsidRPr="68878158">
        <w:rPr>
          <w:rFonts w:asciiTheme="majorHAnsi" w:hAnsiTheme="majorHAnsi"/>
          <w:sz w:val="21"/>
          <w:szCs w:val="21"/>
        </w:rPr>
        <w:t>janë alokuar</w:t>
      </w:r>
      <w:r w:rsidRPr="68878158">
        <w:rPr>
          <w:rFonts w:asciiTheme="majorHAnsi" w:hAnsiTheme="majorHAnsi"/>
          <w:sz w:val="21"/>
          <w:szCs w:val="21"/>
        </w:rPr>
        <w:t xml:space="preserve"> </w:t>
      </w:r>
      <w:r w:rsidR="24753069" w:rsidRPr="68878158">
        <w:rPr>
          <w:rFonts w:asciiTheme="majorHAnsi" w:hAnsiTheme="majorHAnsi"/>
          <w:sz w:val="21"/>
          <w:szCs w:val="21"/>
        </w:rPr>
        <w:t>në</w:t>
      </w:r>
      <w:r w:rsidR="27AB6040" w:rsidRPr="68878158">
        <w:rPr>
          <w:rFonts w:asciiTheme="majorHAnsi" w:hAnsiTheme="majorHAnsi"/>
          <w:sz w:val="21"/>
          <w:szCs w:val="21"/>
        </w:rPr>
        <w:t xml:space="preserve"> </w:t>
      </w:r>
      <w:r w:rsidRPr="68878158">
        <w:rPr>
          <w:rFonts w:asciiTheme="majorHAnsi" w:hAnsiTheme="majorHAnsi"/>
          <w:sz w:val="21"/>
          <w:szCs w:val="21"/>
        </w:rPr>
        <w:t>komuna</w:t>
      </w:r>
      <w:r w:rsidR="24753069" w:rsidRPr="68878158">
        <w:rPr>
          <w:rFonts w:asciiTheme="majorHAnsi" w:hAnsiTheme="majorHAnsi"/>
          <w:sz w:val="21"/>
          <w:szCs w:val="21"/>
        </w:rPr>
        <w:t xml:space="preserve">t </w:t>
      </w:r>
      <w:r w:rsidR="0F3228BC" w:rsidRPr="7D684930">
        <w:rPr>
          <w:rFonts w:asciiTheme="majorHAnsi" w:hAnsiTheme="majorHAnsi"/>
          <w:sz w:val="21"/>
          <w:szCs w:val="21"/>
        </w:rPr>
        <w:t>p</w:t>
      </w:r>
      <w:r w:rsidR="00164F19">
        <w:rPr>
          <w:rFonts w:asciiTheme="majorHAnsi" w:hAnsiTheme="majorHAnsi"/>
          <w:sz w:val="21"/>
          <w:szCs w:val="21"/>
        </w:rPr>
        <w:t>ë</w:t>
      </w:r>
      <w:r w:rsidR="0F3228BC" w:rsidRPr="7D684930">
        <w:rPr>
          <w:rFonts w:asciiTheme="majorHAnsi" w:hAnsiTheme="majorHAnsi"/>
          <w:sz w:val="21"/>
          <w:szCs w:val="21"/>
        </w:rPr>
        <w:t>rfituese</w:t>
      </w:r>
      <w:r w:rsidR="27AB6040" w:rsidRPr="68878158">
        <w:rPr>
          <w:rFonts w:asciiTheme="majorHAnsi" w:hAnsiTheme="majorHAnsi"/>
          <w:sz w:val="21"/>
          <w:szCs w:val="21"/>
        </w:rPr>
        <w:t>,</w:t>
      </w:r>
      <w:r w:rsidRPr="68878158">
        <w:rPr>
          <w:rFonts w:asciiTheme="majorHAnsi" w:hAnsiTheme="majorHAnsi"/>
          <w:sz w:val="21"/>
          <w:szCs w:val="21"/>
        </w:rPr>
        <w:t xml:space="preserve"> si grante të performancës komunale. </w:t>
      </w:r>
      <w:r w:rsidR="32C06DD5" w:rsidRPr="7D684930">
        <w:rPr>
          <w:rFonts w:asciiTheme="majorHAnsi" w:hAnsiTheme="majorHAnsi"/>
          <w:sz w:val="21"/>
          <w:szCs w:val="21"/>
        </w:rPr>
        <w:t>Nd</w:t>
      </w:r>
      <w:r w:rsidR="00164F19">
        <w:rPr>
          <w:rFonts w:asciiTheme="majorHAnsi" w:hAnsiTheme="majorHAnsi"/>
          <w:sz w:val="21"/>
          <w:szCs w:val="21"/>
        </w:rPr>
        <w:t>ë</w:t>
      </w:r>
      <w:r w:rsidR="32C06DD5" w:rsidRPr="7D684930">
        <w:rPr>
          <w:rFonts w:asciiTheme="majorHAnsi" w:hAnsiTheme="majorHAnsi"/>
          <w:sz w:val="21"/>
          <w:szCs w:val="21"/>
        </w:rPr>
        <w:t>rmjet</w:t>
      </w:r>
      <w:r w:rsidR="4B88AE65" w:rsidRPr="68878158">
        <w:rPr>
          <w:rFonts w:asciiTheme="majorHAnsi" w:hAnsiTheme="majorHAnsi"/>
          <w:sz w:val="21"/>
          <w:szCs w:val="21"/>
        </w:rPr>
        <w:t xml:space="preserve"> viteve 2022-2025, </w:t>
      </w:r>
      <w:r w:rsidR="0B35AC7C" w:rsidRPr="68878158">
        <w:rPr>
          <w:rFonts w:asciiTheme="majorHAnsi" w:hAnsiTheme="majorHAnsi"/>
          <w:sz w:val="21"/>
          <w:szCs w:val="21"/>
        </w:rPr>
        <w:t>shuma e grantit t</w:t>
      </w:r>
      <w:r w:rsidR="00164F19">
        <w:rPr>
          <w:rFonts w:asciiTheme="majorHAnsi" w:hAnsiTheme="majorHAnsi"/>
          <w:sz w:val="21"/>
          <w:szCs w:val="21"/>
        </w:rPr>
        <w:t>ë</w:t>
      </w:r>
      <w:r w:rsidR="7821B4F9" w:rsidRPr="7D684930">
        <w:rPr>
          <w:rFonts w:asciiTheme="majorHAnsi" w:hAnsiTheme="majorHAnsi"/>
          <w:sz w:val="21"/>
          <w:szCs w:val="21"/>
        </w:rPr>
        <w:t xml:space="preserve"> performanc</w:t>
      </w:r>
      <w:r w:rsidR="00164F19">
        <w:rPr>
          <w:rFonts w:asciiTheme="majorHAnsi" w:hAnsiTheme="majorHAnsi"/>
          <w:sz w:val="21"/>
          <w:szCs w:val="21"/>
        </w:rPr>
        <w:t>ë</w:t>
      </w:r>
      <w:r w:rsidR="7821B4F9" w:rsidRPr="7D684930">
        <w:rPr>
          <w:rFonts w:asciiTheme="majorHAnsi" w:hAnsiTheme="majorHAnsi"/>
          <w:sz w:val="21"/>
          <w:szCs w:val="21"/>
        </w:rPr>
        <w:t>s</w:t>
      </w:r>
      <w:r w:rsidR="0B35AC7C" w:rsidRPr="68878158">
        <w:rPr>
          <w:rFonts w:asciiTheme="majorHAnsi" w:hAnsiTheme="majorHAnsi"/>
          <w:sz w:val="21"/>
          <w:szCs w:val="21"/>
        </w:rPr>
        <w:t xml:space="preserve"> komunale pritet t</w:t>
      </w:r>
      <w:r w:rsidR="00164F19">
        <w:rPr>
          <w:rFonts w:asciiTheme="majorHAnsi" w:hAnsiTheme="majorHAnsi"/>
          <w:sz w:val="21"/>
          <w:szCs w:val="21"/>
        </w:rPr>
        <w:t>ë</w:t>
      </w:r>
      <w:r w:rsidR="7821B4F9" w:rsidRPr="7D684930">
        <w:rPr>
          <w:rFonts w:asciiTheme="majorHAnsi" w:hAnsiTheme="majorHAnsi"/>
          <w:sz w:val="21"/>
          <w:szCs w:val="21"/>
        </w:rPr>
        <w:t xml:space="preserve"> jet</w:t>
      </w:r>
      <w:r w:rsidR="00164F19">
        <w:rPr>
          <w:rFonts w:asciiTheme="majorHAnsi" w:hAnsiTheme="majorHAnsi"/>
          <w:sz w:val="21"/>
          <w:szCs w:val="21"/>
        </w:rPr>
        <w:t>ë</w:t>
      </w:r>
      <w:r w:rsidR="0B35AC7C" w:rsidRPr="68878158">
        <w:rPr>
          <w:rFonts w:asciiTheme="majorHAnsi" w:hAnsiTheme="majorHAnsi"/>
          <w:sz w:val="21"/>
          <w:szCs w:val="21"/>
        </w:rPr>
        <w:t xml:space="preserve"> </w:t>
      </w:r>
      <w:r w:rsidR="4B88AE65" w:rsidRPr="68878158">
        <w:rPr>
          <w:rFonts w:asciiTheme="majorHAnsi" w:hAnsiTheme="majorHAnsi"/>
          <w:sz w:val="21"/>
          <w:szCs w:val="21"/>
        </w:rPr>
        <w:t xml:space="preserve">rreth </w:t>
      </w:r>
      <w:r w:rsidR="6672E152" w:rsidRPr="68878158">
        <w:rPr>
          <w:rFonts w:asciiTheme="majorHAnsi" w:hAnsiTheme="majorHAnsi"/>
          <w:sz w:val="21"/>
          <w:szCs w:val="21"/>
        </w:rPr>
        <w:t>30 milion</w:t>
      </w:r>
      <w:r w:rsidR="00164F19">
        <w:rPr>
          <w:rFonts w:asciiTheme="majorHAnsi" w:hAnsiTheme="majorHAnsi"/>
          <w:sz w:val="21"/>
          <w:szCs w:val="21"/>
        </w:rPr>
        <w:t>ë</w:t>
      </w:r>
      <w:r w:rsidR="6672E152" w:rsidRPr="68878158">
        <w:rPr>
          <w:rFonts w:asciiTheme="majorHAnsi" w:hAnsiTheme="majorHAnsi"/>
          <w:sz w:val="21"/>
          <w:szCs w:val="21"/>
        </w:rPr>
        <w:t xml:space="preserve"> euro</w:t>
      </w:r>
      <w:r w:rsidR="0B35AC7C" w:rsidRPr="68878158">
        <w:rPr>
          <w:rFonts w:asciiTheme="majorHAnsi" w:hAnsiTheme="majorHAnsi"/>
          <w:sz w:val="21"/>
          <w:szCs w:val="21"/>
        </w:rPr>
        <w:t xml:space="preserve">. Ky grant </w:t>
      </w:r>
      <w:r w:rsidR="5CB397B8" w:rsidRPr="68878158">
        <w:rPr>
          <w:rFonts w:asciiTheme="majorHAnsi" w:hAnsiTheme="majorHAnsi"/>
          <w:sz w:val="21"/>
          <w:szCs w:val="21"/>
        </w:rPr>
        <w:t>synon përmirësimin e performancës së komunave në fushat: ‘qeverisja demokratike</w:t>
      </w:r>
      <w:r w:rsidR="1CF8497E" w:rsidRPr="68878158">
        <w:rPr>
          <w:rFonts w:asciiTheme="majorHAnsi" w:hAnsiTheme="majorHAnsi"/>
          <w:sz w:val="21"/>
          <w:szCs w:val="21"/>
        </w:rPr>
        <w:t>’</w:t>
      </w:r>
      <w:r w:rsidR="5CB397B8" w:rsidRPr="68878158">
        <w:rPr>
          <w:rFonts w:asciiTheme="majorHAnsi" w:hAnsiTheme="majorHAnsi"/>
          <w:sz w:val="21"/>
          <w:szCs w:val="21"/>
        </w:rPr>
        <w:t xml:space="preserve">, ‘menaxhimi komunal’ dhe </w:t>
      </w:r>
      <w:r w:rsidR="1CF8497E" w:rsidRPr="68878158">
        <w:rPr>
          <w:rFonts w:asciiTheme="majorHAnsi" w:hAnsiTheme="majorHAnsi"/>
          <w:sz w:val="21"/>
          <w:szCs w:val="21"/>
        </w:rPr>
        <w:t>‘</w:t>
      </w:r>
      <w:r w:rsidR="5CB397B8" w:rsidRPr="68878158">
        <w:rPr>
          <w:rFonts w:asciiTheme="majorHAnsi" w:hAnsiTheme="majorHAnsi"/>
          <w:sz w:val="21"/>
          <w:szCs w:val="21"/>
        </w:rPr>
        <w:t>ofrimi i shërbimeve</w:t>
      </w:r>
      <w:r w:rsidR="4FFF9FC3" w:rsidRPr="68878158">
        <w:rPr>
          <w:rFonts w:asciiTheme="majorHAnsi" w:hAnsiTheme="majorHAnsi"/>
          <w:sz w:val="21"/>
          <w:szCs w:val="21"/>
        </w:rPr>
        <w:t>’</w:t>
      </w:r>
      <w:r w:rsidR="5CB397B8" w:rsidRPr="68878158">
        <w:rPr>
          <w:rFonts w:asciiTheme="majorHAnsi" w:hAnsiTheme="majorHAnsi"/>
          <w:sz w:val="21"/>
          <w:szCs w:val="21"/>
        </w:rPr>
        <w:t xml:space="preserve">.  </w:t>
      </w:r>
    </w:p>
    <w:p w14:paraId="71204FF4" w14:textId="353DA715" w:rsidR="00C1006E" w:rsidRDefault="00FA65B8" w:rsidP="00D812D8">
      <w:pPr>
        <w:spacing w:before="120" w:line="264" w:lineRule="auto"/>
        <w:jc w:val="both"/>
        <w:rPr>
          <w:rFonts w:asciiTheme="majorHAnsi" w:hAnsiTheme="majorHAnsi"/>
          <w:sz w:val="21"/>
          <w:szCs w:val="21"/>
        </w:rPr>
      </w:pPr>
      <w:r>
        <w:rPr>
          <w:rFonts w:asciiTheme="majorHAnsi" w:hAnsiTheme="majorHAnsi"/>
          <w:sz w:val="21"/>
          <w:szCs w:val="21"/>
        </w:rPr>
        <w:t>Granti i</w:t>
      </w:r>
      <w:r w:rsidR="00C529B4">
        <w:rPr>
          <w:rFonts w:asciiTheme="majorHAnsi" w:hAnsiTheme="majorHAnsi"/>
          <w:sz w:val="21"/>
          <w:szCs w:val="21"/>
        </w:rPr>
        <w:t xml:space="preserve"> </w:t>
      </w:r>
      <w:r w:rsidRPr="004D2E1C">
        <w:rPr>
          <w:rFonts w:asciiTheme="majorHAnsi" w:hAnsiTheme="majorHAnsi"/>
          <w:sz w:val="21"/>
          <w:szCs w:val="21"/>
        </w:rPr>
        <w:t xml:space="preserve">performancës </w:t>
      </w:r>
      <w:r>
        <w:rPr>
          <w:rFonts w:asciiTheme="majorHAnsi" w:hAnsiTheme="majorHAnsi"/>
          <w:sz w:val="21"/>
          <w:szCs w:val="21"/>
        </w:rPr>
        <w:t xml:space="preserve">komunale për vitin </w:t>
      </w:r>
      <w:r w:rsidR="009D4FC5">
        <w:rPr>
          <w:rFonts w:asciiTheme="majorHAnsi" w:hAnsiTheme="majorHAnsi"/>
          <w:sz w:val="21"/>
          <w:szCs w:val="21"/>
        </w:rPr>
        <w:t>202</w:t>
      </w:r>
      <w:r w:rsidR="00622042">
        <w:rPr>
          <w:rFonts w:asciiTheme="majorHAnsi" w:hAnsiTheme="majorHAnsi"/>
          <w:sz w:val="21"/>
          <w:szCs w:val="21"/>
        </w:rPr>
        <w:t>3</w:t>
      </w:r>
      <w:r w:rsidR="009D4FC5">
        <w:rPr>
          <w:rFonts w:asciiTheme="majorHAnsi" w:hAnsiTheme="majorHAnsi"/>
          <w:sz w:val="21"/>
          <w:szCs w:val="21"/>
        </w:rPr>
        <w:t xml:space="preserve"> </w:t>
      </w:r>
      <w:r w:rsidRPr="004D2E1C">
        <w:rPr>
          <w:rFonts w:asciiTheme="majorHAnsi" w:hAnsiTheme="majorHAnsi"/>
          <w:sz w:val="21"/>
          <w:szCs w:val="21"/>
        </w:rPr>
        <w:t>do t’</w:t>
      </w:r>
      <w:r>
        <w:rPr>
          <w:rFonts w:asciiTheme="majorHAnsi" w:hAnsiTheme="majorHAnsi"/>
          <w:sz w:val="21"/>
          <w:szCs w:val="21"/>
        </w:rPr>
        <w:t>i</w:t>
      </w:r>
      <w:r w:rsidRPr="004D2E1C">
        <w:rPr>
          <w:rFonts w:asciiTheme="majorHAnsi" w:hAnsiTheme="majorHAnsi"/>
          <w:sz w:val="21"/>
          <w:szCs w:val="21"/>
        </w:rPr>
        <w:t xml:space="preserve">u ndahen komunave në pajtim me </w:t>
      </w:r>
      <w:r w:rsidR="00C529B4">
        <w:rPr>
          <w:rFonts w:asciiTheme="majorHAnsi" w:hAnsiTheme="majorHAnsi"/>
          <w:sz w:val="21"/>
          <w:szCs w:val="21"/>
        </w:rPr>
        <w:t xml:space="preserve">kriteret e llogaritjes së grantit dhe </w:t>
      </w:r>
      <w:r w:rsidRPr="004D2E1C">
        <w:rPr>
          <w:rFonts w:asciiTheme="majorHAnsi" w:hAnsiTheme="majorHAnsi"/>
          <w:sz w:val="21"/>
          <w:szCs w:val="21"/>
        </w:rPr>
        <w:t xml:space="preserve">pikët </w:t>
      </w:r>
      <w:r>
        <w:rPr>
          <w:rFonts w:asciiTheme="majorHAnsi" w:hAnsiTheme="majorHAnsi"/>
          <w:sz w:val="21"/>
          <w:szCs w:val="21"/>
        </w:rPr>
        <w:t xml:space="preserve">e </w:t>
      </w:r>
      <w:r w:rsidRPr="004D2E1C">
        <w:rPr>
          <w:rFonts w:asciiTheme="majorHAnsi" w:hAnsiTheme="majorHAnsi"/>
          <w:sz w:val="21"/>
          <w:szCs w:val="21"/>
        </w:rPr>
        <w:t xml:space="preserve">arritura në performancën komunale në bazë të një numri treguesish të </w:t>
      </w:r>
      <w:r w:rsidR="00E20F74">
        <w:rPr>
          <w:rFonts w:asciiTheme="majorHAnsi" w:hAnsiTheme="majorHAnsi"/>
          <w:sz w:val="21"/>
          <w:szCs w:val="21"/>
        </w:rPr>
        <w:t xml:space="preserve">shtrirë </w:t>
      </w:r>
      <w:r w:rsidRPr="004D2E1C">
        <w:rPr>
          <w:rFonts w:asciiTheme="majorHAnsi" w:hAnsiTheme="majorHAnsi"/>
          <w:sz w:val="21"/>
          <w:szCs w:val="21"/>
        </w:rPr>
        <w:t>në tri fusha kryesore</w:t>
      </w:r>
      <w:r w:rsidR="00E20F74">
        <w:rPr>
          <w:rFonts w:asciiTheme="majorHAnsi" w:hAnsiTheme="majorHAnsi"/>
          <w:sz w:val="21"/>
          <w:szCs w:val="21"/>
        </w:rPr>
        <w:t xml:space="preserve"> të përmendura si më lartë.</w:t>
      </w:r>
    </w:p>
    <w:p w14:paraId="7FA84377" w14:textId="1F4BECC6" w:rsidR="00FA65B8" w:rsidRPr="003F3536" w:rsidRDefault="006C2C80" w:rsidP="00E20F74">
      <w:pPr>
        <w:spacing w:before="120" w:line="264" w:lineRule="auto"/>
        <w:jc w:val="both"/>
        <w:rPr>
          <w:rFonts w:asciiTheme="majorHAnsi" w:hAnsiTheme="majorHAnsi"/>
          <w:sz w:val="21"/>
          <w:szCs w:val="21"/>
        </w:rPr>
      </w:pPr>
      <w:r>
        <w:rPr>
          <w:rFonts w:asciiTheme="majorHAnsi" w:hAnsiTheme="majorHAnsi"/>
          <w:sz w:val="21"/>
          <w:szCs w:val="21"/>
        </w:rPr>
        <w:t xml:space="preserve">Shuma e </w:t>
      </w:r>
      <w:r w:rsidR="00E20F74">
        <w:rPr>
          <w:rFonts w:asciiTheme="majorHAnsi" w:hAnsiTheme="majorHAnsi"/>
          <w:sz w:val="21"/>
          <w:szCs w:val="21"/>
        </w:rPr>
        <w:t>grant</w:t>
      </w:r>
      <w:r>
        <w:rPr>
          <w:rFonts w:asciiTheme="majorHAnsi" w:hAnsiTheme="majorHAnsi"/>
          <w:sz w:val="21"/>
          <w:szCs w:val="21"/>
        </w:rPr>
        <w:t>it</w:t>
      </w:r>
      <w:r w:rsidR="00E20F74">
        <w:rPr>
          <w:rFonts w:asciiTheme="majorHAnsi" w:hAnsiTheme="majorHAnsi"/>
          <w:sz w:val="21"/>
          <w:szCs w:val="21"/>
        </w:rPr>
        <w:t xml:space="preserve"> </w:t>
      </w:r>
      <w:r w:rsidR="009D4FC5">
        <w:rPr>
          <w:rFonts w:asciiTheme="majorHAnsi" w:hAnsiTheme="majorHAnsi"/>
          <w:sz w:val="21"/>
          <w:szCs w:val="21"/>
        </w:rPr>
        <w:t>n</w:t>
      </w:r>
      <w:r w:rsidR="00164F19">
        <w:rPr>
          <w:rFonts w:asciiTheme="majorHAnsi" w:hAnsiTheme="majorHAnsi"/>
          <w:sz w:val="21"/>
          <w:szCs w:val="21"/>
        </w:rPr>
        <w:t>ë</w:t>
      </w:r>
      <w:r w:rsidR="009D4FC5">
        <w:rPr>
          <w:rFonts w:asciiTheme="majorHAnsi" w:hAnsiTheme="majorHAnsi"/>
          <w:sz w:val="21"/>
          <w:szCs w:val="21"/>
        </w:rPr>
        <w:t xml:space="preserve"> vitin 202</w:t>
      </w:r>
      <w:r w:rsidR="00622042">
        <w:rPr>
          <w:rFonts w:asciiTheme="majorHAnsi" w:hAnsiTheme="majorHAnsi"/>
          <w:sz w:val="21"/>
          <w:szCs w:val="21"/>
        </w:rPr>
        <w:t>3</w:t>
      </w:r>
      <w:r w:rsidR="00E20F74">
        <w:rPr>
          <w:rFonts w:asciiTheme="majorHAnsi" w:hAnsiTheme="majorHAnsi"/>
          <w:sz w:val="21"/>
          <w:szCs w:val="21"/>
        </w:rPr>
        <w:t xml:space="preserve"> </w:t>
      </w:r>
      <w:r w:rsidR="0043034A">
        <w:rPr>
          <w:rFonts w:asciiTheme="majorHAnsi" w:hAnsiTheme="majorHAnsi"/>
          <w:sz w:val="21"/>
          <w:szCs w:val="21"/>
        </w:rPr>
        <w:t xml:space="preserve">pritet të </w:t>
      </w:r>
      <w:r w:rsidR="0043034A" w:rsidRPr="00CD55EA">
        <w:rPr>
          <w:rFonts w:asciiTheme="majorHAnsi" w:hAnsiTheme="majorHAnsi"/>
          <w:sz w:val="21"/>
          <w:szCs w:val="21"/>
        </w:rPr>
        <w:t>jetë rreth</w:t>
      </w:r>
      <w:r w:rsidR="00E20F74" w:rsidRPr="00CD55EA">
        <w:rPr>
          <w:rFonts w:asciiTheme="majorHAnsi" w:hAnsiTheme="majorHAnsi"/>
          <w:sz w:val="21"/>
          <w:szCs w:val="21"/>
        </w:rPr>
        <w:t xml:space="preserve"> </w:t>
      </w:r>
      <w:r w:rsidR="00CD55EA" w:rsidRPr="00CD55EA">
        <w:rPr>
          <w:rFonts w:asciiTheme="majorHAnsi" w:hAnsiTheme="majorHAnsi"/>
          <w:sz w:val="21"/>
          <w:szCs w:val="21"/>
        </w:rPr>
        <w:t>7.</w:t>
      </w:r>
      <w:r w:rsidR="007B7428" w:rsidRPr="00CD55EA">
        <w:rPr>
          <w:rFonts w:asciiTheme="majorHAnsi" w:hAnsiTheme="majorHAnsi"/>
          <w:sz w:val="21"/>
          <w:szCs w:val="21"/>
        </w:rPr>
        <w:t>8</w:t>
      </w:r>
      <w:r w:rsidR="00FA65B8" w:rsidRPr="00CD55EA">
        <w:rPr>
          <w:rFonts w:asciiTheme="majorHAnsi" w:hAnsiTheme="majorHAnsi"/>
          <w:sz w:val="21"/>
          <w:szCs w:val="21"/>
        </w:rPr>
        <w:t xml:space="preserve"> milionë euro. Të</w:t>
      </w:r>
      <w:r w:rsidR="00FA65B8" w:rsidRPr="004C7D52">
        <w:rPr>
          <w:rFonts w:asciiTheme="majorHAnsi" w:hAnsiTheme="majorHAnsi"/>
          <w:sz w:val="21"/>
          <w:szCs w:val="21"/>
        </w:rPr>
        <w:t xml:space="preserve"> gjitha komunat e Kosovës gëzojnë të drejtën e </w:t>
      </w:r>
      <w:r w:rsidR="00FA65B8" w:rsidRPr="003F3536">
        <w:rPr>
          <w:rFonts w:asciiTheme="majorHAnsi" w:hAnsiTheme="majorHAnsi"/>
          <w:sz w:val="21"/>
          <w:szCs w:val="21"/>
        </w:rPr>
        <w:t>pjesëmarrjes në grantin e performancës komunale, sipas kushteve t</w:t>
      </w:r>
      <w:r w:rsidR="00C87181" w:rsidRPr="003F3536">
        <w:rPr>
          <w:rFonts w:asciiTheme="majorHAnsi" w:hAnsiTheme="majorHAnsi"/>
          <w:sz w:val="21"/>
          <w:szCs w:val="21"/>
        </w:rPr>
        <w:t>ë</w:t>
      </w:r>
      <w:r w:rsidR="00FA65B8" w:rsidRPr="003F3536">
        <w:rPr>
          <w:rFonts w:asciiTheme="majorHAnsi" w:hAnsiTheme="majorHAnsi"/>
          <w:sz w:val="21"/>
          <w:szCs w:val="21"/>
        </w:rPr>
        <w:t xml:space="preserve"> p</w:t>
      </w:r>
      <w:r w:rsidR="00C87181" w:rsidRPr="003F3536">
        <w:rPr>
          <w:rFonts w:asciiTheme="majorHAnsi" w:hAnsiTheme="majorHAnsi"/>
          <w:sz w:val="21"/>
          <w:szCs w:val="21"/>
        </w:rPr>
        <w:t>ë</w:t>
      </w:r>
      <w:r w:rsidR="00FA65B8" w:rsidRPr="003F3536">
        <w:rPr>
          <w:rFonts w:asciiTheme="majorHAnsi" w:hAnsiTheme="majorHAnsi"/>
          <w:sz w:val="21"/>
          <w:szCs w:val="21"/>
        </w:rPr>
        <w:t>rcaktuara n</w:t>
      </w:r>
      <w:r w:rsidR="00C87181" w:rsidRPr="003F3536">
        <w:rPr>
          <w:rFonts w:asciiTheme="majorHAnsi" w:hAnsiTheme="majorHAnsi"/>
          <w:sz w:val="21"/>
          <w:szCs w:val="21"/>
        </w:rPr>
        <w:t>ë</w:t>
      </w:r>
      <w:r w:rsidR="00FA65B8" w:rsidRPr="003F3536">
        <w:rPr>
          <w:rFonts w:asciiTheme="majorHAnsi" w:hAnsiTheme="majorHAnsi"/>
          <w:sz w:val="21"/>
          <w:szCs w:val="21"/>
        </w:rPr>
        <w:t xml:space="preserve"> k</w:t>
      </w:r>
      <w:r w:rsidR="00C87181" w:rsidRPr="003F3536">
        <w:rPr>
          <w:rFonts w:asciiTheme="majorHAnsi" w:hAnsiTheme="majorHAnsi"/>
          <w:sz w:val="21"/>
          <w:szCs w:val="21"/>
        </w:rPr>
        <w:t>ë</w:t>
      </w:r>
      <w:r w:rsidR="00FA65B8" w:rsidRPr="003F3536">
        <w:rPr>
          <w:rFonts w:asciiTheme="majorHAnsi" w:hAnsiTheme="majorHAnsi"/>
          <w:sz w:val="21"/>
          <w:szCs w:val="21"/>
        </w:rPr>
        <w:t xml:space="preserve">to rregulla. </w:t>
      </w:r>
      <w:r w:rsidR="00E20F74" w:rsidRPr="003F3536">
        <w:rPr>
          <w:rFonts w:asciiTheme="majorHAnsi" w:hAnsiTheme="majorHAnsi"/>
          <w:sz w:val="21"/>
          <w:szCs w:val="21"/>
        </w:rPr>
        <w:t xml:space="preserve">Granti </w:t>
      </w:r>
      <w:r w:rsidR="0043034A">
        <w:rPr>
          <w:rFonts w:asciiTheme="majorHAnsi" w:hAnsiTheme="majorHAnsi"/>
          <w:sz w:val="21"/>
          <w:szCs w:val="21"/>
        </w:rPr>
        <w:t xml:space="preserve">për vitet 2022-2025 pritet të </w:t>
      </w:r>
      <w:r w:rsidR="00FA65B8" w:rsidRPr="003F3536">
        <w:rPr>
          <w:rFonts w:asciiTheme="majorHAnsi" w:hAnsiTheme="majorHAnsi"/>
          <w:sz w:val="21"/>
          <w:szCs w:val="21"/>
        </w:rPr>
        <w:t>bashkëfinancohet nga Qeveria e Kosovës përfaqësuar nga M</w:t>
      </w:r>
      <w:r w:rsidR="009D4FC5">
        <w:rPr>
          <w:rFonts w:asciiTheme="majorHAnsi" w:hAnsiTheme="majorHAnsi"/>
          <w:sz w:val="21"/>
          <w:szCs w:val="21"/>
        </w:rPr>
        <w:t>A</w:t>
      </w:r>
      <w:r w:rsidR="00FA65B8" w:rsidRPr="003F3536">
        <w:rPr>
          <w:rFonts w:asciiTheme="majorHAnsi" w:hAnsiTheme="majorHAnsi"/>
          <w:sz w:val="21"/>
          <w:szCs w:val="21"/>
        </w:rPr>
        <w:t xml:space="preserve">PL dhe kontributdhënësit si </w:t>
      </w:r>
      <w:r w:rsidR="009D4FC5">
        <w:rPr>
          <w:rFonts w:asciiTheme="majorHAnsi" w:hAnsiTheme="majorHAnsi"/>
          <w:sz w:val="21"/>
          <w:szCs w:val="21"/>
        </w:rPr>
        <w:t xml:space="preserve">BE, </w:t>
      </w:r>
      <w:r w:rsidR="00FA65B8" w:rsidRPr="007B7428">
        <w:rPr>
          <w:rFonts w:asciiTheme="majorHAnsi" w:hAnsiTheme="majorHAnsi"/>
          <w:sz w:val="21"/>
          <w:szCs w:val="21"/>
        </w:rPr>
        <w:t>Suedia</w:t>
      </w:r>
      <w:r w:rsidR="008C2B1A">
        <w:rPr>
          <w:rFonts w:asciiTheme="majorHAnsi" w:hAnsiTheme="majorHAnsi"/>
          <w:sz w:val="21"/>
          <w:szCs w:val="21"/>
        </w:rPr>
        <w:t>, Zvicra</w:t>
      </w:r>
      <w:r w:rsidR="00FA65B8" w:rsidRPr="007B7428">
        <w:rPr>
          <w:rFonts w:asciiTheme="majorHAnsi" w:hAnsiTheme="majorHAnsi"/>
          <w:sz w:val="21"/>
          <w:szCs w:val="21"/>
        </w:rPr>
        <w:t xml:space="preserve"> dhe Norvegjia.</w:t>
      </w:r>
    </w:p>
    <w:p w14:paraId="75313353" w14:textId="1DA7E2F0" w:rsidR="00FA65B8" w:rsidRDefault="00FA65B8" w:rsidP="00E20F74">
      <w:pPr>
        <w:spacing w:before="120" w:line="264" w:lineRule="auto"/>
        <w:jc w:val="both"/>
        <w:rPr>
          <w:rFonts w:asciiTheme="majorHAnsi" w:hAnsiTheme="majorHAnsi"/>
          <w:sz w:val="21"/>
          <w:szCs w:val="21"/>
        </w:rPr>
      </w:pPr>
      <w:r w:rsidRPr="003F3536">
        <w:rPr>
          <w:rFonts w:asciiTheme="majorHAnsi" w:hAnsiTheme="majorHAnsi"/>
          <w:sz w:val="21"/>
          <w:szCs w:val="21"/>
        </w:rPr>
        <w:t>Granti i performancës komunale (GPK</w:t>
      </w:r>
      <w:r>
        <w:rPr>
          <w:rFonts w:asciiTheme="majorHAnsi" w:hAnsiTheme="majorHAnsi"/>
          <w:sz w:val="21"/>
          <w:szCs w:val="21"/>
        </w:rPr>
        <w:t>) ka për qëllim të nxi</w:t>
      </w:r>
      <w:r w:rsidR="009D4FC5">
        <w:rPr>
          <w:rFonts w:asciiTheme="majorHAnsi" w:hAnsiTheme="majorHAnsi"/>
          <w:sz w:val="21"/>
          <w:szCs w:val="21"/>
        </w:rPr>
        <w:t>s</w:t>
      </w:r>
      <w:r w:rsidR="00D760F9">
        <w:rPr>
          <w:rFonts w:asciiTheme="majorHAnsi" w:hAnsiTheme="majorHAnsi"/>
          <w:sz w:val="21"/>
          <w:szCs w:val="21"/>
        </w:rPr>
        <w:t>ë</w:t>
      </w:r>
      <w:r w:rsidRPr="004D2E1C">
        <w:rPr>
          <w:rFonts w:asciiTheme="majorHAnsi" w:hAnsiTheme="majorHAnsi"/>
          <w:sz w:val="21"/>
          <w:szCs w:val="21"/>
        </w:rPr>
        <w:t xml:space="preserve"> konkurrencën ndërmjet komunave</w:t>
      </w:r>
      <w:r w:rsidR="00D760F9">
        <w:rPr>
          <w:rFonts w:asciiTheme="majorHAnsi" w:hAnsiTheme="majorHAnsi"/>
          <w:sz w:val="21"/>
          <w:szCs w:val="21"/>
        </w:rPr>
        <w:t>,</w:t>
      </w:r>
      <w:r w:rsidRPr="004D2E1C">
        <w:rPr>
          <w:rFonts w:asciiTheme="majorHAnsi" w:hAnsiTheme="majorHAnsi"/>
          <w:sz w:val="21"/>
          <w:szCs w:val="21"/>
        </w:rPr>
        <w:t xml:space="preserve"> duke </w:t>
      </w:r>
      <w:r w:rsidR="003D259D">
        <w:rPr>
          <w:rFonts w:asciiTheme="majorHAnsi" w:hAnsiTheme="majorHAnsi"/>
          <w:sz w:val="21"/>
          <w:szCs w:val="21"/>
        </w:rPr>
        <w:t>ndjekur parimin që performanca më e mir</w:t>
      </w:r>
      <w:r w:rsidR="008C7B70">
        <w:rPr>
          <w:rFonts w:asciiTheme="majorHAnsi" w:hAnsiTheme="majorHAnsi"/>
          <w:sz w:val="21"/>
          <w:szCs w:val="21"/>
        </w:rPr>
        <w:t>ë</w:t>
      </w:r>
      <w:r w:rsidR="003D259D">
        <w:rPr>
          <w:rFonts w:asciiTheme="majorHAnsi" w:hAnsiTheme="majorHAnsi"/>
          <w:sz w:val="21"/>
          <w:szCs w:val="21"/>
        </w:rPr>
        <w:t xml:space="preserve"> të shoqërohet me vlerë më të madhe të grantit. Së këndejmi, </w:t>
      </w:r>
      <w:r>
        <w:rPr>
          <w:rFonts w:asciiTheme="majorHAnsi" w:hAnsiTheme="majorHAnsi"/>
          <w:sz w:val="21"/>
          <w:szCs w:val="21"/>
        </w:rPr>
        <w:t>GPK</w:t>
      </w:r>
      <w:r w:rsidRPr="006F2136">
        <w:rPr>
          <w:rFonts w:asciiTheme="majorHAnsi" w:hAnsiTheme="majorHAnsi"/>
          <w:sz w:val="21"/>
          <w:szCs w:val="21"/>
        </w:rPr>
        <w:t xml:space="preserve"> </w:t>
      </w:r>
      <w:r>
        <w:rPr>
          <w:rFonts w:asciiTheme="majorHAnsi" w:hAnsiTheme="majorHAnsi"/>
          <w:sz w:val="21"/>
          <w:szCs w:val="21"/>
        </w:rPr>
        <w:t>synon t</w:t>
      </w:r>
      <w:r w:rsidR="00C87181">
        <w:rPr>
          <w:rFonts w:asciiTheme="majorHAnsi" w:hAnsiTheme="majorHAnsi"/>
          <w:sz w:val="21"/>
          <w:szCs w:val="21"/>
        </w:rPr>
        <w:t>ë</w:t>
      </w:r>
      <w:r>
        <w:rPr>
          <w:rFonts w:asciiTheme="majorHAnsi" w:hAnsiTheme="majorHAnsi"/>
          <w:sz w:val="21"/>
          <w:szCs w:val="21"/>
        </w:rPr>
        <w:t xml:space="preserve"> p</w:t>
      </w:r>
      <w:r w:rsidR="00C87181">
        <w:rPr>
          <w:rFonts w:asciiTheme="majorHAnsi" w:hAnsiTheme="majorHAnsi"/>
          <w:sz w:val="21"/>
          <w:szCs w:val="21"/>
        </w:rPr>
        <w:t>ë</w:t>
      </w:r>
      <w:r>
        <w:rPr>
          <w:rFonts w:asciiTheme="majorHAnsi" w:hAnsiTheme="majorHAnsi"/>
          <w:sz w:val="21"/>
          <w:szCs w:val="21"/>
        </w:rPr>
        <w:t>rkr</w:t>
      </w:r>
      <w:r w:rsidR="008C7B70">
        <w:rPr>
          <w:rFonts w:asciiTheme="majorHAnsi" w:hAnsiTheme="majorHAnsi"/>
          <w:sz w:val="21"/>
          <w:szCs w:val="21"/>
        </w:rPr>
        <w:t>a</w:t>
      </w:r>
      <w:r>
        <w:rPr>
          <w:rFonts w:asciiTheme="majorHAnsi" w:hAnsiTheme="majorHAnsi"/>
          <w:sz w:val="21"/>
          <w:szCs w:val="21"/>
        </w:rPr>
        <w:t>h</w:t>
      </w:r>
      <w:r w:rsidR="008C7B70">
        <w:rPr>
          <w:rFonts w:asciiTheme="majorHAnsi" w:hAnsiTheme="majorHAnsi"/>
          <w:sz w:val="21"/>
          <w:szCs w:val="21"/>
        </w:rPr>
        <w:t>ë</w:t>
      </w:r>
      <w:r>
        <w:rPr>
          <w:rFonts w:asciiTheme="majorHAnsi" w:hAnsiTheme="majorHAnsi"/>
          <w:sz w:val="21"/>
          <w:szCs w:val="21"/>
        </w:rPr>
        <w:t xml:space="preserve"> </w:t>
      </w:r>
      <w:r w:rsidRPr="006F2136">
        <w:rPr>
          <w:rFonts w:asciiTheme="majorHAnsi" w:hAnsiTheme="majorHAnsi"/>
          <w:sz w:val="21"/>
          <w:szCs w:val="21"/>
        </w:rPr>
        <w:t>komunat në dy mënyra</w:t>
      </w:r>
      <w:r>
        <w:rPr>
          <w:rFonts w:asciiTheme="majorHAnsi" w:hAnsiTheme="majorHAnsi"/>
          <w:sz w:val="21"/>
          <w:szCs w:val="21"/>
        </w:rPr>
        <w:t>:</w:t>
      </w:r>
      <w:r w:rsidRPr="006F2136">
        <w:rPr>
          <w:rFonts w:asciiTheme="majorHAnsi" w:hAnsiTheme="majorHAnsi"/>
          <w:sz w:val="21"/>
          <w:szCs w:val="21"/>
        </w:rPr>
        <w:t xml:space="preserve"> </w:t>
      </w:r>
      <w:r w:rsidR="00E72954">
        <w:rPr>
          <w:rFonts w:asciiTheme="majorHAnsi" w:hAnsiTheme="majorHAnsi"/>
          <w:sz w:val="21"/>
          <w:szCs w:val="21"/>
        </w:rPr>
        <w:t>s</w:t>
      </w:r>
      <w:r w:rsidRPr="006F2136">
        <w:rPr>
          <w:rFonts w:asciiTheme="majorHAnsi" w:hAnsiTheme="majorHAnsi"/>
          <w:sz w:val="21"/>
          <w:szCs w:val="21"/>
        </w:rPr>
        <w:t>ë pari, duke e inkurajuar pajtueshmërinë komunale me standardet minimale ligjore (standardet themelore)</w:t>
      </w:r>
      <w:r>
        <w:rPr>
          <w:rFonts w:asciiTheme="majorHAnsi" w:hAnsiTheme="majorHAnsi"/>
          <w:sz w:val="21"/>
          <w:szCs w:val="21"/>
        </w:rPr>
        <w:t>;</w:t>
      </w:r>
      <w:r w:rsidRPr="006F2136">
        <w:rPr>
          <w:rFonts w:asciiTheme="majorHAnsi" w:hAnsiTheme="majorHAnsi"/>
          <w:sz w:val="21"/>
          <w:szCs w:val="21"/>
        </w:rPr>
        <w:t xml:space="preserve"> </w:t>
      </w:r>
      <w:r w:rsidR="00E72954">
        <w:rPr>
          <w:rFonts w:asciiTheme="majorHAnsi" w:hAnsiTheme="majorHAnsi"/>
          <w:sz w:val="21"/>
          <w:szCs w:val="21"/>
        </w:rPr>
        <w:t>s</w:t>
      </w:r>
      <w:r w:rsidRPr="006F2136">
        <w:rPr>
          <w:rFonts w:asciiTheme="majorHAnsi" w:hAnsiTheme="majorHAnsi"/>
          <w:sz w:val="21"/>
          <w:szCs w:val="21"/>
        </w:rPr>
        <w:t xml:space="preserve">ë dyti, </w:t>
      </w:r>
      <w:r>
        <w:rPr>
          <w:rFonts w:asciiTheme="majorHAnsi" w:hAnsiTheme="majorHAnsi"/>
          <w:sz w:val="21"/>
          <w:szCs w:val="21"/>
        </w:rPr>
        <w:t xml:space="preserve">duke stimuluar </w:t>
      </w:r>
      <w:r w:rsidRPr="006F2136">
        <w:rPr>
          <w:rFonts w:asciiTheme="majorHAnsi" w:hAnsiTheme="majorHAnsi"/>
          <w:sz w:val="21"/>
          <w:szCs w:val="21"/>
        </w:rPr>
        <w:t xml:space="preserve">performancën ‘reale’ që shkon përtej </w:t>
      </w:r>
      <w:r>
        <w:rPr>
          <w:rFonts w:asciiTheme="majorHAnsi" w:hAnsiTheme="majorHAnsi"/>
          <w:sz w:val="21"/>
          <w:szCs w:val="21"/>
        </w:rPr>
        <w:t xml:space="preserve">kërkesave </w:t>
      </w:r>
      <w:r w:rsidRPr="006F2136">
        <w:rPr>
          <w:rFonts w:asciiTheme="majorHAnsi" w:hAnsiTheme="majorHAnsi"/>
          <w:sz w:val="21"/>
          <w:szCs w:val="21"/>
        </w:rPr>
        <w:t>ligjore (‘të detyrueshme’).</w:t>
      </w:r>
      <w:r w:rsidRPr="004D2E1C">
        <w:rPr>
          <w:rFonts w:asciiTheme="majorHAnsi" w:hAnsiTheme="majorHAnsi"/>
          <w:sz w:val="21"/>
          <w:szCs w:val="21"/>
        </w:rPr>
        <w:t xml:space="preserve"> </w:t>
      </w:r>
      <w:r w:rsidR="00D760F9">
        <w:rPr>
          <w:rFonts w:asciiTheme="majorHAnsi" w:hAnsiTheme="majorHAnsi"/>
          <w:sz w:val="21"/>
          <w:szCs w:val="21"/>
        </w:rPr>
        <w:t xml:space="preserve"> </w:t>
      </w:r>
    </w:p>
    <w:p w14:paraId="7B8AE42B" w14:textId="77777777" w:rsidR="00FA65B8" w:rsidRPr="0015163A" w:rsidRDefault="00FA65B8" w:rsidP="00520FCA">
      <w:pPr>
        <w:spacing w:before="120" w:line="264" w:lineRule="auto"/>
        <w:jc w:val="both"/>
        <w:rPr>
          <w:rFonts w:asciiTheme="majorHAnsi" w:hAnsiTheme="majorHAnsi"/>
          <w:sz w:val="21"/>
          <w:szCs w:val="21"/>
        </w:rPr>
      </w:pPr>
      <w:r>
        <w:rPr>
          <w:rFonts w:asciiTheme="majorHAnsi" w:hAnsiTheme="majorHAnsi"/>
          <w:sz w:val="21"/>
          <w:szCs w:val="21"/>
        </w:rPr>
        <w:t>GPK</w:t>
      </w:r>
      <w:r w:rsidRPr="0015163A">
        <w:rPr>
          <w:rFonts w:asciiTheme="majorHAnsi" w:hAnsiTheme="majorHAnsi"/>
          <w:sz w:val="21"/>
          <w:szCs w:val="21"/>
        </w:rPr>
        <w:t xml:space="preserve"> bazohet në parimet e mëposhtme: </w:t>
      </w:r>
    </w:p>
    <w:p w14:paraId="1A6050EA" w14:textId="77777777" w:rsidR="00FA65B8" w:rsidRPr="00EB11DB" w:rsidRDefault="00FA65B8" w:rsidP="009A3BEC">
      <w:pPr>
        <w:pStyle w:val="ListParagraph"/>
        <w:numPr>
          <w:ilvl w:val="0"/>
          <w:numId w:val="30"/>
        </w:numPr>
        <w:spacing w:before="120" w:line="264" w:lineRule="auto"/>
        <w:jc w:val="both"/>
        <w:rPr>
          <w:rFonts w:asciiTheme="majorHAnsi" w:hAnsiTheme="majorHAnsi"/>
          <w:sz w:val="21"/>
          <w:szCs w:val="21"/>
        </w:rPr>
      </w:pPr>
      <w:r w:rsidRPr="00EB11DB">
        <w:rPr>
          <w:rFonts w:asciiTheme="majorHAnsi" w:hAnsiTheme="majorHAnsi"/>
          <w:sz w:val="21"/>
          <w:szCs w:val="21"/>
        </w:rPr>
        <w:t xml:space="preserve">Komunat duhet të plotësojnë një numër kushtesh minimale që të mund të kualifikohen për grant në baza vjetore; </w:t>
      </w:r>
    </w:p>
    <w:p w14:paraId="7C0CEE41" w14:textId="77777777" w:rsidR="00FA65B8" w:rsidRPr="0085588B" w:rsidRDefault="00FA65B8" w:rsidP="009A3BEC">
      <w:pPr>
        <w:pStyle w:val="ListParagraph"/>
        <w:numPr>
          <w:ilvl w:val="0"/>
          <w:numId w:val="30"/>
        </w:numPr>
        <w:spacing w:before="120" w:line="264" w:lineRule="auto"/>
        <w:jc w:val="both"/>
        <w:rPr>
          <w:rFonts w:asciiTheme="majorHAnsi" w:hAnsiTheme="majorHAnsi"/>
          <w:color w:val="000000" w:themeColor="text1"/>
          <w:sz w:val="21"/>
          <w:szCs w:val="21"/>
        </w:rPr>
      </w:pPr>
      <w:r w:rsidRPr="00EB11DB">
        <w:rPr>
          <w:rFonts w:asciiTheme="majorHAnsi" w:hAnsiTheme="majorHAnsi"/>
          <w:sz w:val="21"/>
          <w:szCs w:val="21"/>
        </w:rPr>
        <w:t xml:space="preserve">Për të gjitha komunat që kanë plotësuar kushtet minimale, shuma e grantit që merr secila komunë bazohet në performancën e arritur në treguesit e performancës në krahasim me performancën e të gjitha </w:t>
      </w:r>
      <w:r w:rsidRPr="0085588B">
        <w:rPr>
          <w:rFonts w:asciiTheme="majorHAnsi" w:hAnsiTheme="majorHAnsi"/>
          <w:color w:val="000000" w:themeColor="text1"/>
          <w:sz w:val="21"/>
          <w:szCs w:val="21"/>
        </w:rPr>
        <w:t>komunave të tjera</w:t>
      </w:r>
      <w:r w:rsidR="00233801" w:rsidRPr="0085588B">
        <w:rPr>
          <w:rFonts w:asciiTheme="majorHAnsi" w:hAnsiTheme="majorHAnsi"/>
          <w:color w:val="000000" w:themeColor="text1"/>
          <w:sz w:val="21"/>
          <w:szCs w:val="21"/>
        </w:rPr>
        <w:t xml:space="preserve">, si dhe </w:t>
      </w:r>
      <w:r w:rsidR="00043792" w:rsidRPr="0085588B">
        <w:rPr>
          <w:rFonts w:asciiTheme="majorHAnsi" w:hAnsiTheme="majorHAnsi"/>
          <w:color w:val="000000" w:themeColor="text1"/>
          <w:sz w:val="21"/>
          <w:szCs w:val="21"/>
        </w:rPr>
        <w:t xml:space="preserve">elemente </w:t>
      </w:r>
      <w:r w:rsidR="008D6609" w:rsidRPr="0085588B">
        <w:rPr>
          <w:rFonts w:asciiTheme="majorHAnsi" w:hAnsiTheme="majorHAnsi"/>
          <w:color w:val="000000" w:themeColor="text1"/>
          <w:sz w:val="21"/>
          <w:szCs w:val="21"/>
        </w:rPr>
        <w:t>të tjer</w:t>
      </w:r>
      <w:r w:rsidR="00043792" w:rsidRPr="0085588B">
        <w:rPr>
          <w:rFonts w:asciiTheme="majorHAnsi" w:hAnsiTheme="majorHAnsi"/>
          <w:color w:val="000000" w:themeColor="text1"/>
          <w:sz w:val="21"/>
          <w:szCs w:val="21"/>
        </w:rPr>
        <w:t>a</w:t>
      </w:r>
      <w:r w:rsidR="008D6609" w:rsidRPr="0085588B">
        <w:rPr>
          <w:rFonts w:asciiTheme="majorHAnsi" w:hAnsiTheme="majorHAnsi"/>
          <w:color w:val="000000" w:themeColor="text1"/>
          <w:sz w:val="21"/>
          <w:szCs w:val="21"/>
        </w:rPr>
        <w:t xml:space="preserve"> të</w:t>
      </w:r>
      <w:r w:rsidRPr="0085588B">
        <w:rPr>
          <w:rFonts w:asciiTheme="majorHAnsi" w:hAnsiTheme="majorHAnsi"/>
          <w:color w:val="000000" w:themeColor="text1"/>
          <w:sz w:val="21"/>
          <w:szCs w:val="21"/>
        </w:rPr>
        <w:t xml:space="preserve"> </w:t>
      </w:r>
      <w:r w:rsidR="00043792" w:rsidRPr="0085588B">
        <w:rPr>
          <w:rFonts w:asciiTheme="majorHAnsi" w:hAnsiTheme="majorHAnsi"/>
          <w:color w:val="000000" w:themeColor="text1"/>
          <w:sz w:val="21"/>
          <w:szCs w:val="21"/>
        </w:rPr>
        <w:t xml:space="preserve">kritereve të vlerësimit </w:t>
      </w:r>
      <w:r w:rsidR="000944F5" w:rsidRPr="0085588B">
        <w:rPr>
          <w:rFonts w:asciiTheme="majorHAnsi" w:hAnsiTheme="majorHAnsi"/>
          <w:color w:val="000000" w:themeColor="text1"/>
          <w:sz w:val="21"/>
          <w:szCs w:val="21"/>
        </w:rPr>
        <w:t>si</w:t>
      </w:r>
      <w:r w:rsidR="000E66FE" w:rsidRPr="0085588B">
        <w:rPr>
          <w:rFonts w:asciiTheme="majorHAnsi" w:hAnsiTheme="majorHAnsi"/>
          <w:color w:val="000000" w:themeColor="text1"/>
          <w:sz w:val="21"/>
          <w:szCs w:val="21"/>
        </w:rPr>
        <w:t>ç përcaktohet në këto rregulla</w:t>
      </w:r>
      <w:r w:rsidR="00A16CA9" w:rsidRPr="0085588B">
        <w:rPr>
          <w:rFonts w:asciiTheme="majorHAnsi" w:hAnsiTheme="majorHAnsi"/>
          <w:color w:val="000000" w:themeColor="text1"/>
          <w:sz w:val="21"/>
          <w:szCs w:val="21"/>
        </w:rPr>
        <w:t>.</w:t>
      </w:r>
    </w:p>
    <w:p w14:paraId="171D3E3C" w14:textId="28C366B2" w:rsidR="00FA65B8" w:rsidRPr="004D2E1C" w:rsidRDefault="00FA65B8" w:rsidP="00520FCA">
      <w:pPr>
        <w:spacing w:before="120" w:line="264" w:lineRule="auto"/>
        <w:jc w:val="both"/>
        <w:rPr>
          <w:rFonts w:asciiTheme="majorHAnsi" w:hAnsiTheme="majorHAnsi"/>
          <w:sz w:val="21"/>
          <w:szCs w:val="21"/>
        </w:rPr>
      </w:pPr>
      <w:r w:rsidRPr="004D2E1C">
        <w:rPr>
          <w:rFonts w:asciiTheme="majorHAnsi" w:hAnsiTheme="majorHAnsi"/>
          <w:sz w:val="21"/>
          <w:szCs w:val="21"/>
        </w:rPr>
        <w:t xml:space="preserve">Pasi </w:t>
      </w:r>
      <w:r>
        <w:rPr>
          <w:rFonts w:asciiTheme="majorHAnsi" w:hAnsiTheme="majorHAnsi"/>
          <w:sz w:val="21"/>
          <w:szCs w:val="21"/>
        </w:rPr>
        <w:t xml:space="preserve">që </w:t>
      </w:r>
      <w:r w:rsidRPr="004D2E1C">
        <w:rPr>
          <w:rFonts w:asciiTheme="majorHAnsi" w:hAnsiTheme="majorHAnsi"/>
          <w:sz w:val="21"/>
          <w:szCs w:val="21"/>
        </w:rPr>
        <w:t xml:space="preserve">komunat të </w:t>
      </w:r>
      <w:r>
        <w:rPr>
          <w:rFonts w:asciiTheme="majorHAnsi" w:hAnsiTheme="majorHAnsi"/>
          <w:sz w:val="21"/>
          <w:szCs w:val="21"/>
        </w:rPr>
        <w:t>kualifikohen</w:t>
      </w:r>
      <w:r w:rsidRPr="004D2E1C">
        <w:rPr>
          <w:rFonts w:asciiTheme="majorHAnsi" w:hAnsiTheme="majorHAnsi"/>
          <w:sz w:val="21"/>
          <w:szCs w:val="21"/>
        </w:rPr>
        <w:t xml:space="preserve">, </w:t>
      </w:r>
      <w:r w:rsidR="10DB1433" w:rsidRPr="7D684930">
        <w:rPr>
          <w:rFonts w:asciiTheme="majorHAnsi" w:hAnsiTheme="majorHAnsi"/>
          <w:sz w:val="21"/>
          <w:szCs w:val="21"/>
        </w:rPr>
        <w:t>lart</w:t>
      </w:r>
      <w:r w:rsidR="00164F19">
        <w:rPr>
          <w:rFonts w:asciiTheme="majorHAnsi" w:hAnsiTheme="majorHAnsi"/>
          <w:sz w:val="21"/>
          <w:szCs w:val="21"/>
        </w:rPr>
        <w:t>ë</w:t>
      </w:r>
      <w:r w:rsidR="10DB1433" w:rsidRPr="7D684930">
        <w:rPr>
          <w:rFonts w:asciiTheme="majorHAnsi" w:hAnsiTheme="majorHAnsi"/>
          <w:sz w:val="21"/>
          <w:szCs w:val="21"/>
        </w:rPr>
        <w:t>sia</w:t>
      </w:r>
      <w:r w:rsidR="009504E1" w:rsidRPr="004D2E1C">
        <w:rPr>
          <w:rFonts w:asciiTheme="majorHAnsi" w:hAnsiTheme="majorHAnsi"/>
          <w:sz w:val="21"/>
          <w:szCs w:val="21"/>
        </w:rPr>
        <w:t xml:space="preserve"> </w:t>
      </w:r>
      <w:r w:rsidRPr="004D2E1C">
        <w:rPr>
          <w:rFonts w:asciiTheme="majorHAnsi" w:hAnsiTheme="majorHAnsi"/>
          <w:sz w:val="21"/>
          <w:szCs w:val="21"/>
        </w:rPr>
        <w:t xml:space="preserve">e grantit do të përcaktohet nga pikët (rezultati) relative të </w:t>
      </w:r>
      <w:r w:rsidR="00A27516">
        <w:rPr>
          <w:rFonts w:asciiTheme="majorHAnsi" w:hAnsiTheme="majorHAnsi"/>
          <w:sz w:val="21"/>
          <w:szCs w:val="21"/>
        </w:rPr>
        <w:t xml:space="preserve">fituara </w:t>
      </w:r>
      <w:r w:rsidRPr="004D2E1C">
        <w:rPr>
          <w:rFonts w:asciiTheme="majorHAnsi" w:hAnsiTheme="majorHAnsi"/>
          <w:sz w:val="21"/>
          <w:szCs w:val="21"/>
        </w:rPr>
        <w:t>në treguesi</w:t>
      </w:r>
      <w:r w:rsidR="00A27516">
        <w:rPr>
          <w:rFonts w:asciiTheme="majorHAnsi" w:hAnsiTheme="majorHAnsi"/>
          <w:sz w:val="21"/>
          <w:szCs w:val="21"/>
        </w:rPr>
        <w:t>t</w:t>
      </w:r>
      <w:r w:rsidRPr="004D2E1C">
        <w:rPr>
          <w:rFonts w:asciiTheme="majorHAnsi" w:hAnsiTheme="majorHAnsi"/>
          <w:sz w:val="21"/>
          <w:szCs w:val="21"/>
        </w:rPr>
        <w:t xml:space="preserve"> </w:t>
      </w:r>
      <w:r w:rsidR="00A27516">
        <w:rPr>
          <w:rFonts w:asciiTheme="majorHAnsi" w:hAnsiTheme="majorHAnsi"/>
          <w:sz w:val="21"/>
          <w:szCs w:val="21"/>
        </w:rPr>
        <w:t xml:space="preserve">e </w:t>
      </w:r>
      <w:r w:rsidRPr="004D2E1C">
        <w:rPr>
          <w:rFonts w:asciiTheme="majorHAnsi" w:hAnsiTheme="majorHAnsi"/>
          <w:sz w:val="21"/>
          <w:szCs w:val="21"/>
        </w:rPr>
        <w:t>performancës. Treguesit janë pasqyrim i objektivave të politikave të qeverisë</w:t>
      </w:r>
      <w:r w:rsidR="00A27516">
        <w:rPr>
          <w:rFonts w:asciiTheme="majorHAnsi" w:hAnsiTheme="majorHAnsi"/>
          <w:sz w:val="21"/>
          <w:szCs w:val="21"/>
        </w:rPr>
        <w:t>,</w:t>
      </w:r>
      <w:r w:rsidRPr="004D2E1C">
        <w:rPr>
          <w:rFonts w:asciiTheme="majorHAnsi" w:hAnsiTheme="majorHAnsi"/>
          <w:sz w:val="21"/>
          <w:szCs w:val="21"/>
        </w:rPr>
        <w:t xml:space="preserve"> që synojnë realizimin e vizionit të </w:t>
      </w:r>
      <w:r>
        <w:rPr>
          <w:rFonts w:asciiTheme="majorHAnsi" w:hAnsiTheme="majorHAnsi"/>
          <w:sz w:val="21"/>
          <w:szCs w:val="21"/>
        </w:rPr>
        <w:t xml:space="preserve">përgjithshëm të </w:t>
      </w:r>
      <w:r w:rsidRPr="004D2E1C">
        <w:rPr>
          <w:rFonts w:asciiTheme="majorHAnsi" w:hAnsiTheme="majorHAnsi"/>
          <w:sz w:val="21"/>
          <w:szCs w:val="21"/>
        </w:rPr>
        <w:t>komunave si ‘</w:t>
      </w:r>
      <w:r w:rsidRPr="004D2E1C">
        <w:rPr>
          <w:rFonts w:asciiTheme="majorHAnsi" w:hAnsiTheme="majorHAnsi"/>
          <w:i/>
          <w:sz w:val="21"/>
          <w:szCs w:val="21"/>
        </w:rPr>
        <w:t xml:space="preserve">institucione demokratike vibrante të qeverisjes lokale që ofrojnë shërbime cilësore </w:t>
      </w:r>
      <w:r>
        <w:rPr>
          <w:rFonts w:asciiTheme="majorHAnsi" w:hAnsiTheme="majorHAnsi"/>
          <w:i/>
          <w:sz w:val="21"/>
          <w:szCs w:val="21"/>
        </w:rPr>
        <w:t>dhe u p</w:t>
      </w:r>
      <w:r w:rsidR="00C87181">
        <w:rPr>
          <w:rFonts w:asciiTheme="majorHAnsi" w:hAnsiTheme="majorHAnsi"/>
          <w:i/>
          <w:sz w:val="21"/>
          <w:szCs w:val="21"/>
        </w:rPr>
        <w:t>ë</w:t>
      </w:r>
      <w:r>
        <w:rPr>
          <w:rFonts w:asciiTheme="majorHAnsi" w:hAnsiTheme="majorHAnsi"/>
          <w:i/>
          <w:sz w:val="21"/>
          <w:szCs w:val="21"/>
        </w:rPr>
        <w:t xml:space="preserve">rgjigjen </w:t>
      </w:r>
      <w:r w:rsidRPr="004D2E1C">
        <w:rPr>
          <w:rFonts w:asciiTheme="majorHAnsi" w:hAnsiTheme="majorHAnsi"/>
          <w:i/>
          <w:sz w:val="21"/>
          <w:szCs w:val="21"/>
        </w:rPr>
        <w:t xml:space="preserve">nevojave dhe prioriteteve të qytetarëve’. </w:t>
      </w:r>
    </w:p>
    <w:p w14:paraId="57E938C5" w14:textId="77777777" w:rsidR="00FA65B8" w:rsidRPr="004D2E1C" w:rsidRDefault="00FA65B8" w:rsidP="00A27516">
      <w:pPr>
        <w:spacing w:before="120" w:line="264" w:lineRule="auto"/>
        <w:jc w:val="both"/>
        <w:rPr>
          <w:rFonts w:asciiTheme="majorHAnsi" w:hAnsiTheme="majorHAnsi"/>
          <w:sz w:val="21"/>
          <w:szCs w:val="21"/>
        </w:rPr>
      </w:pPr>
      <w:r w:rsidRPr="004D2E1C">
        <w:rPr>
          <w:rFonts w:asciiTheme="majorHAnsi" w:hAnsiTheme="majorHAnsi"/>
          <w:sz w:val="21"/>
          <w:szCs w:val="21"/>
        </w:rPr>
        <w:t>Ky dokument përcakton kontekstin, objektivat</w:t>
      </w:r>
      <w:r w:rsidR="00362188">
        <w:rPr>
          <w:rFonts w:asciiTheme="majorHAnsi" w:hAnsiTheme="majorHAnsi"/>
          <w:sz w:val="21"/>
          <w:szCs w:val="21"/>
        </w:rPr>
        <w:t xml:space="preserve">, </w:t>
      </w:r>
      <w:r w:rsidRPr="004D2E1C">
        <w:rPr>
          <w:rFonts w:asciiTheme="majorHAnsi" w:hAnsiTheme="majorHAnsi"/>
          <w:sz w:val="21"/>
          <w:szCs w:val="21"/>
        </w:rPr>
        <w:t>rregullat</w:t>
      </w:r>
      <w:r w:rsidR="00362188">
        <w:rPr>
          <w:rFonts w:asciiTheme="majorHAnsi" w:hAnsiTheme="majorHAnsi"/>
          <w:sz w:val="21"/>
          <w:szCs w:val="21"/>
        </w:rPr>
        <w:t xml:space="preserve">, kriteret dhe procedurat </w:t>
      </w:r>
      <w:r w:rsidRPr="004D2E1C">
        <w:rPr>
          <w:rFonts w:asciiTheme="majorHAnsi" w:hAnsiTheme="majorHAnsi"/>
          <w:sz w:val="21"/>
          <w:szCs w:val="21"/>
        </w:rPr>
        <w:t xml:space="preserve">për </w:t>
      </w:r>
      <w:r w:rsidR="00362188">
        <w:rPr>
          <w:rFonts w:asciiTheme="majorHAnsi" w:hAnsiTheme="majorHAnsi"/>
          <w:sz w:val="21"/>
          <w:szCs w:val="21"/>
        </w:rPr>
        <w:t xml:space="preserve">vlerësimin dhe ndarjen e </w:t>
      </w:r>
      <w:r w:rsidRPr="004D2E1C">
        <w:rPr>
          <w:rFonts w:asciiTheme="majorHAnsi" w:hAnsiTheme="majorHAnsi"/>
          <w:sz w:val="21"/>
          <w:szCs w:val="21"/>
        </w:rPr>
        <w:t>granti</w:t>
      </w:r>
      <w:r w:rsidR="00362188">
        <w:rPr>
          <w:rFonts w:asciiTheme="majorHAnsi" w:hAnsiTheme="majorHAnsi"/>
          <w:sz w:val="21"/>
          <w:szCs w:val="21"/>
        </w:rPr>
        <w:t>t</w:t>
      </w:r>
      <w:r w:rsidRPr="004D2E1C">
        <w:rPr>
          <w:rFonts w:asciiTheme="majorHAnsi" w:hAnsiTheme="majorHAnsi"/>
          <w:sz w:val="21"/>
          <w:szCs w:val="21"/>
        </w:rPr>
        <w:t xml:space="preserve"> </w:t>
      </w:r>
      <w:r w:rsidR="00362188">
        <w:rPr>
          <w:rFonts w:asciiTheme="majorHAnsi" w:hAnsiTheme="majorHAnsi"/>
          <w:sz w:val="21"/>
          <w:szCs w:val="21"/>
        </w:rPr>
        <w:t>të</w:t>
      </w:r>
      <w:r w:rsidRPr="004D2E1C">
        <w:rPr>
          <w:rFonts w:asciiTheme="majorHAnsi" w:hAnsiTheme="majorHAnsi"/>
          <w:sz w:val="21"/>
          <w:szCs w:val="21"/>
        </w:rPr>
        <w:t xml:space="preserve"> performancës</w:t>
      </w:r>
      <w:r>
        <w:rPr>
          <w:rFonts w:asciiTheme="majorHAnsi" w:hAnsiTheme="majorHAnsi"/>
          <w:sz w:val="21"/>
          <w:szCs w:val="21"/>
        </w:rPr>
        <w:t xml:space="preserve"> komunale</w:t>
      </w:r>
      <w:r w:rsidRPr="004D2E1C">
        <w:rPr>
          <w:rFonts w:asciiTheme="majorHAnsi" w:hAnsiTheme="majorHAnsi"/>
          <w:sz w:val="21"/>
          <w:szCs w:val="21"/>
        </w:rPr>
        <w:t xml:space="preserve">. </w:t>
      </w:r>
    </w:p>
    <w:p w14:paraId="2933C784" w14:textId="77777777" w:rsidR="000D6CE5" w:rsidRPr="004D2E1C" w:rsidRDefault="00FA65B8" w:rsidP="00362188">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Pr>
          <w:rFonts w:asciiTheme="majorHAnsi" w:hAnsiTheme="majorHAnsi"/>
          <w:sz w:val="21"/>
          <w:szCs w:val="21"/>
        </w:rPr>
        <w:t>Po ashtu</w:t>
      </w:r>
      <w:r w:rsidR="0020664C">
        <w:rPr>
          <w:rFonts w:asciiTheme="majorHAnsi" w:hAnsiTheme="majorHAnsi"/>
          <w:sz w:val="21"/>
          <w:szCs w:val="21"/>
        </w:rPr>
        <w:t>, k</w:t>
      </w:r>
      <w:r w:rsidR="0020664C" w:rsidRPr="004D2E1C">
        <w:rPr>
          <w:rFonts w:asciiTheme="majorHAnsi" w:hAnsiTheme="majorHAnsi"/>
          <w:sz w:val="21"/>
          <w:szCs w:val="21"/>
        </w:rPr>
        <w:t xml:space="preserve">y </w:t>
      </w:r>
      <w:r w:rsidR="001B5402" w:rsidRPr="004D2E1C">
        <w:rPr>
          <w:rFonts w:asciiTheme="majorHAnsi" w:hAnsiTheme="majorHAnsi"/>
          <w:sz w:val="21"/>
          <w:szCs w:val="21"/>
        </w:rPr>
        <w:t>dokument</w:t>
      </w:r>
      <w:r w:rsidR="000D6CE5" w:rsidRPr="004D2E1C">
        <w:rPr>
          <w:rFonts w:asciiTheme="majorHAnsi" w:hAnsiTheme="majorHAnsi"/>
          <w:sz w:val="21"/>
          <w:szCs w:val="21"/>
        </w:rPr>
        <w:t xml:space="preserve"> informon të gjithë akterët lidhur me rregullat dhe procedurat e grantit të performancë</w:t>
      </w:r>
      <w:r w:rsidR="001B5402" w:rsidRPr="004D2E1C">
        <w:rPr>
          <w:rFonts w:asciiTheme="majorHAnsi" w:hAnsiTheme="majorHAnsi"/>
          <w:sz w:val="21"/>
          <w:szCs w:val="21"/>
        </w:rPr>
        <w:t>s</w:t>
      </w:r>
      <w:r w:rsidR="000D6CE5" w:rsidRPr="004D2E1C">
        <w:rPr>
          <w:rFonts w:asciiTheme="majorHAnsi" w:hAnsiTheme="majorHAnsi"/>
          <w:sz w:val="21"/>
          <w:szCs w:val="21"/>
        </w:rPr>
        <w:t>.</w:t>
      </w:r>
    </w:p>
    <w:p w14:paraId="4279E6A6" w14:textId="5DBC9F61" w:rsidR="0020664C" w:rsidRDefault="000D6CE5"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rPr>
      </w:pPr>
      <w:r w:rsidRPr="004D2E1C">
        <w:rPr>
          <w:rFonts w:asciiTheme="majorHAnsi" w:hAnsiTheme="majorHAnsi"/>
          <w:sz w:val="21"/>
          <w:szCs w:val="21"/>
        </w:rPr>
        <w:t xml:space="preserve">Dokumenti </w:t>
      </w:r>
      <w:r w:rsidR="001D60BB">
        <w:rPr>
          <w:rFonts w:asciiTheme="majorHAnsi" w:hAnsiTheme="majorHAnsi"/>
          <w:sz w:val="21"/>
          <w:szCs w:val="21"/>
        </w:rPr>
        <w:t>përcakton</w:t>
      </w:r>
      <w:r w:rsidR="001D60BB" w:rsidRPr="004D2E1C">
        <w:rPr>
          <w:rFonts w:asciiTheme="majorHAnsi" w:hAnsiTheme="majorHAnsi"/>
          <w:sz w:val="21"/>
          <w:szCs w:val="21"/>
        </w:rPr>
        <w:t xml:space="preserve"> </w:t>
      </w:r>
      <w:r w:rsidRPr="004D2E1C">
        <w:rPr>
          <w:rFonts w:asciiTheme="majorHAnsi" w:hAnsiTheme="majorHAnsi"/>
          <w:sz w:val="21"/>
          <w:szCs w:val="21"/>
        </w:rPr>
        <w:t>përgjegjësitë e akterëve në niveli</w:t>
      </w:r>
      <w:r w:rsidR="00F54F77">
        <w:rPr>
          <w:rFonts w:asciiTheme="majorHAnsi" w:hAnsiTheme="majorHAnsi"/>
          <w:sz w:val="21"/>
          <w:szCs w:val="21"/>
        </w:rPr>
        <w:t>n</w:t>
      </w:r>
      <w:r w:rsidRPr="004D2E1C">
        <w:rPr>
          <w:rFonts w:asciiTheme="majorHAnsi" w:hAnsiTheme="majorHAnsi"/>
          <w:sz w:val="21"/>
          <w:szCs w:val="21"/>
        </w:rPr>
        <w:t xml:space="preserve"> qendror, përfshirë: (i) </w:t>
      </w:r>
      <w:r w:rsidR="001D60BB">
        <w:rPr>
          <w:rFonts w:asciiTheme="majorHAnsi" w:hAnsiTheme="majorHAnsi"/>
          <w:sz w:val="21"/>
          <w:szCs w:val="21"/>
        </w:rPr>
        <w:t>g</w:t>
      </w:r>
      <w:r w:rsidR="001D60BB" w:rsidRPr="004D2E1C">
        <w:rPr>
          <w:rFonts w:asciiTheme="majorHAnsi" w:hAnsiTheme="majorHAnsi"/>
          <w:sz w:val="21"/>
          <w:szCs w:val="21"/>
        </w:rPr>
        <w:t xml:space="preserve">rupit </w:t>
      </w:r>
      <w:r w:rsidR="001D60BB">
        <w:rPr>
          <w:rFonts w:asciiTheme="majorHAnsi" w:hAnsiTheme="majorHAnsi"/>
          <w:sz w:val="21"/>
          <w:szCs w:val="21"/>
        </w:rPr>
        <w:t>t</w:t>
      </w:r>
      <w:r w:rsidR="001D60BB" w:rsidRPr="004D2E1C">
        <w:rPr>
          <w:rFonts w:asciiTheme="majorHAnsi" w:hAnsiTheme="majorHAnsi"/>
          <w:sz w:val="21"/>
          <w:szCs w:val="21"/>
        </w:rPr>
        <w:t xml:space="preserve">eknik </w:t>
      </w:r>
      <w:r w:rsidRPr="004D2E1C">
        <w:rPr>
          <w:rFonts w:asciiTheme="majorHAnsi" w:hAnsiTheme="majorHAnsi"/>
          <w:sz w:val="21"/>
          <w:szCs w:val="21"/>
        </w:rPr>
        <w:t xml:space="preserve">përgjegjës për vlerësimin e </w:t>
      </w:r>
      <w:r w:rsidR="00A046BC">
        <w:rPr>
          <w:rFonts w:asciiTheme="majorHAnsi" w:hAnsiTheme="majorHAnsi"/>
          <w:sz w:val="21"/>
          <w:szCs w:val="21"/>
        </w:rPr>
        <w:t xml:space="preserve">grantit të </w:t>
      </w:r>
      <w:r w:rsidRPr="004D2E1C">
        <w:rPr>
          <w:rFonts w:asciiTheme="majorHAnsi" w:hAnsiTheme="majorHAnsi"/>
          <w:sz w:val="21"/>
          <w:szCs w:val="21"/>
        </w:rPr>
        <w:t xml:space="preserve">performancës; (ii) </w:t>
      </w:r>
      <w:r w:rsidR="001D60BB">
        <w:rPr>
          <w:rFonts w:asciiTheme="majorHAnsi" w:hAnsiTheme="majorHAnsi"/>
          <w:sz w:val="21"/>
          <w:szCs w:val="21"/>
        </w:rPr>
        <w:t>k</w:t>
      </w:r>
      <w:r w:rsidR="001D60BB" w:rsidRPr="004D2E1C">
        <w:rPr>
          <w:rFonts w:asciiTheme="majorHAnsi" w:hAnsiTheme="majorHAnsi"/>
          <w:sz w:val="21"/>
          <w:szCs w:val="21"/>
        </w:rPr>
        <w:t>omisioni</w:t>
      </w:r>
      <w:r w:rsidR="00362188">
        <w:rPr>
          <w:rFonts w:asciiTheme="majorHAnsi" w:hAnsiTheme="majorHAnsi"/>
          <w:sz w:val="21"/>
          <w:szCs w:val="21"/>
        </w:rPr>
        <w:t>t</w:t>
      </w:r>
      <w:r w:rsidR="001D60BB" w:rsidRPr="004D2E1C">
        <w:rPr>
          <w:rFonts w:asciiTheme="majorHAnsi" w:hAnsiTheme="majorHAnsi"/>
          <w:sz w:val="21"/>
          <w:szCs w:val="21"/>
        </w:rPr>
        <w:t xml:space="preserve"> </w:t>
      </w:r>
      <w:r w:rsidR="00362188">
        <w:rPr>
          <w:rFonts w:asciiTheme="majorHAnsi" w:hAnsiTheme="majorHAnsi"/>
          <w:sz w:val="21"/>
          <w:szCs w:val="21"/>
        </w:rPr>
        <w:t>të</w:t>
      </w:r>
      <w:r w:rsidRPr="004D2E1C">
        <w:rPr>
          <w:rFonts w:asciiTheme="majorHAnsi" w:hAnsiTheme="majorHAnsi"/>
          <w:sz w:val="21"/>
          <w:szCs w:val="21"/>
        </w:rPr>
        <w:t xml:space="preserve"> </w:t>
      </w:r>
      <w:r w:rsidR="001D60BB">
        <w:rPr>
          <w:rFonts w:asciiTheme="majorHAnsi" w:hAnsiTheme="majorHAnsi"/>
          <w:sz w:val="21"/>
          <w:szCs w:val="21"/>
        </w:rPr>
        <w:t>g</w:t>
      </w:r>
      <w:r w:rsidR="001D60BB" w:rsidRPr="004D2E1C">
        <w:rPr>
          <w:rFonts w:asciiTheme="majorHAnsi" w:hAnsiTheme="majorHAnsi"/>
          <w:sz w:val="21"/>
          <w:szCs w:val="21"/>
        </w:rPr>
        <w:t xml:space="preserve">rantit </w:t>
      </w:r>
      <w:r w:rsidR="00927563" w:rsidRPr="004D2E1C">
        <w:rPr>
          <w:rFonts w:asciiTheme="majorHAnsi" w:hAnsiTheme="majorHAnsi"/>
          <w:sz w:val="21"/>
          <w:szCs w:val="21"/>
        </w:rPr>
        <w:t>të</w:t>
      </w:r>
      <w:r w:rsidRPr="004D2E1C">
        <w:rPr>
          <w:rFonts w:asciiTheme="majorHAnsi" w:hAnsiTheme="majorHAnsi"/>
          <w:sz w:val="21"/>
          <w:szCs w:val="21"/>
        </w:rPr>
        <w:t xml:space="preserve"> </w:t>
      </w:r>
      <w:r w:rsidR="001D60BB">
        <w:rPr>
          <w:rFonts w:asciiTheme="majorHAnsi" w:hAnsiTheme="majorHAnsi"/>
          <w:sz w:val="21"/>
          <w:szCs w:val="21"/>
        </w:rPr>
        <w:t>p</w:t>
      </w:r>
      <w:r w:rsidR="001D60BB" w:rsidRPr="004D2E1C">
        <w:rPr>
          <w:rFonts w:asciiTheme="majorHAnsi" w:hAnsiTheme="majorHAnsi"/>
          <w:sz w:val="21"/>
          <w:szCs w:val="21"/>
        </w:rPr>
        <w:t>erformancës</w:t>
      </w:r>
      <w:r w:rsidRPr="004D2E1C">
        <w:rPr>
          <w:rFonts w:asciiTheme="majorHAnsi" w:hAnsiTheme="majorHAnsi"/>
          <w:sz w:val="21"/>
          <w:szCs w:val="21"/>
        </w:rPr>
        <w:t xml:space="preserve">, përgjegjës për </w:t>
      </w:r>
      <w:r w:rsidR="0020664C">
        <w:rPr>
          <w:rFonts w:asciiTheme="majorHAnsi" w:hAnsiTheme="majorHAnsi"/>
          <w:sz w:val="21"/>
          <w:szCs w:val="21"/>
        </w:rPr>
        <w:t>ndarjen e grantit t</w:t>
      </w:r>
      <w:r w:rsidR="00C87181">
        <w:rPr>
          <w:rFonts w:asciiTheme="majorHAnsi" w:hAnsiTheme="majorHAnsi"/>
          <w:sz w:val="21"/>
          <w:szCs w:val="21"/>
        </w:rPr>
        <w:t>ë</w:t>
      </w:r>
      <w:r w:rsidR="0020664C">
        <w:rPr>
          <w:rFonts w:asciiTheme="majorHAnsi" w:hAnsiTheme="majorHAnsi"/>
          <w:sz w:val="21"/>
          <w:szCs w:val="21"/>
        </w:rPr>
        <w:t xml:space="preserve"> performanc</w:t>
      </w:r>
      <w:r w:rsidR="00C87181">
        <w:rPr>
          <w:rFonts w:asciiTheme="majorHAnsi" w:hAnsiTheme="majorHAnsi"/>
          <w:sz w:val="21"/>
          <w:szCs w:val="21"/>
        </w:rPr>
        <w:t>ë</w:t>
      </w:r>
      <w:r w:rsidR="0020664C">
        <w:rPr>
          <w:rFonts w:asciiTheme="majorHAnsi" w:hAnsiTheme="majorHAnsi"/>
          <w:sz w:val="21"/>
          <w:szCs w:val="21"/>
        </w:rPr>
        <w:t>s komunale</w:t>
      </w:r>
      <w:r w:rsidR="00362188">
        <w:rPr>
          <w:rFonts w:asciiTheme="majorHAnsi" w:hAnsiTheme="majorHAnsi"/>
          <w:sz w:val="21"/>
          <w:szCs w:val="21"/>
        </w:rPr>
        <w:t>;</w:t>
      </w:r>
      <w:r w:rsidR="0020664C">
        <w:rPr>
          <w:rFonts w:asciiTheme="majorHAnsi" w:hAnsiTheme="majorHAnsi"/>
          <w:sz w:val="21"/>
          <w:szCs w:val="21"/>
        </w:rPr>
        <w:t xml:space="preserve"> </w:t>
      </w:r>
      <w:r w:rsidR="00626EDE">
        <w:rPr>
          <w:rFonts w:asciiTheme="majorHAnsi" w:hAnsiTheme="majorHAnsi"/>
          <w:sz w:val="21"/>
          <w:szCs w:val="21"/>
        </w:rPr>
        <w:t xml:space="preserve">(iii) </w:t>
      </w:r>
      <w:r w:rsidR="0020664C">
        <w:rPr>
          <w:rFonts w:asciiTheme="majorHAnsi" w:hAnsiTheme="majorHAnsi"/>
          <w:sz w:val="21"/>
          <w:szCs w:val="21"/>
        </w:rPr>
        <w:t>komisioni</w:t>
      </w:r>
      <w:r w:rsidR="00362188">
        <w:rPr>
          <w:rFonts w:asciiTheme="majorHAnsi" w:hAnsiTheme="majorHAnsi"/>
          <w:sz w:val="21"/>
          <w:szCs w:val="21"/>
        </w:rPr>
        <w:t>t</w:t>
      </w:r>
      <w:r w:rsidR="0020664C">
        <w:rPr>
          <w:rFonts w:asciiTheme="majorHAnsi" w:hAnsiTheme="majorHAnsi"/>
          <w:sz w:val="21"/>
          <w:szCs w:val="21"/>
        </w:rPr>
        <w:t xml:space="preserve"> </w:t>
      </w:r>
      <w:r w:rsidR="00362188">
        <w:rPr>
          <w:rFonts w:asciiTheme="majorHAnsi" w:hAnsiTheme="majorHAnsi"/>
          <w:sz w:val="21"/>
          <w:szCs w:val="21"/>
        </w:rPr>
        <w:t>të</w:t>
      </w:r>
      <w:r w:rsidR="00626EDE">
        <w:rPr>
          <w:rFonts w:asciiTheme="majorHAnsi" w:hAnsiTheme="majorHAnsi"/>
          <w:sz w:val="21"/>
          <w:szCs w:val="21"/>
        </w:rPr>
        <w:t xml:space="preserve"> ankesave p</w:t>
      </w:r>
      <w:r w:rsidR="00C87181">
        <w:rPr>
          <w:rFonts w:asciiTheme="majorHAnsi" w:hAnsiTheme="majorHAnsi"/>
          <w:sz w:val="21"/>
          <w:szCs w:val="21"/>
        </w:rPr>
        <w:t>ë</w:t>
      </w:r>
      <w:r w:rsidR="00626EDE">
        <w:rPr>
          <w:rFonts w:asciiTheme="majorHAnsi" w:hAnsiTheme="majorHAnsi"/>
          <w:sz w:val="21"/>
          <w:szCs w:val="21"/>
        </w:rPr>
        <w:t>rgjegj</w:t>
      </w:r>
      <w:r w:rsidR="00C87181">
        <w:rPr>
          <w:rFonts w:asciiTheme="majorHAnsi" w:hAnsiTheme="majorHAnsi"/>
          <w:sz w:val="21"/>
          <w:szCs w:val="21"/>
        </w:rPr>
        <w:t>ë</w:t>
      </w:r>
      <w:r w:rsidR="00626EDE">
        <w:rPr>
          <w:rFonts w:asciiTheme="majorHAnsi" w:hAnsiTheme="majorHAnsi"/>
          <w:sz w:val="21"/>
          <w:szCs w:val="21"/>
        </w:rPr>
        <w:t>s p</w:t>
      </w:r>
      <w:r w:rsidR="00C87181">
        <w:rPr>
          <w:rFonts w:asciiTheme="majorHAnsi" w:hAnsiTheme="majorHAnsi"/>
          <w:sz w:val="21"/>
          <w:szCs w:val="21"/>
        </w:rPr>
        <w:t>ë</w:t>
      </w:r>
      <w:r w:rsidR="00626EDE">
        <w:rPr>
          <w:rFonts w:asciiTheme="majorHAnsi" w:hAnsiTheme="majorHAnsi"/>
          <w:sz w:val="21"/>
          <w:szCs w:val="21"/>
        </w:rPr>
        <w:t>r shqyrtimin e ankesave t</w:t>
      </w:r>
      <w:r w:rsidR="00C87181">
        <w:rPr>
          <w:rFonts w:asciiTheme="majorHAnsi" w:hAnsiTheme="majorHAnsi"/>
          <w:sz w:val="21"/>
          <w:szCs w:val="21"/>
        </w:rPr>
        <w:t>ë</w:t>
      </w:r>
      <w:r w:rsidR="00626EDE">
        <w:rPr>
          <w:rFonts w:asciiTheme="majorHAnsi" w:hAnsiTheme="majorHAnsi"/>
          <w:sz w:val="21"/>
          <w:szCs w:val="21"/>
        </w:rPr>
        <w:t xml:space="preserve"> </w:t>
      </w:r>
      <w:r w:rsidR="00626EDE">
        <w:rPr>
          <w:rFonts w:asciiTheme="majorHAnsi" w:hAnsiTheme="majorHAnsi"/>
          <w:sz w:val="21"/>
          <w:szCs w:val="21"/>
        </w:rPr>
        <w:lastRenderedPageBreak/>
        <w:t>komunave</w:t>
      </w:r>
      <w:r w:rsidR="00362188">
        <w:rPr>
          <w:rFonts w:asciiTheme="majorHAnsi" w:hAnsiTheme="majorHAnsi"/>
          <w:sz w:val="21"/>
          <w:szCs w:val="21"/>
        </w:rPr>
        <w:t>; dhe (iv) grupit përgjegjës për përgatitjen e rregullave të grantit të performancës komunale</w:t>
      </w:r>
      <w:r w:rsidR="00807B28">
        <w:rPr>
          <w:rFonts w:asciiTheme="majorHAnsi" w:hAnsiTheme="majorHAnsi"/>
          <w:sz w:val="21"/>
          <w:szCs w:val="21"/>
        </w:rPr>
        <w:t xml:space="preserve"> dhe adresimin e tyre për aprovim në Komisionin e GPK-s</w:t>
      </w:r>
      <w:r w:rsidR="00525D15">
        <w:rPr>
          <w:rFonts w:asciiTheme="majorHAnsi" w:hAnsiTheme="majorHAnsi"/>
          <w:sz w:val="21"/>
          <w:szCs w:val="21"/>
        </w:rPr>
        <w:t>ë.</w:t>
      </w:r>
    </w:p>
    <w:p w14:paraId="59924405" w14:textId="5AF31BB2" w:rsidR="000D6CE5" w:rsidRPr="004D2E1C" w:rsidRDefault="00983951"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rPr>
      </w:pPr>
      <w:r>
        <w:rPr>
          <w:rFonts w:asciiTheme="majorHAnsi" w:hAnsiTheme="majorHAnsi"/>
          <w:sz w:val="21"/>
          <w:szCs w:val="21"/>
        </w:rPr>
        <w:t>M</w:t>
      </w:r>
      <w:r w:rsidR="00F54F77">
        <w:rPr>
          <w:rFonts w:asciiTheme="majorHAnsi" w:hAnsiTheme="majorHAnsi"/>
          <w:sz w:val="21"/>
          <w:szCs w:val="21"/>
        </w:rPr>
        <w:t>A</w:t>
      </w:r>
      <w:r>
        <w:rPr>
          <w:rFonts w:asciiTheme="majorHAnsi" w:hAnsiTheme="majorHAnsi"/>
          <w:sz w:val="21"/>
          <w:szCs w:val="21"/>
        </w:rPr>
        <w:t>PL</w:t>
      </w:r>
      <w:r w:rsidR="009F06B1">
        <w:rPr>
          <w:rFonts w:asciiTheme="majorHAnsi" w:hAnsiTheme="majorHAnsi"/>
          <w:sz w:val="21"/>
          <w:szCs w:val="21"/>
        </w:rPr>
        <w:t xml:space="preserve"> </w:t>
      </w:r>
      <w:r w:rsidR="00FA65B8">
        <w:rPr>
          <w:rFonts w:asciiTheme="majorHAnsi" w:hAnsiTheme="majorHAnsi"/>
          <w:sz w:val="21"/>
          <w:szCs w:val="21"/>
        </w:rPr>
        <w:t xml:space="preserve">dhe </w:t>
      </w:r>
      <w:r w:rsidR="00B754CA">
        <w:rPr>
          <w:rFonts w:asciiTheme="majorHAnsi" w:hAnsiTheme="majorHAnsi"/>
          <w:sz w:val="21"/>
          <w:szCs w:val="21"/>
        </w:rPr>
        <w:t>kontributdhënësit</w:t>
      </w:r>
      <w:r w:rsidR="00FA65B8">
        <w:rPr>
          <w:rFonts w:asciiTheme="majorHAnsi" w:hAnsiTheme="majorHAnsi"/>
          <w:sz w:val="21"/>
          <w:szCs w:val="21"/>
        </w:rPr>
        <w:t xml:space="preserve"> inkurajojnë</w:t>
      </w:r>
      <w:r w:rsidR="00FA65B8" w:rsidRPr="004D2E1C">
        <w:rPr>
          <w:rFonts w:asciiTheme="majorHAnsi" w:hAnsiTheme="majorHAnsi"/>
          <w:sz w:val="21"/>
          <w:szCs w:val="21"/>
        </w:rPr>
        <w:t xml:space="preserve"> </w:t>
      </w:r>
      <w:r w:rsidR="008401A3" w:rsidRPr="004D2E1C">
        <w:rPr>
          <w:rFonts w:asciiTheme="majorHAnsi" w:hAnsiTheme="majorHAnsi"/>
          <w:sz w:val="21"/>
          <w:szCs w:val="21"/>
        </w:rPr>
        <w:t>të gjithë akterët lokal</w:t>
      </w:r>
      <w:r w:rsidR="000D6CE5" w:rsidRPr="004D2E1C">
        <w:rPr>
          <w:rFonts w:asciiTheme="majorHAnsi" w:hAnsiTheme="majorHAnsi"/>
          <w:sz w:val="21"/>
          <w:szCs w:val="21"/>
        </w:rPr>
        <w:t xml:space="preserve"> përkatës t</w:t>
      </w:r>
      <w:r w:rsidR="00162590">
        <w:rPr>
          <w:rFonts w:asciiTheme="majorHAnsi" w:hAnsiTheme="majorHAnsi"/>
          <w:sz w:val="21"/>
          <w:szCs w:val="21"/>
        </w:rPr>
        <w:t>ë</w:t>
      </w:r>
      <w:r w:rsidR="000D6CE5" w:rsidRPr="004D2E1C">
        <w:rPr>
          <w:rFonts w:asciiTheme="majorHAnsi" w:hAnsiTheme="majorHAnsi"/>
          <w:sz w:val="21"/>
          <w:szCs w:val="21"/>
        </w:rPr>
        <w:t xml:space="preserve"> </w:t>
      </w:r>
      <w:r w:rsidR="0020664C">
        <w:rPr>
          <w:rFonts w:asciiTheme="majorHAnsi" w:hAnsiTheme="majorHAnsi"/>
          <w:sz w:val="21"/>
          <w:szCs w:val="21"/>
        </w:rPr>
        <w:t>konsiderojnë</w:t>
      </w:r>
      <w:r w:rsidR="0020664C" w:rsidRPr="004D2E1C">
        <w:rPr>
          <w:rFonts w:asciiTheme="majorHAnsi" w:hAnsiTheme="majorHAnsi"/>
          <w:sz w:val="21"/>
          <w:szCs w:val="21"/>
        </w:rPr>
        <w:t xml:space="preserve"> </w:t>
      </w:r>
      <w:r w:rsidR="000D6CE5" w:rsidRPr="004D2E1C">
        <w:rPr>
          <w:rFonts w:asciiTheme="majorHAnsi" w:hAnsiTheme="majorHAnsi"/>
          <w:sz w:val="21"/>
          <w:szCs w:val="21"/>
        </w:rPr>
        <w:t>grantin e performancë</w:t>
      </w:r>
      <w:r w:rsidR="008401A3" w:rsidRPr="004D2E1C">
        <w:rPr>
          <w:rFonts w:asciiTheme="majorHAnsi" w:hAnsiTheme="majorHAnsi"/>
          <w:sz w:val="21"/>
          <w:szCs w:val="21"/>
        </w:rPr>
        <w:t>s</w:t>
      </w:r>
      <w:r w:rsidR="000D6CE5" w:rsidRPr="004D2E1C">
        <w:rPr>
          <w:rFonts w:asciiTheme="majorHAnsi" w:hAnsiTheme="majorHAnsi"/>
          <w:sz w:val="21"/>
          <w:szCs w:val="21"/>
        </w:rPr>
        <w:t xml:space="preserve"> </w:t>
      </w:r>
      <w:r w:rsidR="009B3995">
        <w:rPr>
          <w:rFonts w:asciiTheme="majorHAnsi" w:hAnsiTheme="majorHAnsi"/>
          <w:sz w:val="21"/>
          <w:szCs w:val="21"/>
        </w:rPr>
        <w:t xml:space="preserve">komunale </w:t>
      </w:r>
      <w:r w:rsidR="000D6CE5" w:rsidRPr="004D2E1C">
        <w:rPr>
          <w:rFonts w:asciiTheme="majorHAnsi" w:hAnsiTheme="majorHAnsi"/>
          <w:sz w:val="21"/>
          <w:szCs w:val="21"/>
        </w:rPr>
        <w:t>si një mundësi të mirë për t</w:t>
      </w:r>
      <w:r w:rsidR="00162590">
        <w:rPr>
          <w:rFonts w:asciiTheme="majorHAnsi" w:hAnsiTheme="majorHAnsi"/>
          <w:sz w:val="21"/>
          <w:szCs w:val="21"/>
        </w:rPr>
        <w:t>ë</w:t>
      </w:r>
      <w:r w:rsidR="000D6CE5" w:rsidRPr="004D2E1C">
        <w:rPr>
          <w:rFonts w:asciiTheme="majorHAnsi" w:hAnsiTheme="majorHAnsi"/>
          <w:sz w:val="21"/>
          <w:szCs w:val="21"/>
        </w:rPr>
        <w:t xml:space="preserve"> kuptuar më mirë performancën komunale (duke përfshirë fushat e përmirësuara dhe ato ku ka nevojë për përmirësim) dhe për të qenë pjesë e konkurrencës së shëndoshë me komunat e tjera në përpjekje </w:t>
      </w:r>
      <w:r w:rsidR="008401A3" w:rsidRPr="004D2E1C">
        <w:rPr>
          <w:rFonts w:asciiTheme="majorHAnsi" w:hAnsiTheme="majorHAnsi"/>
          <w:sz w:val="21"/>
          <w:szCs w:val="21"/>
        </w:rPr>
        <w:t>të përmirësimit të</w:t>
      </w:r>
      <w:r w:rsidR="000D6CE5" w:rsidRPr="004D2E1C">
        <w:rPr>
          <w:rFonts w:asciiTheme="majorHAnsi" w:hAnsiTheme="majorHAnsi"/>
          <w:sz w:val="21"/>
          <w:szCs w:val="21"/>
        </w:rPr>
        <w:t xml:space="preserve"> kapacitete</w:t>
      </w:r>
      <w:r w:rsidR="008401A3" w:rsidRPr="004D2E1C">
        <w:rPr>
          <w:rFonts w:asciiTheme="majorHAnsi" w:hAnsiTheme="majorHAnsi"/>
          <w:sz w:val="21"/>
          <w:szCs w:val="21"/>
        </w:rPr>
        <w:t>ve</w:t>
      </w:r>
      <w:r w:rsidR="000D6CE5" w:rsidRPr="004D2E1C">
        <w:rPr>
          <w:rFonts w:asciiTheme="majorHAnsi" w:hAnsiTheme="majorHAnsi"/>
          <w:sz w:val="21"/>
          <w:szCs w:val="21"/>
        </w:rPr>
        <w:t xml:space="preserve"> komunale dhe </w:t>
      </w:r>
      <w:r w:rsidR="008401A3" w:rsidRPr="004D2E1C">
        <w:rPr>
          <w:rFonts w:asciiTheme="majorHAnsi" w:hAnsiTheme="majorHAnsi"/>
          <w:sz w:val="21"/>
          <w:szCs w:val="21"/>
        </w:rPr>
        <w:t>ofrimit efikas dhe efektiv të</w:t>
      </w:r>
      <w:r w:rsidR="000D6CE5" w:rsidRPr="004D2E1C">
        <w:rPr>
          <w:rFonts w:asciiTheme="majorHAnsi" w:hAnsiTheme="majorHAnsi"/>
          <w:sz w:val="21"/>
          <w:szCs w:val="21"/>
        </w:rPr>
        <w:t xml:space="preserve"> shërbime</w:t>
      </w:r>
      <w:r w:rsidR="008401A3" w:rsidRPr="004D2E1C">
        <w:rPr>
          <w:rFonts w:asciiTheme="majorHAnsi" w:hAnsiTheme="majorHAnsi"/>
          <w:sz w:val="21"/>
          <w:szCs w:val="21"/>
        </w:rPr>
        <w:t>ve</w:t>
      </w:r>
      <w:r w:rsidR="000D6CE5" w:rsidRPr="004D2E1C">
        <w:rPr>
          <w:rFonts w:asciiTheme="majorHAnsi" w:hAnsiTheme="majorHAnsi"/>
          <w:sz w:val="21"/>
          <w:szCs w:val="21"/>
        </w:rPr>
        <w:t xml:space="preserve"> publike për qytetarë. </w:t>
      </w:r>
    </w:p>
    <w:p w14:paraId="5B486C3A" w14:textId="03DC94A7" w:rsidR="000D6CE5" w:rsidRPr="004D2E1C" w:rsidRDefault="000D6CE5"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rPr>
      </w:pPr>
      <w:r w:rsidRPr="004D2E1C">
        <w:rPr>
          <w:rFonts w:asciiTheme="majorHAnsi" w:hAnsiTheme="majorHAnsi"/>
          <w:sz w:val="21"/>
          <w:szCs w:val="21"/>
        </w:rPr>
        <w:t>Rezultatet e vlerësim</w:t>
      </w:r>
      <w:r w:rsidR="00162590">
        <w:rPr>
          <w:rFonts w:asciiTheme="majorHAnsi" w:hAnsiTheme="majorHAnsi"/>
          <w:sz w:val="21"/>
          <w:szCs w:val="21"/>
        </w:rPr>
        <w:t>it</w:t>
      </w:r>
      <w:r w:rsidRPr="004D2E1C">
        <w:rPr>
          <w:rFonts w:asciiTheme="majorHAnsi" w:hAnsiTheme="majorHAnsi"/>
          <w:sz w:val="21"/>
          <w:szCs w:val="21"/>
        </w:rPr>
        <w:t xml:space="preserve"> të performancës </w:t>
      </w:r>
      <w:r w:rsidR="005D35C0">
        <w:rPr>
          <w:rFonts w:asciiTheme="majorHAnsi" w:hAnsiTheme="majorHAnsi"/>
          <w:sz w:val="21"/>
          <w:szCs w:val="21"/>
        </w:rPr>
        <w:t xml:space="preserve">komunale </w:t>
      </w:r>
      <w:r w:rsidRPr="004D2E1C">
        <w:rPr>
          <w:rFonts w:asciiTheme="majorHAnsi" w:hAnsiTheme="majorHAnsi"/>
          <w:sz w:val="21"/>
          <w:szCs w:val="21"/>
        </w:rPr>
        <w:t xml:space="preserve">do të shpallen publikisht nga </w:t>
      </w:r>
      <w:r w:rsidR="00983951">
        <w:rPr>
          <w:rFonts w:asciiTheme="majorHAnsi" w:hAnsiTheme="majorHAnsi"/>
          <w:sz w:val="21"/>
          <w:szCs w:val="21"/>
        </w:rPr>
        <w:t>M</w:t>
      </w:r>
      <w:r w:rsidR="00F54F77">
        <w:rPr>
          <w:rFonts w:asciiTheme="majorHAnsi" w:hAnsiTheme="majorHAnsi"/>
          <w:sz w:val="21"/>
          <w:szCs w:val="21"/>
        </w:rPr>
        <w:t>A</w:t>
      </w:r>
      <w:r w:rsidR="00983951">
        <w:rPr>
          <w:rFonts w:asciiTheme="majorHAnsi" w:hAnsiTheme="majorHAnsi"/>
          <w:sz w:val="21"/>
          <w:szCs w:val="21"/>
        </w:rPr>
        <w:t>PL</w:t>
      </w:r>
      <w:r w:rsidR="0020664C">
        <w:rPr>
          <w:rFonts w:asciiTheme="majorHAnsi" w:hAnsiTheme="majorHAnsi"/>
          <w:sz w:val="21"/>
          <w:szCs w:val="21"/>
        </w:rPr>
        <w:t xml:space="preserve"> dhe do t’iu komunikohen t</w:t>
      </w:r>
      <w:r w:rsidR="00C87181">
        <w:rPr>
          <w:rFonts w:asciiTheme="majorHAnsi" w:hAnsiTheme="majorHAnsi"/>
          <w:sz w:val="21"/>
          <w:szCs w:val="21"/>
        </w:rPr>
        <w:t>ë</w:t>
      </w:r>
      <w:r w:rsidR="0020664C">
        <w:rPr>
          <w:rFonts w:asciiTheme="majorHAnsi" w:hAnsiTheme="majorHAnsi"/>
          <w:sz w:val="21"/>
          <w:szCs w:val="21"/>
        </w:rPr>
        <w:t xml:space="preserve"> gjitha komunave</w:t>
      </w:r>
      <w:r w:rsidRPr="004D2E1C">
        <w:rPr>
          <w:rFonts w:asciiTheme="majorHAnsi" w:hAnsiTheme="majorHAnsi"/>
          <w:sz w:val="21"/>
          <w:szCs w:val="21"/>
        </w:rPr>
        <w:t xml:space="preserve">. </w:t>
      </w:r>
    </w:p>
    <w:p w14:paraId="046CC2F1" w14:textId="77777777" w:rsidR="000D6CE5" w:rsidRPr="004D2E1C" w:rsidRDefault="000D6CE5"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b/>
          <w:color w:val="FFFFFF" w:themeColor="background1"/>
          <w:sz w:val="32"/>
          <w:szCs w:val="32"/>
        </w:rPr>
      </w:pPr>
      <w:bookmarkStart w:id="1" w:name="_Toc170004012"/>
      <w:bookmarkStart w:id="2" w:name="_Toc170432954"/>
      <w:bookmarkStart w:id="3" w:name="_Toc236632737"/>
      <w:r w:rsidRPr="004D2E1C">
        <w:rPr>
          <w:rFonts w:asciiTheme="majorHAnsi" w:hAnsiTheme="majorHAnsi"/>
          <w:color w:val="FFFFFF" w:themeColor="background1"/>
          <w:sz w:val="32"/>
          <w:szCs w:val="32"/>
        </w:rPr>
        <w:br w:type="page"/>
      </w:r>
    </w:p>
    <w:p w14:paraId="5B7F512B" w14:textId="77777777" w:rsidR="000D6CE5" w:rsidRPr="004D2E1C" w:rsidRDefault="000D6CE5" w:rsidP="000D6CE5">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4" w:name="_Toc61062510"/>
      <w:r w:rsidRPr="004D2E1C">
        <w:rPr>
          <w:rFonts w:asciiTheme="majorHAnsi" w:hAnsiTheme="majorHAnsi"/>
          <w:color w:val="FFFFFF" w:themeColor="background1"/>
          <w:sz w:val="32"/>
          <w:szCs w:val="32"/>
          <w:lang w:val="sq-AL"/>
        </w:rPr>
        <w:lastRenderedPageBreak/>
        <w:t>Granti i performancë</w:t>
      </w:r>
      <w:r w:rsidR="008401A3" w:rsidRPr="004D2E1C">
        <w:rPr>
          <w:rFonts w:asciiTheme="majorHAnsi" w:hAnsiTheme="majorHAnsi"/>
          <w:color w:val="FFFFFF" w:themeColor="background1"/>
          <w:sz w:val="32"/>
          <w:szCs w:val="32"/>
          <w:lang w:val="sq-AL"/>
        </w:rPr>
        <w:t>s</w:t>
      </w:r>
      <w:r w:rsidR="008F6BFE">
        <w:rPr>
          <w:rFonts w:asciiTheme="majorHAnsi" w:hAnsiTheme="majorHAnsi"/>
          <w:color w:val="FFFFFF" w:themeColor="background1"/>
          <w:sz w:val="32"/>
          <w:szCs w:val="32"/>
          <w:lang w:val="sq-AL"/>
        </w:rPr>
        <w:t xml:space="preserve"> komunale</w:t>
      </w:r>
      <w:r w:rsidRPr="004D2E1C">
        <w:rPr>
          <w:rFonts w:asciiTheme="majorHAnsi" w:hAnsiTheme="majorHAnsi"/>
          <w:color w:val="FFFFFF" w:themeColor="background1"/>
          <w:sz w:val="32"/>
          <w:szCs w:val="32"/>
          <w:lang w:val="sq-AL"/>
        </w:rPr>
        <w:t xml:space="preserve"> - </w:t>
      </w:r>
      <w:bookmarkEnd w:id="1"/>
      <w:bookmarkEnd w:id="2"/>
      <w:bookmarkEnd w:id="3"/>
      <w:r w:rsidRPr="004D2E1C">
        <w:rPr>
          <w:rFonts w:asciiTheme="majorHAnsi" w:hAnsiTheme="majorHAnsi"/>
          <w:color w:val="FFFFFF" w:themeColor="background1"/>
          <w:sz w:val="32"/>
          <w:szCs w:val="32"/>
          <w:lang w:val="sq-AL"/>
        </w:rPr>
        <w:t>Hyrje</w:t>
      </w:r>
      <w:bookmarkEnd w:id="4"/>
    </w:p>
    <w:p w14:paraId="3E59D29C" w14:textId="77777777" w:rsidR="000D6CE5" w:rsidRPr="004D2E1C" w:rsidRDefault="000D6CE5" w:rsidP="000D6CE5">
      <w:pPr>
        <w:rPr>
          <w:rFonts w:asciiTheme="majorHAnsi" w:hAnsiTheme="majorHAnsi"/>
          <w:sz w:val="10"/>
          <w:szCs w:val="10"/>
        </w:rPr>
      </w:pPr>
    </w:p>
    <w:p w14:paraId="16F18B68" w14:textId="77777777" w:rsidR="000D6CE5" w:rsidRPr="004D2E1C" w:rsidRDefault="000D6CE5" w:rsidP="000D6CE5">
      <w:bookmarkStart w:id="5" w:name="_Toc170004013"/>
      <w:bookmarkStart w:id="6" w:name="_Toc170432955"/>
      <w:bookmarkStart w:id="7" w:name="_Toc236632738"/>
    </w:p>
    <w:p w14:paraId="4B7DDB5D" w14:textId="2AE4BFC4"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lang w:val="sq-AL"/>
        </w:rPr>
      </w:pPr>
      <w:bookmarkStart w:id="8" w:name="_Toc61062511"/>
      <w:bookmarkStart w:id="9" w:name="_Toc346433877"/>
      <w:r w:rsidRPr="7D684930">
        <w:rPr>
          <w:rFonts w:asciiTheme="majorHAnsi" w:hAnsiTheme="majorHAnsi"/>
          <w:color w:val="C0504D" w:themeColor="accent2"/>
          <w:lang w:val="sq-AL"/>
        </w:rPr>
        <w:t>Hyrje</w:t>
      </w:r>
      <w:bookmarkEnd w:id="8"/>
      <w:r w:rsidRPr="7D684930">
        <w:rPr>
          <w:rFonts w:asciiTheme="majorHAnsi" w:hAnsiTheme="majorHAnsi"/>
          <w:color w:val="C0504D" w:themeColor="accent2"/>
          <w:lang w:val="sq-AL"/>
        </w:rPr>
        <w:t xml:space="preserve"> </w:t>
      </w:r>
    </w:p>
    <w:p w14:paraId="36555CAC" w14:textId="77777777" w:rsidR="001F0194" w:rsidRDefault="001F0194"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p>
    <w:p w14:paraId="03D0FCD1" w14:textId="77777777" w:rsidR="000D6CE5" w:rsidRDefault="000D6CE5"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4D2E1C">
        <w:rPr>
          <w:rFonts w:asciiTheme="majorHAnsi" w:hAnsiTheme="majorHAnsi"/>
          <w:sz w:val="21"/>
          <w:szCs w:val="21"/>
        </w:rPr>
        <w:t xml:space="preserve">Komunat në Kosovë, si subjekte </w:t>
      </w:r>
      <w:r w:rsidR="008401A3" w:rsidRPr="004D2E1C">
        <w:rPr>
          <w:rFonts w:asciiTheme="majorHAnsi" w:hAnsiTheme="majorHAnsi"/>
          <w:sz w:val="21"/>
          <w:szCs w:val="21"/>
        </w:rPr>
        <w:t xml:space="preserve">të </w:t>
      </w:r>
      <w:r w:rsidRPr="004D2E1C">
        <w:rPr>
          <w:rFonts w:asciiTheme="majorHAnsi" w:hAnsiTheme="majorHAnsi"/>
          <w:sz w:val="21"/>
          <w:szCs w:val="21"/>
        </w:rPr>
        <w:t xml:space="preserve">qeverisjes </w:t>
      </w:r>
      <w:r w:rsidR="00F9701C">
        <w:rPr>
          <w:rFonts w:asciiTheme="majorHAnsi" w:hAnsiTheme="majorHAnsi"/>
          <w:sz w:val="21"/>
          <w:szCs w:val="21"/>
        </w:rPr>
        <w:t>s</w:t>
      </w:r>
      <w:r w:rsidR="00210D4C">
        <w:rPr>
          <w:rFonts w:asciiTheme="majorHAnsi" w:hAnsiTheme="majorHAnsi"/>
          <w:sz w:val="21"/>
          <w:szCs w:val="21"/>
        </w:rPr>
        <w:t>ë</w:t>
      </w:r>
      <w:r w:rsidR="00F9701C">
        <w:rPr>
          <w:rFonts w:asciiTheme="majorHAnsi" w:hAnsiTheme="majorHAnsi"/>
          <w:sz w:val="21"/>
          <w:szCs w:val="21"/>
        </w:rPr>
        <w:t xml:space="preserve"> decentralizuar </w:t>
      </w:r>
      <w:r w:rsidRPr="004D2E1C">
        <w:rPr>
          <w:rFonts w:asciiTheme="majorHAnsi" w:hAnsiTheme="majorHAnsi"/>
          <w:sz w:val="21"/>
          <w:szCs w:val="21"/>
        </w:rPr>
        <w:t xml:space="preserve">lokale, luajnë një rol të rëndësishëm në organizimin e sektorit publik. Përveç </w:t>
      </w:r>
      <w:r w:rsidR="003D32D3">
        <w:rPr>
          <w:rFonts w:asciiTheme="majorHAnsi" w:hAnsiTheme="majorHAnsi"/>
          <w:sz w:val="21"/>
          <w:szCs w:val="21"/>
        </w:rPr>
        <w:t xml:space="preserve">përgjegjësisë </w:t>
      </w:r>
      <w:r w:rsidRPr="004D2E1C">
        <w:rPr>
          <w:rFonts w:asciiTheme="majorHAnsi" w:hAnsiTheme="majorHAnsi"/>
          <w:sz w:val="21"/>
          <w:szCs w:val="21"/>
        </w:rPr>
        <w:t xml:space="preserve">për ofrimin e një varg shërbimesh, </w:t>
      </w:r>
      <w:r w:rsidR="003D32D3">
        <w:rPr>
          <w:rFonts w:asciiTheme="majorHAnsi" w:hAnsiTheme="majorHAnsi"/>
          <w:sz w:val="21"/>
          <w:szCs w:val="21"/>
        </w:rPr>
        <w:t xml:space="preserve">komunat </w:t>
      </w:r>
      <w:r w:rsidRPr="004D2E1C">
        <w:rPr>
          <w:rFonts w:asciiTheme="majorHAnsi" w:hAnsiTheme="majorHAnsi"/>
          <w:sz w:val="21"/>
          <w:szCs w:val="21"/>
        </w:rPr>
        <w:t xml:space="preserve">në njërën anë shërbejnë si </w:t>
      </w:r>
      <w:r w:rsidR="003D32D3" w:rsidRPr="004D2E1C">
        <w:rPr>
          <w:rFonts w:asciiTheme="majorHAnsi" w:hAnsiTheme="majorHAnsi"/>
          <w:sz w:val="21"/>
          <w:szCs w:val="21"/>
        </w:rPr>
        <w:t>pik</w:t>
      </w:r>
      <w:r w:rsidR="003D32D3">
        <w:rPr>
          <w:rFonts w:asciiTheme="majorHAnsi" w:hAnsiTheme="majorHAnsi"/>
          <w:sz w:val="21"/>
          <w:szCs w:val="21"/>
        </w:rPr>
        <w:t>ë</w:t>
      </w:r>
      <w:r w:rsidR="003D32D3" w:rsidRPr="004D2E1C">
        <w:rPr>
          <w:rFonts w:asciiTheme="majorHAnsi" w:hAnsiTheme="majorHAnsi"/>
          <w:sz w:val="21"/>
          <w:szCs w:val="21"/>
        </w:rPr>
        <w:t xml:space="preserve"> </w:t>
      </w:r>
      <w:r w:rsidRPr="004D2E1C">
        <w:rPr>
          <w:rFonts w:asciiTheme="majorHAnsi" w:hAnsiTheme="majorHAnsi"/>
          <w:sz w:val="21"/>
          <w:szCs w:val="21"/>
        </w:rPr>
        <w:t>e parë kontaktuese ndërmjet qytetarëve dhe shtetit</w:t>
      </w:r>
      <w:r w:rsidR="00A6259D">
        <w:rPr>
          <w:rFonts w:asciiTheme="majorHAnsi" w:hAnsiTheme="majorHAnsi"/>
          <w:sz w:val="21"/>
          <w:szCs w:val="21"/>
        </w:rPr>
        <w:t xml:space="preserve">, dhe </w:t>
      </w:r>
      <w:r w:rsidRPr="004D2E1C">
        <w:rPr>
          <w:rFonts w:asciiTheme="majorHAnsi" w:hAnsiTheme="majorHAnsi"/>
          <w:sz w:val="21"/>
          <w:szCs w:val="21"/>
        </w:rPr>
        <w:t xml:space="preserve">në anën tjetër, ato u japin mundësinë qytetarëve të marrin pjesë në vendimmarrje. </w:t>
      </w:r>
    </w:p>
    <w:p w14:paraId="037F9899" w14:textId="77777777" w:rsidR="003D32D3" w:rsidRDefault="00DF6383"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DF6383">
        <w:rPr>
          <w:rFonts w:asciiTheme="majorHAnsi" w:hAnsiTheme="majorHAnsi"/>
          <w:sz w:val="21"/>
          <w:szCs w:val="21"/>
        </w:rPr>
        <w:t xml:space="preserve">Administrata </w:t>
      </w:r>
      <w:r>
        <w:rPr>
          <w:rFonts w:asciiTheme="majorHAnsi" w:hAnsiTheme="majorHAnsi"/>
          <w:sz w:val="21"/>
          <w:szCs w:val="21"/>
        </w:rPr>
        <w:t xml:space="preserve">lokale </w:t>
      </w:r>
      <w:r w:rsidRPr="00DF6383">
        <w:rPr>
          <w:rFonts w:asciiTheme="majorHAnsi" w:hAnsiTheme="majorHAnsi"/>
          <w:sz w:val="21"/>
          <w:szCs w:val="21"/>
        </w:rPr>
        <w:t>konsiderohet një nga shtyllat kryesore të shtetit dhe promotor i zhvillimit social dhe ekonomik.</w:t>
      </w:r>
      <w:r>
        <w:rPr>
          <w:rFonts w:asciiTheme="majorHAnsi" w:hAnsiTheme="majorHAnsi"/>
          <w:sz w:val="21"/>
          <w:szCs w:val="21"/>
        </w:rPr>
        <w:t xml:space="preserve"> </w:t>
      </w:r>
      <w:r w:rsidR="000D6CE5" w:rsidRPr="004D2E1C">
        <w:rPr>
          <w:rFonts w:asciiTheme="majorHAnsi" w:hAnsiTheme="majorHAnsi"/>
          <w:sz w:val="21"/>
          <w:szCs w:val="21"/>
        </w:rPr>
        <w:t>Krahasuar me shumë vende të tjera, komunat në Kosovë qëndrojnë relativisht mirë</w:t>
      </w:r>
      <w:r w:rsidR="003D32D3">
        <w:rPr>
          <w:rFonts w:asciiTheme="majorHAnsi" w:hAnsiTheme="majorHAnsi"/>
          <w:sz w:val="21"/>
          <w:szCs w:val="21"/>
        </w:rPr>
        <w:t xml:space="preserve"> n</w:t>
      </w:r>
      <w:r w:rsidR="00C87181">
        <w:rPr>
          <w:rFonts w:asciiTheme="majorHAnsi" w:hAnsiTheme="majorHAnsi"/>
          <w:sz w:val="21"/>
          <w:szCs w:val="21"/>
        </w:rPr>
        <w:t>ë</w:t>
      </w:r>
      <w:r w:rsidR="003D32D3">
        <w:rPr>
          <w:rFonts w:asciiTheme="majorHAnsi" w:hAnsiTheme="majorHAnsi"/>
          <w:sz w:val="21"/>
          <w:szCs w:val="21"/>
        </w:rPr>
        <w:t xml:space="preserve"> </w:t>
      </w:r>
      <w:r w:rsidR="00C87181">
        <w:rPr>
          <w:rFonts w:asciiTheme="majorHAnsi" w:hAnsiTheme="majorHAnsi"/>
          <w:sz w:val="21"/>
          <w:szCs w:val="21"/>
        </w:rPr>
        <w:t>ofrimin e shërbimeve</w:t>
      </w:r>
      <w:r w:rsidR="000D6CE5" w:rsidRPr="004D2E1C">
        <w:rPr>
          <w:rFonts w:asciiTheme="majorHAnsi" w:hAnsiTheme="majorHAnsi"/>
          <w:sz w:val="21"/>
          <w:szCs w:val="21"/>
        </w:rPr>
        <w:t xml:space="preserve">. Megjithatë, ende ka nevojë për përmirësime </w:t>
      </w:r>
      <w:r w:rsidR="003D32D3">
        <w:rPr>
          <w:rFonts w:asciiTheme="majorHAnsi" w:hAnsiTheme="majorHAnsi"/>
          <w:sz w:val="21"/>
          <w:szCs w:val="21"/>
        </w:rPr>
        <w:t>n</w:t>
      </w:r>
      <w:r w:rsidR="00C87181">
        <w:rPr>
          <w:rFonts w:asciiTheme="majorHAnsi" w:hAnsiTheme="majorHAnsi"/>
          <w:sz w:val="21"/>
          <w:szCs w:val="21"/>
        </w:rPr>
        <w:t>ë</w:t>
      </w:r>
      <w:r w:rsidR="003D32D3">
        <w:rPr>
          <w:rFonts w:asciiTheme="majorHAnsi" w:hAnsiTheme="majorHAnsi"/>
          <w:sz w:val="21"/>
          <w:szCs w:val="21"/>
        </w:rPr>
        <w:t xml:space="preserve"> ushtrimin e kompetencave vetanake </w:t>
      </w:r>
      <w:r w:rsidR="00592DCD">
        <w:rPr>
          <w:rFonts w:asciiTheme="majorHAnsi" w:hAnsiTheme="majorHAnsi"/>
          <w:sz w:val="21"/>
          <w:szCs w:val="21"/>
        </w:rPr>
        <w:t>komunale</w:t>
      </w:r>
      <w:r w:rsidR="003D32D3">
        <w:rPr>
          <w:rFonts w:asciiTheme="majorHAnsi" w:hAnsiTheme="majorHAnsi"/>
          <w:sz w:val="21"/>
          <w:szCs w:val="21"/>
        </w:rPr>
        <w:t xml:space="preserve">, </w:t>
      </w:r>
      <w:r w:rsidR="000D6CE5" w:rsidRPr="004D2E1C">
        <w:rPr>
          <w:rFonts w:asciiTheme="majorHAnsi" w:hAnsiTheme="majorHAnsi"/>
          <w:sz w:val="21"/>
          <w:szCs w:val="21"/>
        </w:rPr>
        <w:t xml:space="preserve">kur kemi parasysh </w:t>
      </w:r>
      <w:r w:rsidR="00592DCD">
        <w:rPr>
          <w:rFonts w:asciiTheme="majorHAnsi" w:hAnsiTheme="majorHAnsi"/>
          <w:sz w:val="21"/>
          <w:szCs w:val="21"/>
        </w:rPr>
        <w:t>shkall</w:t>
      </w:r>
      <w:r w:rsidR="00C87181">
        <w:rPr>
          <w:rFonts w:asciiTheme="majorHAnsi" w:hAnsiTheme="majorHAnsi"/>
          <w:sz w:val="21"/>
          <w:szCs w:val="21"/>
        </w:rPr>
        <w:t>ë</w:t>
      </w:r>
      <w:r w:rsidR="00592DCD">
        <w:rPr>
          <w:rFonts w:asciiTheme="majorHAnsi" w:hAnsiTheme="majorHAnsi"/>
          <w:sz w:val="21"/>
          <w:szCs w:val="21"/>
        </w:rPr>
        <w:t>n e lart</w:t>
      </w:r>
      <w:r w:rsidR="00C87181">
        <w:rPr>
          <w:rFonts w:asciiTheme="majorHAnsi" w:hAnsiTheme="majorHAnsi"/>
          <w:sz w:val="21"/>
          <w:szCs w:val="21"/>
        </w:rPr>
        <w:t>ë</w:t>
      </w:r>
      <w:r w:rsidR="00592DCD">
        <w:rPr>
          <w:rFonts w:asciiTheme="majorHAnsi" w:hAnsiTheme="majorHAnsi"/>
          <w:sz w:val="21"/>
          <w:szCs w:val="21"/>
        </w:rPr>
        <w:t xml:space="preserve"> t</w:t>
      </w:r>
      <w:r w:rsidR="00C87181">
        <w:rPr>
          <w:rFonts w:asciiTheme="majorHAnsi" w:hAnsiTheme="majorHAnsi"/>
          <w:sz w:val="21"/>
          <w:szCs w:val="21"/>
        </w:rPr>
        <w:t>ë</w:t>
      </w:r>
      <w:r w:rsidR="00592DCD">
        <w:rPr>
          <w:rFonts w:asciiTheme="majorHAnsi" w:hAnsiTheme="majorHAnsi"/>
          <w:sz w:val="21"/>
          <w:szCs w:val="21"/>
        </w:rPr>
        <w:t xml:space="preserve"> papun</w:t>
      </w:r>
      <w:r w:rsidR="00C87181">
        <w:rPr>
          <w:rFonts w:asciiTheme="majorHAnsi" w:hAnsiTheme="majorHAnsi"/>
          <w:sz w:val="21"/>
          <w:szCs w:val="21"/>
        </w:rPr>
        <w:t>ë</w:t>
      </w:r>
      <w:r w:rsidR="00592DCD">
        <w:rPr>
          <w:rFonts w:asciiTheme="majorHAnsi" w:hAnsiTheme="majorHAnsi"/>
          <w:sz w:val="21"/>
          <w:szCs w:val="21"/>
        </w:rPr>
        <w:t>sis</w:t>
      </w:r>
      <w:r w:rsidR="00C87181">
        <w:rPr>
          <w:rFonts w:asciiTheme="majorHAnsi" w:hAnsiTheme="majorHAnsi"/>
          <w:sz w:val="21"/>
          <w:szCs w:val="21"/>
        </w:rPr>
        <w:t>ë</w:t>
      </w:r>
      <w:r w:rsidR="00592DCD">
        <w:rPr>
          <w:rFonts w:asciiTheme="majorHAnsi" w:hAnsiTheme="majorHAnsi"/>
          <w:sz w:val="21"/>
          <w:szCs w:val="21"/>
        </w:rPr>
        <w:t xml:space="preserve"> n</w:t>
      </w:r>
      <w:r w:rsidR="00C87181">
        <w:rPr>
          <w:rFonts w:asciiTheme="majorHAnsi" w:hAnsiTheme="majorHAnsi"/>
          <w:sz w:val="21"/>
          <w:szCs w:val="21"/>
        </w:rPr>
        <w:t>ë</w:t>
      </w:r>
      <w:r w:rsidR="00592DCD">
        <w:rPr>
          <w:rFonts w:asciiTheme="majorHAnsi" w:hAnsiTheme="majorHAnsi"/>
          <w:sz w:val="21"/>
          <w:szCs w:val="21"/>
        </w:rPr>
        <w:t xml:space="preserve"> vend</w:t>
      </w:r>
      <w:r w:rsidR="009472A0">
        <w:rPr>
          <w:rFonts w:asciiTheme="majorHAnsi" w:hAnsiTheme="majorHAnsi"/>
          <w:sz w:val="21"/>
          <w:szCs w:val="21"/>
        </w:rPr>
        <w:t xml:space="preserve"> dhe</w:t>
      </w:r>
      <w:r w:rsidR="00592DCD">
        <w:rPr>
          <w:rFonts w:asciiTheme="majorHAnsi" w:hAnsiTheme="majorHAnsi"/>
          <w:sz w:val="21"/>
          <w:szCs w:val="21"/>
        </w:rPr>
        <w:t xml:space="preserve"> shkall</w:t>
      </w:r>
      <w:r w:rsidR="00C87181">
        <w:rPr>
          <w:rFonts w:asciiTheme="majorHAnsi" w:hAnsiTheme="majorHAnsi"/>
          <w:sz w:val="21"/>
          <w:szCs w:val="21"/>
        </w:rPr>
        <w:t>ë</w:t>
      </w:r>
      <w:r w:rsidR="00592DCD">
        <w:rPr>
          <w:rFonts w:asciiTheme="majorHAnsi" w:hAnsiTheme="majorHAnsi"/>
          <w:sz w:val="21"/>
          <w:szCs w:val="21"/>
        </w:rPr>
        <w:t>n e ul</w:t>
      </w:r>
      <w:r w:rsidR="00C87181">
        <w:rPr>
          <w:rFonts w:asciiTheme="majorHAnsi" w:hAnsiTheme="majorHAnsi"/>
          <w:sz w:val="21"/>
          <w:szCs w:val="21"/>
        </w:rPr>
        <w:t>ë</w:t>
      </w:r>
      <w:r w:rsidR="00592DCD">
        <w:rPr>
          <w:rFonts w:asciiTheme="majorHAnsi" w:hAnsiTheme="majorHAnsi"/>
          <w:sz w:val="21"/>
          <w:szCs w:val="21"/>
        </w:rPr>
        <w:t>t t</w:t>
      </w:r>
      <w:r w:rsidR="00C87181">
        <w:rPr>
          <w:rFonts w:asciiTheme="majorHAnsi" w:hAnsiTheme="majorHAnsi"/>
          <w:sz w:val="21"/>
          <w:szCs w:val="21"/>
        </w:rPr>
        <w:t>ë</w:t>
      </w:r>
      <w:r w:rsidR="00592DCD">
        <w:rPr>
          <w:rFonts w:asciiTheme="majorHAnsi" w:hAnsiTheme="majorHAnsi"/>
          <w:sz w:val="21"/>
          <w:szCs w:val="21"/>
        </w:rPr>
        <w:t xml:space="preserve"> zhvillimit ekonomik</w:t>
      </w:r>
      <w:r w:rsidR="009472A0">
        <w:rPr>
          <w:rFonts w:asciiTheme="majorHAnsi" w:hAnsiTheme="majorHAnsi"/>
          <w:sz w:val="21"/>
          <w:szCs w:val="21"/>
        </w:rPr>
        <w:t xml:space="preserve">. Si rrjedhojë është e pranishme nevoja </w:t>
      </w:r>
      <w:r w:rsidR="00592DCD">
        <w:rPr>
          <w:rFonts w:asciiTheme="majorHAnsi" w:hAnsiTheme="majorHAnsi"/>
          <w:sz w:val="21"/>
          <w:szCs w:val="21"/>
        </w:rPr>
        <w:t>p</w:t>
      </w:r>
      <w:r w:rsidR="00C87181">
        <w:rPr>
          <w:rFonts w:asciiTheme="majorHAnsi" w:hAnsiTheme="majorHAnsi"/>
          <w:sz w:val="21"/>
          <w:szCs w:val="21"/>
        </w:rPr>
        <w:t>ë</w:t>
      </w:r>
      <w:r w:rsidR="00592DCD">
        <w:rPr>
          <w:rFonts w:asciiTheme="majorHAnsi" w:hAnsiTheme="majorHAnsi"/>
          <w:sz w:val="21"/>
          <w:szCs w:val="21"/>
        </w:rPr>
        <w:t xml:space="preserve">r </w:t>
      </w:r>
      <w:r w:rsidR="00C87181">
        <w:rPr>
          <w:rFonts w:asciiTheme="majorHAnsi" w:hAnsiTheme="majorHAnsi"/>
          <w:sz w:val="21"/>
          <w:szCs w:val="21"/>
        </w:rPr>
        <w:t>përmirësim</w:t>
      </w:r>
      <w:r w:rsidR="009472A0">
        <w:rPr>
          <w:rFonts w:asciiTheme="majorHAnsi" w:hAnsiTheme="majorHAnsi"/>
          <w:sz w:val="21"/>
          <w:szCs w:val="21"/>
        </w:rPr>
        <w:t>in</w:t>
      </w:r>
      <w:r w:rsidR="00C87181">
        <w:rPr>
          <w:rFonts w:asciiTheme="majorHAnsi" w:hAnsiTheme="majorHAnsi"/>
          <w:sz w:val="21"/>
          <w:szCs w:val="21"/>
        </w:rPr>
        <w:t xml:space="preserve"> </w:t>
      </w:r>
      <w:r w:rsidR="009472A0">
        <w:rPr>
          <w:rFonts w:asciiTheme="majorHAnsi" w:hAnsiTheme="majorHAnsi"/>
          <w:sz w:val="21"/>
          <w:szCs w:val="21"/>
        </w:rPr>
        <w:t xml:space="preserve">e </w:t>
      </w:r>
      <w:r>
        <w:rPr>
          <w:rFonts w:asciiTheme="majorHAnsi" w:hAnsiTheme="majorHAnsi"/>
          <w:sz w:val="21"/>
          <w:szCs w:val="21"/>
        </w:rPr>
        <w:t>kontroll</w:t>
      </w:r>
      <w:r w:rsidR="00C87181">
        <w:rPr>
          <w:rFonts w:asciiTheme="majorHAnsi" w:hAnsiTheme="majorHAnsi"/>
          <w:sz w:val="21"/>
          <w:szCs w:val="21"/>
        </w:rPr>
        <w:t>it</w:t>
      </w:r>
      <w:r>
        <w:rPr>
          <w:rFonts w:asciiTheme="majorHAnsi" w:hAnsiTheme="majorHAnsi"/>
          <w:sz w:val="21"/>
          <w:szCs w:val="21"/>
        </w:rPr>
        <w:t xml:space="preserve"> </w:t>
      </w:r>
      <w:r w:rsidR="00C87181">
        <w:rPr>
          <w:rFonts w:asciiTheme="majorHAnsi" w:hAnsiTheme="majorHAnsi"/>
          <w:sz w:val="21"/>
          <w:szCs w:val="21"/>
        </w:rPr>
        <w:t xml:space="preserve">dhe menaxhimit </w:t>
      </w:r>
      <w:r>
        <w:rPr>
          <w:rFonts w:asciiTheme="majorHAnsi" w:hAnsiTheme="majorHAnsi"/>
          <w:sz w:val="21"/>
          <w:szCs w:val="21"/>
        </w:rPr>
        <w:t xml:space="preserve">financiar, </w:t>
      </w:r>
      <w:r w:rsidR="009472A0">
        <w:rPr>
          <w:rFonts w:asciiTheme="majorHAnsi" w:hAnsiTheme="majorHAnsi"/>
          <w:sz w:val="21"/>
          <w:szCs w:val="21"/>
        </w:rPr>
        <w:t xml:space="preserve">si dhe </w:t>
      </w:r>
      <w:r w:rsidR="003D32D3">
        <w:rPr>
          <w:rFonts w:asciiTheme="majorHAnsi" w:hAnsiTheme="majorHAnsi"/>
          <w:sz w:val="21"/>
          <w:szCs w:val="21"/>
        </w:rPr>
        <w:t>investime</w:t>
      </w:r>
      <w:r>
        <w:rPr>
          <w:rFonts w:asciiTheme="majorHAnsi" w:hAnsiTheme="majorHAnsi"/>
          <w:sz w:val="21"/>
          <w:szCs w:val="21"/>
        </w:rPr>
        <w:t xml:space="preserve"> m</w:t>
      </w:r>
      <w:r w:rsidR="00C87181">
        <w:rPr>
          <w:rFonts w:asciiTheme="majorHAnsi" w:hAnsiTheme="majorHAnsi"/>
          <w:sz w:val="21"/>
          <w:szCs w:val="21"/>
        </w:rPr>
        <w:t>ë</w:t>
      </w:r>
      <w:r>
        <w:rPr>
          <w:rFonts w:asciiTheme="majorHAnsi" w:hAnsiTheme="majorHAnsi"/>
          <w:sz w:val="21"/>
          <w:szCs w:val="21"/>
        </w:rPr>
        <w:t xml:space="preserve"> t</w:t>
      </w:r>
      <w:r w:rsidR="00C87181">
        <w:rPr>
          <w:rFonts w:asciiTheme="majorHAnsi" w:hAnsiTheme="majorHAnsi"/>
          <w:sz w:val="21"/>
          <w:szCs w:val="21"/>
        </w:rPr>
        <w:t>ë</w:t>
      </w:r>
      <w:r>
        <w:rPr>
          <w:rFonts w:asciiTheme="majorHAnsi" w:hAnsiTheme="majorHAnsi"/>
          <w:sz w:val="21"/>
          <w:szCs w:val="21"/>
        </w:rPr>
        <w:t xml:space="preserve"> </w:t>
      </w:r>
      <w:r w:rsidR="00592DCD">
        <w:rPr>
          <w:rFonts w:asciiTheme="majorHAnsi" w:hAnsiTheme="majorHAnsi"/>
          <w:sz w:val="21"/>
          <w:szCs w:val="21"/>
        </w:rPr>
        <w:t>m</w:t>
      </w:r>
      <w:r w:rsidR="00C87181">
        <w:rPr>
          <w:rFonts w:asciiTheme="majorHAnsi" w:hAnsiTheme="majorHAnsi"/>
          <w:sz w:val="21"/>
          <w:szCs w:val="21"/>
        </w:rPr>
        <w:t>ë</w:t>
      </w:r>
      <w:r w:rsidR="00592DCD">
        <w:rPr>
          <w:rFonts w:asciiTheme="majorHAnsi" w:hAnsiTheme="majorHAnsi"/>
          <w:sz w:val="21"/>
          <w:szCs w:val="21"/>
        </w:rPr>
        <w:t>dha</w:t>
      </w:r>
      <w:r w:rsidR="003D32D3">
        <w:rPr>
          <w:rFonts w:asciiTheme="majorHAnsi" w:hAnsiTheme="majorHAnsi"/>
          <w:sz w:val="21"/>
          <w:szCs w:val="21"/>
        </w:rPr>
        <w:t xml:space="preserve"> </w:t>
      </w:r>
      <w:r w:rsidR="00C87181">
        <w:rPr>
          <w:rFonts w:asciiTheme="majorHAnsi" w:hAnsiTheme="majorHAnsi"/>
          <w:sz w:val="21"/>
          <w:szCs w:val="21"/>
        </w:rPr>
        <w:t xml:space="preserve">përmes </w:t>
      </w:r>
      <w:r>
        <w:rPr>
          <w:rFonts w:asciiTheme="majorHAnsi" w:hAnsiTheme="majorHAnsi"/>
          <w:sz w:val="21"/>
          <w:szCs w:val="21"/>
        </w:rPr>
        <w:t>projekte</w:t>
      </w:r>
      <w:r w:rsidR="00C87181">
        <w:rPr>
          <w:rFonts w:asciiTheme="majorHAnsi" w:hAnsiTheme="majorHAnsi"/>
          <w:sz w:val="21"/>
          <w:szCs w:val="21"/>
        </w:rPr>
        <w:t>ve</w:t>
      </w:r>
      <w:r>
        <w:rPr>
          <w:rFonts w:asciiTheme="majorHAnsi" w:hAnsiTheme="majorHAnsi"/>
          <w:sz w:val="21"/>
          <w:szCs w:val="21"/>
        </w:rPr>
        <w:t xml:space="preserve"> strategjike. </w:t>
      </w:r>
      <w:r w:rsidR="009472A0">
        <w:rPr>
          <w:rFonts w:asciiTheme="majorHAnsi" w:hAnsiTheme="majorHAnsi"/>
          <w:sz w:val="21"/>
          <w:szCs w:val="21"/>
        </w:rPr>
        <w:t xml:space="preserve">Institucionet lokale duhet t’i inkurajojnë </w:t>
      </w:r>
      <w:r w:rsidR="00DA7F93">
        <w:rPr>
          <w:rFonts w:asciiTheme="majorHAnsi" w:hAnsiTheme="majorHAnsi"/>
          <w:sz w:val="21"/>
          <w:szCs w:val="21"/>
        </w:rPr>
        <w:t>n</w:t>
      </w:r>
      <w:r w:rsidR="00C87181">
        <w:rPr>
          <w:rFonts w:asciiTheme="majorHAnsi" w:hAnsiTheme="majorHAnsi"/>
          <w:sz w:val="21"/>
          <w:szCs w:val="21"/>
        </w:rPr>
        <w:t>ë</w:t>
      </w:r>
      <w:r w:rsidR="00DA7F93">
        <w:rPr>
          <w:rFonts w:asciiTheme="majorHAnsi" w:hAnsiTheme="majorHAnsi"/>
          <w:sz w:val="21"/>
          <w:szCs w:val="21"/>
        </w:rPr>
        <w:t>pun</w:t>
      </w:r>
      <w:r w:rsidR="00C87181">
        <w:rPr>
          <w:rFonts w:asciiTheme="majorHAnsi" w:hAnsiTheme="majorHAnsi"/>
          <w:sz w:val="21"/>
          <w:szCs w:val="21"/>
        </w:rPr>
        <w:t>ë</w:t>
      </w:r>
      <w:r w:rsidR="00DA7F93">
        <w:rPr>
          <w:rFonts w:asciiTheme="majorHAnsi" w:hAnsiTheme="majorHAnsi"/>
          <w:sz w:val="21"/>
          <w:szCs w:val="21"/>
        </w:rPr>
        <w:t>sit publik</w:t>
      </w:r>
      <w:r w:rsidR="00C87181">
        <w:rPr>
          <w:rFonts w:asciiTheme="majorHAnsi" w:hAnsiTheme="majorHAnsi"/>
          <w:sz w:val="21"/>
          <w:szCs w:val="21"/>
        </w:rPr>
        <w:t xml:space="preserve"> </w:t>
      </w:r>
      <w:r w:rsidR="000D6CE5" w:rsidRPr="004D2E1C">
        <w:rPr>
          <w:rFonts w:asciiTheme="majorHAnsi" w:hAnsiTheme="majorHAnsi"/>
          <w:sz w:val="21"/>
          <w:szCs w:val="21"/>
        </w:rPr>
        <w:t xml:space="preserve">për zhvillimin e </w:t>
      </w:r>
      <w:r w:rsidR="003D32D3">
        <w:rPr>
          <w:rFonts w:asciiTheme="majorHAnsi" w:hAnsiTheme="majorHAnsi"/>
          <w:sz w:val="21"/>
          <w:szCs w:val="21"/>
        </w:rPr>
        <w:t>vazhduesh</w:t>
      </w:r>
      <w:r w:rsidR="00C87181">
        <w:rPr>
          <w:rFonts w:asciiTheme="majorHAnsi" w:hAnsiTheme="majorHAnsi"/>
          <w:sz w:val="21"/>
          <w:szCs w:val="21"/>
        </w:rPr>
        <w:t>ë</w:t>
      </w:r>
      <w:r w:rsidR="003D32D3">
        <w:rPr>
          <w:rFonts w:asciiTheme="majorHAnsi" w:hAnsiTheme="majorHAnsi"/>
          <w:sz w:val="21"/>
          <w:szCs w:val="21"/>
        </w:rPr>
        <w:t>m t</w:t>
      </w:r>
      <w:r w:rsidR="00C87181">
        <w:rPr>
          <w:rFonts w:asciiTheme="majorHAnsi" w:hAnsiTheme="majorHAnsi"/>
          <w:sz w:val="21"/>
          <w:szCs w:val="21"/>
        </w:rPr>
        <w:t>ë</w:t>
      </w:r>
      <w:r w:rsidR="003D32D3">
        <w:rPr>
          <w:rFonts w:asciiTheme="majorHAnsi" w:hAnsiTheme="majorHAnsi"/>
          <w:sz w:val="21"/>
          <w:szCs w:val="21"/>
        </w:rPr>
        <w:t xml:space="preserve"> </w:t>
      </w:r>
      <w:r w:rsidR="000D6CE5" w:rsidRPr="004D2E1C">
        <w:rPr>
          <w:rFonts w:asciiTheme="majorHAnsi" w:hAnsiTheme="majorHAnsi"/>
          <w:sz w:val="21"/>
          <w:szCs w:val="21"/>
        </w:rPr>
        <w:t>kapaciteteve të tyre</w:t>
      </w:r>
      <w:r w:rsidR="009472A0">
        <w:rPr>
          <w:rFonts w:asciiTheme="majorHAnsi" w:hAnsiTheme="majorHAnsi"/>
          <w:sz w:val="21"/>
          <w:szCs w:val="21"/>
        </w:rPr>
        <w:t>,</w:t>
      </w:r>
      <w:r w:rsidR="000D6CE5" w:rsidRPr="004D2E1C">
        <w:rPr>
          <w:rFonts w:asciiTheme="majorHAnsi" w:hAnsiTheme="majorHAnsi"/>
          <w:sz w:val="21"/>
          <w:szCs w:val="21"/>
        </w:rPr>
        <w:t xml:space="preserve"> </w:t>
      </w:r>
      <w:r>
        <w:rPr>
          <w:rFonts w:asciiTheme="majorHAnsi" w:hAnsiTheme="majorHAnsi"/>
          <w:sz w:val="21"/>
          <w:szCs w:val="21"/>
        </w:rPr>
        <w:t>p</w:t>
      </w:r>
      <w:r w:rsidR="00C87181">
        <w:rPr>
          <w:rFonts w:asciiTheme="majorHAnsi" w:hAnsiTheme="majorHAnsi"/>
          <w:sz w:val="21"/>
          <w:szCs w:val="21"/>
        </w:rPr>
        <w:t>ë</w:t>
      </w:r>
      <w:r>
        <w:rPr>
          <w:rFonts w:asciiTheme="majorHAnsi" w:hAnsiTheme="majorHAnsi"/>
          <w:sz w:val="21"/>
          <w:szCs w:val="21"/>
        </w:rPr>
        <w:t>r t</w:t>
      </w:r>
      <w:r w:rsidR="00C87181">
        <w:rPr>
          <w:rFonts w:asciiTheme="majorHAnsi" w:hAnsiTheme="majorHAnsi"/>
          <w:sz w:val="21"/>
          <w:szCs w:val="21"/>
        </w:rPr>
        <w:t>ë</w:t>
      </w:r>
      <w:r>
        <w:rPr>
          <w:rFonts w:asciiTheme="majorHAnsi" w:hAnsiTheme="majorHAnsi"/>
          <w:sz w:val="21"/>
          <w:szCs w:val="21"/>
        </w:rPr>
        <w:t xml:space="preserve"> krijuar </w:t>
      </w:r>
      <w:r w:rsidR="003D32D3">
        <w:rPr>
          <w:rFonts w:asciiTheme="majorHAnsi" w:hAnsiTheme="majorHAnsi"/>
          <w:sz w:val="21"/>
          <w:szCs w:val="21"/>
        </w:rPr>
        <w:t>nj</w:t>
      </w:r>
      <w:r w:rsidR="00C87181">
        <w:rPr>
          <w:rFonts w:asciiTheme="majorHAnsi" w:hAnsiTheme="majorHAnsi"/>
          <w:sz w:val="21"/>
          <w:szCs w:val="21"/>
        </w:rPr>
        <w:t>ë</w:t>
      </w:r>
      <w:r w:rsidR="003D32D3">
        <w:rPr>
          <w:rFonts w:asciiTheme="majorHAnsi" w:hAnsiTheme="majorHAnsi"/>
          <w:sz w:val="21"/>
          <w:szCs w:val="21"/>
        </w:rPr>
        <w:t xml:space="preserve"> administrat</w:t>
      </w:r>
      <w:r w:rsidR="00525D15">
        <w:rPr>
          <w:rFonts w:asciiTheme="majorHAnsi" w:hAnsiTheme="majorHAnsi"/>
          <w:sz w:val="21"/>
          <w:szCs w:val="21"/>
        </w:rPr>
        <w:t>ë</w:t>
      </w:r>
      <w:r w:rsidR="003D32D3">
        <w:rPr>
          <w:rFonts w:asciiTheme="majorHAnsi" w:hAnsiTheme="majorHAnsi"/>
          <w:sz w:val="21"/>
          <w:szCs w:val="21"/>
        </w:rPr>
        <w:t xml:space="preserve"> </w:t>
      </w:r>
      <w:r>
        <w:rPr>
          <w:rFonts w:asciiTheme="majorHAnsi" w:hAnsiTheme="majorHAnsi"/>
          <w:sz w:val="21"/>
          <w:szCs w:val="21"/>
        </w:rPr>
        <w:t xml:space="preserve">moderne </w:t>
      </w:r>
      <w:r w:rsidR="003D32D3">
        <w:rPr>
          <w:rFonts w:asciiTheme="majorHAnsi" w:hAnsiTheme="majorHAnsi"/>
          <w:sz w:val="21"/>
          <w:szCs w:val="21"/>
        </w:rPr>
        <w:t xml:space="preserve">lokale të aftë për ofrimin e </w:t>
      </w:r>
      <w:r w:rsidRPr="004D2E1C">
        <w:rPr>
          <w:rFonts w:asciiTheme="majorHAnsi" w:hAnsiTheme="majorHAnsi"/>
          <w:sz w:val="21"/>
          <w:szCs w:val="21"/>
        </w:rPr>
        <w:t>shërbime</w:t>
      </w:r>
      <w:r>
        <w:rPr>
          <w:rFonts w:asciiTheme="majorHAnsi" w:hAnsiTheme="majorHAnsi"/>
          <w:sz w:val="21"/>
          <w:szCs w:val="21"/>
        </w:rPr>
        <w:t>ve efikase</w:t>
      </w:r>
      <w:r w:rsidR="00C87181">
        <w:rPr>
          <w:rFonts w:asciiTheme="majorHAnsi" w:hAnsiTheme="majorHAnsi"/>
          <w:sz w:val="21"/>
          <w:szCs w:val="21"/>
        </w:rPr>
        <w:t xml:space="preserve"> </w:t>
      </w:r>
      <w:r w:rsidR="000D6CE5" w:rsidRPr="004D2E1C">
        <w:rPr>
          <w:rFonts w:asciiTheme="majorHAnsi" w:hAnsiTheme="majorHAnsi"/>
          <w:sz w:val="21"/>
          <w:szCs w:val="21"/>
        </w:rPr>
        <w:t>për të gjithë qytetarët</w:t>
      </w:r>
      <w:r w:rsidR="003D32D3">
        <w:rPr>
          <w:rFonts w:asciiTheme="majorHAnsi" w:hAnsiTheme="majorHAnsi"/>
          <w:sz w:val="21"/>
          <w:szCs w:val="21"/>
        </w:rPr>
        <w:t xml:space="preserve"> pa dallim</w:t>
      </w:r>
      <w:r w:rsidR="000D6CE5" w:rsidRPr="004D2E1C">
        <w:rPr>
          <w:rFonts w:asciiTheme="majorHAnsi" w:hAnsiTheme="majorHAnsi"/>
          <w:sz w:val="21"/>
          <w:szCs w:val="21"/>
        </w:rPr>
        <w:t xml:space="preserve">. </w:t>
      </w:r>
    </w:p>
    <w:p w14:paraId="510DE1AC" w14:textId="77777777" w:rsidR="00DF6383" w:rsidRPr="005B0065" w:rsidRDefault="00DF6383" w:rsidP="00DF638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5B0065">
        <w:rPr>
          <w:rFonts w:asciiTheme="majorHAnsi" w:hAnsiTheme="majorHAnsi"/>
          <w:sz w:val="21"/>
          <w:szCs w:val="21"/>
        </w:rPr>
        <w:t>Të gjeturat nga raportet vendore dhe t</w:t>
      </w:r>
      <w:r w:rsidR="00C87181">
        <w:rPr>
          <w:rFonts w:asciiTheme="majorHAnsi" w:hAnsiTheme="majorHAnsi"/>
          <w:sz w:val="21"/>
          <w:szCs w:val="21"/>
        </w:rPr>
        <w:t>ë</w:t>
      </w:r>
      <w:r w:rsidRPr="005B0065">
        <w:rPr>
          <w:rFonts w:asciiTheme="majorHAnsi" w:hAnsiTheme="majorHAnsi"/>
          <w:sz w:val="21"/>
          <w:szCs w:val="21"/>
        </w:rPr>
        <w:t xml:space="preserve"> institucioneve kredibile nd</w:t>
      </w:r>
      <w:r w:rsidR="00C87181">
        <w:rPr>
          <w:rFonts w:asciiTheme="majorHAnsi" w:hAnsiTheme="majorHAnsi"/>
          <w:sz w:val="21"/>
          <w:szCs w:val="21"/>
        </w:rPr>
        <w:t>ë</w:t>
      </w:r>
      <w:r w:rsidRPr="005B0065">
        <w:rPr>
          <w:rFonts w:asciiTheme="majorHAnsi" w:hAnsiTheme="majorHAnsi"/>
          <w:sz w:val="21"/>
          <w:szCs w:val="21"/>
        </w:rPr>
        <w:t>rkomb</w:t>
      </w:r>
      <w:r w:rsidR="00C87181">
        <w:rPr>
          <w:rFonts w:asciiTheme="majorHAnsi" w:hAnsiTheme="majorHAnsi"/>
          <w:sz w:val="21"/>
          <w:szCs w:val="21"/>
        </w:rPr>
        <w:t>ë</w:t>
      </w:r>
      <w:r w:rsidRPr="005B0065">
        <w:rPr>
          <w:rFonts w:asciiTheme="majorHAnsi" w:hAnsiTheme="majorHAnsi"/>
          <w:sz w:val="21"/>
          <w:szCs w:val="21"/>
        </w:rPr>
        <w:t>tare akoma n</w:t>
      </w:r>
      <w:r w:rsidR="00C87181">
        <w:rPr>
          <w:rFonts w:asciiTheme="majorHAnsi" w:hAnsiTheme="majorHAnsi"/>
          <w:sz w:val="21"/>
          <w:szCs w:val="21"/>
        </w:rPr>
        <w:t>ë</w:t>
      </w:r>
      <w:r w:rsidRPr="005B0065">
        <w:rPr>
          <w:rFonts w:asciiTheme="majorHAnsi" w:hAnsiTheme="majorHAnsi"/>
          <w:sz w:val="21"/>
          <w:szCs w:val="21"/>
        </w:rPr>
        <w:t>nvizojn</w:t>
      </w:r>
      <w:r w:rsidR="00C87181">
        <w:rPr>
          <w:rFonts w:asciiTheme="majorHAnsi" w:hAnsiTheme="majorHAnsi"/>
          <w:sz w:val="21"/>
          <w:szCs w:val="21"/>
        </w:rPr>
        <w:t>ë</w:t>
      </w:r>
      <w:r w:rsidRPr="005B0065">
        <w:rPr>
          <w:rFonts w:asciiTheme="majorHAnsi" w:hAnsiTheme="majorHAnsi"/>
          <w:sz w:val="21"/>
          <w:szCs w:val="21"/>
        </w:rPr>
        <w:t xml:space="preserve"> probleme me reform</w:t>
      </w:r>
      <w:r w:rsidR="00C87181">
        <w:rPr>
          <w:rFonts w:asciiTheme="majorHAnsi" w:hAnsiTheme="majorHAnsi"/>
          <w:sz w:val="21"/>
          <w:szCs w:val="21"/>
        </w:rPr>
        <w:t>ë</w:t>
      </w:r>
      <w:r w:rsidRPr="005B0065">
        <w:rPr>
          <w:rFonts w:asciiTheme="majorHAnsi" w:hAnsiTheme="majorHAnsi"/>
          <w:sz w:val="21"/>
          <w:szCs w:val="21"/>
        </w:rPr>
        <w:t>n e administratës publike</w:t>
      </w:r>
      <w:r w:rsidR="00155758" w:rsidRPr="005B0065">
        <w:rPr>
          <w:rFonts w:asciiTheme="majorHAnsi" w:hAnsiTheme="majorHAnsi"/>
          <w:sz w:val="21"/>
          <w:szCs w:val="21"/>
        </w:rPr>
        <w:t>. Kjo e fundit</w:t>
      </w:r>
      <w:r w:rsidRPr="005B0065">
        <w:rPr>
          <w:rFonts w:asciiTheme="majorHAnsi" w:hAnsiTheme="majorHAnsi"/>
          <w:sz w:val="21"/>
          <w:szCs w:val="21"/>
        </w:rPr>
        <w:t xml:space="preserve"> mbetet një ndër prioritetet </w:t>
      </w:r>
      <w:r w:rsidR="00155758" w:rsidRPr="005B0065">
        <w:rPr>
          <w:rFonts w:asciiTheme="majorHAnsi" w:hAnsiTheme="majorHAnsi"/>
          <w:sz w:val="21"/>
          <w:szCs w:val="21"/>
        </w:rPr>
        <w:t xml:space="preserve">kryesore </w:t>
      </w:r>
      <w:r w:rsidRPr="00F24CFD">
        <w:rPr>
          <w:rFonts w:asciiTheme="majorHAnsi" w:hAnsiTheme="majorHAnsi"/>
          <w:sz w:val="21"/>
          <w:szCs w:val="21"/>
        </w:rPr>
        <w:t>strategjike t</w:t>
      </w:r>
      <w:r w:rsidR="00C87181">
        <w:rPr>
          <w:rFonts w:asciiTheme="majorHAnsi" w:hAnsiTheme="majorHAnsi"/>
          <w:sz w:val="21"/>
          <w:szCs w:val="21"/>
        </w:rPr>
        <w:t>ë</w:t>
      </w:r>
      <w:r w:rsidRPr="005B0065">
        <w:rPr>
          <w:rFonts w:asciiTheme="majorHAnsi" w:hAnsiTheme="majorHAnsi"/>
          <w:sz w:val="21"/>
          <w:szCs w:val="21"/>
        </w:rPr>
        <w:t xml:space="preserve"> vendit, për çfar</w:t>
      </w:r>
      <w:r w:rsidR="00C87181">
        <w:rPr>
          <w:rFonts w:asciiTheme="majorHAnsi" w:hAnsiTheme="majorHAnsi"/>
          <w:sz w:val="21"/>
          <w:szCs w:val="21"/>
        </w:rPr>
        <w:t>ë</w:t>
      </w:r>
      <w:r w:rsidRPr="005B0065">
        <w:rPr>
          <w:rFonts w:asciiTheme="majorHAnsi" w:hAnsiTheme="majorHAnsi"/>
          <w:sz w:val="21"/>
          <w:szCs w:val="21"/>
        </w:rPr>
        <w:t xml:space="preserve"> kërkohet vëmendje e veçantë. </w:t>
      </w:r>
      <w:r w:rsidR="00155758" w:rsidRPr="005B0065">
        <w:rPr>
          <w:rFonts w:asciiTheme="majorHAnsi" w:hAnsiTheme="majorHAnsi"/>
          <w:sz w:val="21"/>
          <w:szCs w:val="21"/>
        </w:rPr>
        <w:t>O</w:t>
      </w:r>
      <w:r w:rsidRPr="005B0065">
        <w:rPr>
          <w:rFonts w:asciiTheme="majorHAnsi" w:hAnsiTheme="majorHAnsi"/>
          <w:sz w:val="21"/>
          <w:szCs w:val="21"/>
        </w:rPr>
        <w:t xml:space="preserve">rganet e pushtetit lokal </w:t>
      </w:r>
      <w:r w:rsidR="00CB7C7F" w:rsidRPr="00BC44C7">
        <w:rPr>
          <w:rFonts w:asciiTheme="majorHAnsi" w:hAnsiTheme="majorHAnsi"/>
          <w:sz w:val="21"/>
          <w:szCs w:val="21"/>
        </w:rPr>
        <w:t xml:space="preserve">duhet </w:t>
      </w:r>
      <w:r w:rsidRPr="00BC44C7">
        <w:rPr>
          <w:rFonts w:asciiTheme="majorHAnsi" w:hAnsiTheme="majorHAnsi"/>
          <w:sz w:val="21"/>
          <w:szCs w:val="21"/>
        </w:rPr>
        <w:t>t</w:t>
      </w:r>
      <w:r w:rsidR="00C87181">
        <w:rPr>
          <w:rFonts w:asciiTheme="majorHAnsi" w:hAnsiTheme="majorHAnsi"/>
          <w:sz w:val="21"/>
          <w:szCs w:val="21"/>
        </w:rPr>
        <w:t>ë</w:t>
      </w:r>
      <w:r w:rsidRPr="005B0065">
        <w:rPr>
          <w:rFonts w:asciiTheme="majorHAnsi" w:hAnsiTheme="majorHAnsi"/>
          <w:sz w:val="21"/>
          <w:szCs w:val="21"/>
        </w:rPr>
        <w:t xml:space="preserve"> </w:t>
      </w:r>
      <w:r w:rsidR="00460B2E" w:rsidRPr="005B0065">
        <w:rPr>
          <w:rFonts w:asciiTheme="majorHAnsi" w:hAnsiTheme="majorHAnsi"/>
          <w:sz w:val="21"/>
          <w:szCs w:val="21"/>
        </w:rPr>
        <w:t>shtojn</w:t>
      </w:r>
      <w:r w:rsidR="00C87181">
        <w:rPr>
          <w:rFonts w:asciiTheme="majorHAnsi" w:hAnsiTheme="majorHAnsi"/>
          <w:sz w:val="21"/>
          <w:szCs w:val="21"/>
        </w:rPr>
        <w:t>ë</w:t>
      </w:r>
      <w:r w:rsidR="00460B2E" w:rsidRPr="005B0065">
        <w:rPr>
          <w:rFonts w:asciiTheme="majorHAnsi" w:hAnsiTheme="majorHAnsi"/>
          <w:sz w:val="21"/>
          <w:szCs w:val="21"/>
        </w:rPr>
        <w:t xml:space="preserve"> </w:t>
      </w:r>
      <w:r w:rsidRPr="005B0065">
        <w:rPr>
          <w:rFonts w:asciiTheme="majorHAnsi" w:hAnsiTheme="majorHAnsi"/>
          <w:sz w:val="21"/>
          <w:szCs w:val="21"/>
        </w:rPr>
        <w:t>intensitetin e pun</w:t>
      </w:r>
      <w:r w:rsidR="00C87181">
        <w:rPr>
          <w:rFonts w:asciiTheme="majorHAnsi" w:hAnsiTheme="majorHAnsi"/>
          <w:sz w:val="21"/>
          <w:szCs w:val="21"/>
        </w:rPr>
        <w:t>ë</w:t>
      </w:r>
      <w:r w:rsidRPr="005B0065">
        <w:rPr>
          <w:rFonts w:asciiTheme="majorHAnsi" w:hAnsiTheme="majorHAnsi"/>
          <w:sz w:val="21"/>
          <w:szCs w:val="21"/>
        </w:rPr>
        <w:t>s s</w:t>
      </w:r>
      <w:r w:rsidR="00C87181">
        <w:rPr>
          <w:rFonts w:asciiTheme="majorHAnsi" w:hAnsiTheme="majorHAnsi"/>
          <w:sz w:val="21"/>
          <w:szCs w:val="21"/>
        </w:rPr>
        <w:t>ë</w:t>
      </w:r>
      <w:r w:rsidRPr="005B0065">
        <w:rPr>
          <w:rFonts w:asciiTheme="majorHAnsi" w:hAnsiTheme="majorHAnsi"/>
          <w:sz w:val="21"/>
          <w:szCs w:val="21"/>
        </w:rPr>
        <w:t xml:space="preserve"> tyre </w:t>
      </w:r>
      <w:r w:rsidR="00460B2E" w:rsidRPr="005B0065">
        <w:rPr>
          <w:rFonts w:asciiTheme="majorHAnsi" w:hAnsiTheme="majorHAnsi"/>
          <w:sz w:val="21"/>
          <w:szCs w:val="21"/>
        </w:rPr>
        <w:t>dhe t</w:t>
      </w:r>
      <w:r w:rsidR="00C87181">
        <w:rPr>
          <w:rFonts w:asciiTheme="majorHAnsi" w:hAnsiTheme="majorHAnsi"/>
          <w:sz w:val="21"/>
          <w:szCs w:val="21"/>
        </w:rPr>
        <w:t>ë</w:t>
      </w:r>
      <w:r w:rsidR="00460B2E" w:rsidRPr="005B0065">
        <w:rPr>
          <w:rFonts w:asciiTheme="majorHAnsi" w:hAnsiTheme="majorHAnsi"/>
          <w:sz w:val="21"/>
          <w:szCs w:val="21"/>
        </w:rPr>
        <w:t xml:space="preserve"> ofrojn</w:t>
      </w:r>
      <w:r w:rsidR="00C87181">
        <w:rPr>
          <w:rFonts w:asciiTheme="majorHAnsi" w:hAnsiTheme="majorHAnsi"/>
          <w:sz w:val="21"/>
          <w:szCs w:val="21"/>
        </w:rPr>
        <w:t>ë</w:t>
      </w:r>
      <w:r w:rsidR="00460B2E" w:rsidRPr="005B0065">
        <w:rPr>
          <w:rFonts w:asciiTheme="majorHAnsi" w:hAnsiTheme="majorHAnsi"/>
          <w:sz w:val="21"/>
          <w:szCs w:val="21"/>
        </w:rPr>
        <w:t xml:space="preserve"> </w:t>
      </w:r>
      <w:r w:rsidRPr="005B0065">
        <w:rPr>
          <w:rFonts w:asciiTheme="majorHAnsi" w:hAnsiTheme="majorHAnsi"/>
          <w:sz w:val="21"/>
          <w:szCs w:val="21"/>
        </w:rPr>
        <w:t>nj</w:t>
      </w:r>
      <w:r w:rsidR="00C87181">
        <w:rPr>
          <w:rFonts w:asciiTheme="majorHAnsi" w:hAnsiTheme="majorHAnsi"/>
          <w:sz w:val="21"/>
          <w:szCs w:val="21"/>
        </w:rPr>
        <w:t>ë</w:t>
      </w:r>
      <w:r w:rsidRPr="005B0065">
        <w:rPr>
          <w:rFonts w:asciiTheme="majorHAnsi" w:hAnsiTheme="majorHAnsi"/>
          <w:sz w:val="21"/>
          <w:szCs w:val="21"/>
        </w:rPr>
        <w:t xml:space="preserve"> qasje t</w:t>
      </w:r>
      <w:r w:rsidR="00C87181">
        <w:rPr>
          <w:rFonts w:asciiTheme="majorHAnsi" w:hAnsiTheme="majorHAnsi"/>
          <w:sz w:val="21"/>
          <w:szCs w:val="21"/>
        </w:rPr>
        <w:t>ë</w:t>
      </w:r>
      <w:r w:rsidRPr="005B0065">
        <w:rPr>
          <w:rFonts w:asciiTheme="majorHAnsi" w:hAnsiTheme="majorHAnsi"/>
          <w:sz w:val="21"/>
          <w:szCs w:val="21"/>
        </w:rPr>
        <w:t xml:space="preserve"> re </w:t>
      </w:r>
      <w:r w:rsidR="00CB7C7F" w:rsidRPr="005B0065">
        <w:rPr>
          <w:rFonts w:asciiTheme="majorHAnsi" w:hAnsiTheme="majorHAnsi"/>
          <w:sz w:val="21"/>
          <w:szCs w:val="21"/>
        </w:rPr>
        <w:t>qeveris</w:t>
      </w:r>
      <w:r w:rsidR="00C87181">
        <w:rPr>
          <w:rFonts w:asciiTheme="majorHAnsi" w:hAnsiTheme="majorHAnsi"/>
          <w:sz w:val="21"/>
          <w:szCs w:val="21"/>
        </w:rPr>
        <w:t>ë</w:t>
      </w:r>
      <w:r w:rsidR="00CB7C7F" w:rsidRPr="005B0065">
        <w:rPr>
          <w:rFonts w:asciiTheme="majorHAnsi" w:hAnsiTheme="majorHAnsi"/>
          <w:sz w:val="21"/>
          <w:szCs w:val="21"/>
        </w:rPr>
        <w:t>se</w:t>
      </w:r>
      <w:r w:rsidR="00460B2E" w:rsidRPr="005B0065">
        <w:rPr>
          <w:rFonts w:asciiTheme="majorHAnsi" w:hAnsiTheme="majorHAnsi"/>
          <w:sz w:val="21"/>
          <w:szCs w:val="21"/>
        </w:rPr>
        <w:t xml:space="preserve"> e cila do t</w:t>
      </w:r>
      <w:r w:rsidR="00C87181">
        <w:rPr>
          <w:rFonts w:asciiTheme="majorHAnsi" w:hAnsiTheme="majorHAnsi"/>
          <w:sz w:val="21"/>
          <w:szCs w:val="21"/>
        </w:rPr>
        <w:t>ë</w:t>
      </w:r>
      <w:r w:rsidR="00460B2E" w:rsidRPr="005B0065">
        <w:rPr>
          <w:rFonts w:asciiTheme="majorHAnsi" w:hAnsiTheme="majorHAnsi"/>
          <w:sz w:val="21"/>
          <w:szCs w:val="21"/>
        </w:rPr>
        <w:t xml:space="preserve"> rriste besueshm</w:t>
      </w:r>
      <w:r w:rsidR="00C87181">
        <w:rPr>
          <w:rFonts w:asciiTheme="majorHAnsi" w:hAnsiTheme="majorHAnsi"/>
          <w:sz w:val="21"/>
          <w:szCs w:val="21"/>
        </w:rPr>
        <w:t>ë</w:t>
      </w:r>
      <w:r w:rsidR="00460B2E" w:rsidRPr="005B0065">
        <w:rPr>
          <w:rFonts w:asciiTheme="majorHAnsi" w:hAnsiTheme="majorHAnsi"/>
          <w:sz w:val="21"/>
          <w:szCs w:val="21"/>
        </w:rPr>
        <w:t>rin</w:t>
      </w:r>
      <w:r w:rsidR="00C87181">
        <w:rPr>
          <w:rFonts w:asciiTheme="majorHAnsi" w:hAnsiTheme="majorHAnsi"/>
          <w:sz w:val="21"/>
          <w:szCs w:val="21"/>
        </w:rPr>
        <w:t>ë</w:t>
      </w:r>
      <w:r w:rsidR="00460B2E" w:rsidRPr="005B0065">
        <w:rPr>
          <w:rFonts w:asciiTheme="majorHAnsi" w:hAnsiTheme="majorHAnsi"/>
          <w:sz w:val="21"/>
          <w:szCs w:val="21"/>
        </w:rPr>
        <w:t xml:space="preserve"> e qytetar</w:t>
      </w:r>
      <w:r w:rsidR="00C87181">
        <w:rPr>
          <w:rFonts w:asciiTheme="majorHAnsi" w:hAnsiTheme="majorHAnsi"/>
          <w:sz w:val="21"/>
          <w:szCs w:val="21"/>
        </w:rPr>
        <w:t>ë</w:t>
      </w:r>
      <w:r w:rsidR="00460B2E" w:rsidRPr="005B0065">
        <w:rPr>
          <w:rFonts w:asciiTheme="majorHAnsi" w:hAnsiTheme="majorHAnsi"/>
          <w:sz w:val="21"/>
          <w:szCs w:val="21"/>
        </w:rPr>
        <w:t>ve ndaj institucioneve t</w:t>
      </w:r>
      <w:r w:rsidR="00C87181">
        <w:rPr>
          <w:rFonts w:asciiTheme="majorHAnsi" w:hAnsiTheme="majorHAnsi"/>
          <w:sz w:val="21"/>
          <w:szCs w:val="21"/>
        </w:rPr>
        <w:t>ë</w:t>
      </w:r>
      <w:r w:rsidR="00460B2E" w:rsidRPr="005B0065">
        <w:rPr>
          <w:rFonts w:asciiTheme="majorHAnsi" w:hAnsiTheme="majorHAnsi"/>
          <w:sz w:val="21"/>
          <w:szCs w:val="21"/>
        </w:rPr>
        <w:t xml:space="preserve"> tyre lokale</w:t>
      </w:r>
      <w:r w:rsidR="00CB7C7F" w:rsidRPr="005B0065">
        <w:rPr>
          <w:rFonts w:asciiTheme="majorHAnsi" w:hAnsiTheme="majorHAnsi"/>
          <w:sz w:val="21"/>
          <w:szCs w:val="21"/>
        </w:rPr>
        <w:t>.</w:t>
      </w:r>
      <w:r w:rsidR="00CB7C7F" w:rsidRPr="00D812D8">
        <w:rPr>
          <w:rFonts w:asciiTheme="majorHAnsi" w:hAnsiTheme="majorHAnsi"/>
          <w:sz w:val="21"/>
          <w:szCs w:val="21"/>
        </w:rPr>
        <w:t xml:space="preserve"> </w:t>
      </w:r>
      <w:r w:rsidR="00155758" w:rsidRPr="00D812D8">
        <w:rPr>
          <w:rFonts w:asciiTheme="majorHAnsi" w:hAnsiTheme="majorHAnsi"/>
          <w:sz w:val="21"/>
          <w:szCs w:val="21"/>
        </w:rPr>
        <w:t>Sigurisht q</w:t>
      </w:r>
      <w:r w:rsidR="00C87181">
        <w:rPr>
          <w:rFonts w:asciiTheme="majorHAnsi" w:hAnsiTheme="majorHAnsi"/>
          <w:sz w:val="21"/>
          <w:szCs w:val="21"/>
        </w:rPr>
        <w:t>ë</w:t>
      </w:r>
      <w:r w:rsidR="00155758" w:rsidRPr="00D812D8">
        <w:rPr>
          <w:rFonts w:asciiTheme="majorHAnsi" w:hAnsiTheme="majorHAnsi"/>
          <w:sz w:val="21"/>
          <w:szCs w:val="21"/>
        </w:rPr>
        <w:t xml:space="preserve"> </w:t>
      </w:r>
      <w:r w:rsidR="007E10C0" w:rsidRPr="00D812D8">
        <w:rPr>
          <w:rFonts w:asciiTheme="majorHAnsi" w:hAnsiTheme="majorHAnsi"/>
          <w:sz w:val="21"/>
          <w:szCs w:val="21"/>
        </w:rPr>
        <w:t>suksesi apo mossuksesi do të varet nga angazhimi i p</w:t>
      </w:r>
      <w:r w:rsidR="00C87181">
        <w:rPr>
          <w:rFonts w:asciiTheme="majorHAnsi" w:hAnsiTheme="majorHAnsi"/>
          <w:sz w:val="21"/>
          <w:szCs w:val="21"/>
        </w:rPr>
        <w:t>ë</w:t>
      </w:r>
      <w:r w:rsidR="007E10C0" w:rsidRPr="00D812D8">
        <w:rPr>
          <w:rFonts w:asciiTheme="majorHAnsi" w:hAnsiTheme="majorHAnsi"/>
          <w:sz w:val="21"/>
          <w:szCs w:val="21"/>
        </w:rPr>
        <w:t>rbashk</w:t>
      </w:r>
      <w:r w:rsidR="00C87181">
        <w:rPr>
          <w:rFonts w:asciiTheme="majorHAnsi" w:hAnsiTheme="majorHAnsi"/>
          <w:sz w:val="21"/>
          <w:szCs w:val="21"/>
        </w:rPr>
        <w:t>ë</w:t>
      </w:r>
      <w:r w:rsidR="007E10C0" w:rsidRPr="00D812D8">
        <w:rPr>
          <w:rFonts w:asciiTheme="majorHAnsi" w:hAnsiTheme="majorHAnsi"/>
          <w:sz w:val="21"/>
          <w:szCs w:val="21"/>
        </w:rPr>
        <w:t xml:space="preserve">t në ndërtimin e një administrate funksionale dhe përkushtimi </w:t>
      </w:r>
      <w:r w:rsidR="00D1041B" w:rsidRPr="00D812D8">
        <w:rPr>
          <w:rFonts w:asciiTheme="majorHAnsi" w:hAnsiTheme="majorHAnsi"/>
          <w:sz w:val="21"/>
          <w:szCs w:val="21"/>
        </w:rPr>
        <w:t>i institucioneve komunale për të reaguar ndaj këtyre problemeve</w:t>
      </w:r>
      <w:r w:rsidR="00D1041B" w:rsidRPr="00D812D8">
        <w:rPr>
          <w:rFonts w:ascii="Garamond" w:hAnsi="Garamond"/>
          <w:sz w:val="21"/>
          <w:szCs w:val="21"/>
        </w:rPr>
        <w:t>.</w:t>
      </w:r>
    </w:p>
    <w:p w14:paraId="1C977740" w14:textId="77777777" w:rsidR="00CC7B59" w:rsidRDefault="001A2E76"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Pr>
          <w:rFonts w:asciiTheme="majorHAnsi" w:hAnsiTheme="majorHAnsi"/>
          <w:sz w:val="21"/>
          <w:szCs w:val="21"/>
        </w:rPr>
        <w:t xml:space="preserve">Marrë parasysh këtë, </w:t>
      </w:r>
      <w:r w:rsidR="00CC7B59">
        <w:rPr>
          <w:rFonts w:asciiTheme="majorHAnsi" w:hAnsiTheme="majorHAnsi"/>
          <w:sz w:val="21"/>
          <w:szCs w:val="21"/>
        </w:rPr>
        <w:t>Granti i Performanc</w:t>
      </w:r>
      <w:r w:rsidR="00C87181">
        <w:rPr>
          <w:rFonts w:asciiTheme="majorHAnsi" w:hAnsiTheme="majorHAnsi"/>
          <w:sz w:val="21"/>
          <w:szCs w:val="21"/>
        </w:rPr>
        <w:t>ë</w:t>
      </w:r>
      <w:r w:rsidR="00CC7B59">
        <w:rPr>
          <w:rFonts w:asciiTheme="majorHAnsi" w:hAnsiTheme="majorHAnsi"/>
          <w:sz w:val="21"/>
          <w:szCs w:val="21"/>
        </w:rPr>
        <w:t>s Komunale p</w:t>
      </w:r>
      <w:r w:rsidR="00C87181">
        <w:rPr>
          <w:rFonts w:asciiTheme="majorHAnsi" w:hAnsiTheme="majorHAnsi"/>
          <w:sz w:val="21"/>
          <w:szCs w:val="21"/>
        </w:rPr>
        <w:t>ë</w:t>
      </w:r>
      <w:r w:rsidR="00CC7B59">
        <w:rPr>
          <w:rFonts w:asciiTheme="majorHAnsi" w:hAnsiTheme="majorHAnsi"/>
          <w:sz w:val="21"/>
          <w:szCs w:val="21"/>
        </w:rPr>
        <w:t>rcakton nj</w:t>
      </w:r>
      <w:r w:rsidR="00C87181">
        <w:rPr>
          <w:rFonts w:asciiTheme="majorHAnsi" w:hAnsiTheme="majorHAnsi"/>
          <w:sz w:val="21"/>
          <w:szCs w:val="21"/>
        </w:rPr>
        <w:t>ë</w:t>
      </w:r>
      <w:r w:rsidR="00CC7B59">
        <w:rPr>
          <w:rFonts w:asciiTheme="majorHAnsi" w:hAnsiTheme="majorHAnsi"/>
          <w:sz w:val="21"/>
          <w:szCs w:val="21"/>
        </w:rPr>
        <w:t xml:space="preserve"> num</w:t>
      </w:r>
      <w:r w:rsidR="00C87181">
        <w:rPr>
          <w:rFonts w:asciiTheme="majorHAnsi" w:hAnsiTheme="majorHAnsi"/>
          <w:sz w:val="21"/>
          <w:szCs w:val="21"/>
        </w:rPr>
        <w:t>ë</w:t>
      </w:r>
      <w:r w:rsidR="00CC7B59">
        <w:rPr>
          <w:rFonts w:asciiTheme="majorHAnsi" w:hAnsiTheme="majorHAnsi"/>
          <w:sz w:val="21"/>
          <w:szCs w:val="21"/>
        </w:rPr>
        <w:t>r objektivash p</w:t>
      </w:r>
      <w:r w:rsidR="00C87181">
        <w:rPr>
          <w:rFonts w:asciiTheme="majorHAnsi" w:hAnsiTheme="majorHAnsi"/>
          <w:sz w:val="21"/>
          <w:szCs w:val="21"/>
        </w:rPr>
        <w:t>ë</w:t>
      </w:r>
      <w:r w:rsidR="00CC7B59">
        <w:rPr>
          <w:rFonts w:asciiTheme="majorHAnsi" w:hAnsiTheme="majorHAnsi"/>
          <w:sz w:val="21"/>
          <w:szCs w:val="21"/>
        </w:rPr>
        <w:t>r pushtetin lokal n</w:t>
      </w:r>
      <w:r w:rsidR="00C87181">
        <w:rPr>
          <w:rFonts w:asciiTheme="majorHAnsi" w:hAnsiTheme="majorHAnsi"/>
          <w:sz w:val="21"/>
          <w:szCs w:val="21"/>
        </w:rPr>
        <w:t>ë</w:t>
      </w:r>
      <w:r w:rsidR="00CC7B59">
        <w:rPr>
          <w:rFonts w:asciiTheme="majorHAnsi" w:hAnsiTheme="majorHAnsi"/>
          <w:sz w:val="21"/>
          <w:szCs w:val="21"/>
        </w:rPr>
        <w:t xml:space="preserve"> m</w:t>
      </w:r>
      <w:r w:rsidR="00C87181">
        <w:rPr>
          <w:rFonts w:asciiTheme="majorHAnsi" w:hAnsiTheme="majorHAnsi"/>
          <w:sz w:val="21"/>
          <w:szCs w:val="21"/>
        </w:rPr>
        <w:t>ë</w:t>
      </w:r>
      <w:r w:rsidR="00CC7B59">
        <w:rPr>
          <w:rFonts w:asciiTheme="majorHAnsi" w:hAnsiTheme="majorHAnsi"/>
          <w:sz w:val="21"/>
          <w:szCs w:val="21"/>
        </w:rPr>
        <w:t>nyr</w:t>
      </w:r>
      <w:r w:rsidR="00C87181">
        <w:rPr>
          <w:rFonts w:asciiTheme="majorHAnsi" w:hAnsiTheme="majorHAnsi"/>
          <w:sz w:val="21"/>
          <w:szCs w:val="21"/>
        </w:rPr>
        <w:t>ë</w:t>
      </w:r>
      <w:r w:rsidR="00CC7B59">
        <w:rPr>
          <w:rFonts w:asciiTheme="majorHAnsi" w:hAnsiTheme="majorHAnsi"/>
          <w:sz w:val="21"/>
          <w:szCs w:val="21"/>
        </w:rPr>
        <w:t xml:space="preserve"> q</w:t>
      </w:r>
      <w:r w:rsidR="00C87181">
        <w:rPr>
          <w:rFonts w:asciiTheme="majorHAnsi" w:hAnsiTheme="majorHAnsi"/>
          <w:sz w:val="21"/>
          <w:szCs w:val="21"/>
        </w:rPr>
        <w:t>ë</w:t>
      </w:r>
      <w:r w:rsidR="00CC7B59">
        <w:rPr>
          <w:rFonts w:asciiTheme="majorHAnsi" w:hAnsiTheme="majorHAnsi"/>
          <w:sz w:val="21"/>
          <w:szCs w:val="21"/>
        </w:rPr>
        <w:t xml:space="preserve"> t</w:t>
      </w:r>
      <w:r w:rsidR="00C87181">
        <w:rPr>
          <w:rFonts w:asciiTheme="majorHAnsi" w:hAnsiTheme="majorHAnsi"/>
          <w:sz w:val="21"/>
          <w:szCs w:val="21"/>
        </w:rPr>
        <w:t>ë</w:t>
      </w:r>
      <w:r w:rsidR="00CC7B59">
        <w:rPr>
          <w:rFonts w:asciiTheme="majorHAnsi" w:hAnsiTheme="majorHAnsi"/>
          <w:sz w:val="21"/>
          <w:szCs w:val="21"/>
        </w:rPr>
        <w:t xml:space="preserve"> rriten kapacitetet institucionale </w:t>
      </w:r>
      <w:r w:rsidR="00C87181">
        <w:rPr>
          <w:rFonts w:asciiTheme="majorHAnsi" w:hAnsiTheme="majorHAnsi"/>
          <w:sz w:val="21"/>
          <w:szCs w:val="21"/>
        </w:rPr>
        <w:t xml:space="preserve">në </w:t>
      </w:r>
      <w:r w:rsidR="00281F04">
        <w:rPr>
          <w:rFonts w:asciiTheme="majorHAnsi" w:hAnsiTheme="majorHAnsi"/>
          <w:sz w:val="21"/>
          <w:szCs w:val="21"/>
        </w:rPr>
        <w:t xml:space="preserve">ushtrimin e kompetencave dhe </w:t>
      </w:r>
      <w:r w:rsidR="00CC7B59">
        <w:rPr>
          <w:rFonts w:asciiTheme="majorHAnsi" w:hAnsiTheme="majorHAnsi"/>
          <w:sz w:val="21"/>
          <w:szCs w:val="21"/>
        </w:rPr>
        <w:t>trajtimin efektiv t</w:t>
      </w:r>
      <w:r w:rsidR="00C87181">
        <w:rPr>
          <w:rFonts w:asciiTheme="majorHAnsi" w:hAnsiTheme="majorHAnsi"/>
          <w:sz w:val="21"/>
          <w:szCs w:val="21"/>
        </w:rPr>
        <w:t>ë</w:t>
      </w:r>
      <w:r w:rsidR="00CC7B59">
        <w:rPr>
          <w:rFonts w:asciiTheme="majorHAnsi" w:hAnsiTheme="majorHAnsi"/>
          <w:sz w:val="21"/>
          <w:szCs w:val="21"/>
        </w:rPr>
        <w:t xml:space="preserve"> ç</w:t>
      </w:r>
      <w:r w:rsidR="00C87181">
        <w:rPr>
          <w:rFonts w:asciiTheme="majorHAnsi" w:hAnsiTheme="majorHAnsi"/>
          <w:sz w:val="21"/>
          <w:szCs w:val="21"/>
        </w:rPr>
        <w:t>ë</w:t>
      </w:r>
      <w:r w:rsidR="00CC7B59">
        <w:rPr>
          <w:rFonts w:asciiTheme="majorHAnsi" w:hAnsiTheme="majorHAnsi"/>
          <w:sz w:val="21"/>
          <w:szCs w:val="21"/>
        </w:rPr>
        <w:t>shtjeve q</w:t>
      </w:r>
      <w:r w:rsidR="00C87181">
        <w:rPr>
          <w:rFonts w:asciiTheme="majorHAnsi" w:hAnsiTheme="majorHAnsi"/>
          <w:sz w:val="21"/>
          <w:szCs w:val="21"/>
        </w:rPr>
        <w:t>ë</w:t>
      </w:r>
      <w:r w:rsidR="00CC7B59">
        <w:rPr>
          <w:rFonts w:asciiTheme="majorHAnsi" w:hAnsiTheme="majorHAnsi"/>
          <w:sz w:val="21"/>
          <w:szCs w:val="21"/>
        </w:rPr>
        <w:t xml:space="preserve"> ndikojn</w:t>
      </w:r>
      <w:r w:rsidR="00C87181">
        <w:rPr>
          <w:rFonts w:asciiTheme="majorHAnsi" w:hAnsiTheme="majorHAnsi"/>
          <w:sz w:val="21"/>
          <w:szCs w:val="21"/>
        </w:rPr>
        <w:t>ë</w:t>
      </w:r>
      <w:r w:rsidR="00CC7B59">
        <w:rPr>
          <w:rFonts w:asciiTheme="majorHAnsi" w:hAnsiTheme="majorHAnsi"/>
          <w:sz w:val="21"/>
          <w:szCs w:val="21"/>
        </w:rPr>
        <w:t xml:space="preserve"> n</w:t>
      </w:r>
      <w:r w:rsidR="00C87181">
        <w:rPr>
          <w:rFonts w:asciiTheme="majorHAnsi" w:hAnsiTheme="majorHAnsi"/>
          <w:sz w:val="21"/>
          <w:szCs w:val="21"/>
        </w:rPr>
        <w:t>ë</w:t>
      </w:r>
      <w:r w:rsidR="00CC7B59">
        <w:rPr>
          <w:rFonts w:asciiTheme="majorHAnsi" w:hAnsiTheme="majorHAnsi"/>
          <w:sz w:val="21"/>
          <w:szCs w:val="21"/>
        </w:rPr>
        <w:t xml:space="preserve"> jet</w:t>
      </w:r>
      <w:r w:rsidR="00C87181">
        <w:rPr>
          <w:rFonts w:asciiTheme="majorHAnsi" w:hAnsiTheme="majorHAnsi"/>
          <w:sz w:val="21"/>
          <w:szCs w:val="21"/>
        </w:rPr>
        <w:t>ë</w:t>
      </w:r>
      <w:r w:rsidR="00CC7B59">
        <w:rPr>
          <w:rFonts w:asciiTheme="majorHAnsi" w:hAnsiTheme="majorHAnsi"/>
          <w:sz w:val="21"/>
          <w:szCs w:val="21"/>
        </w:rPr>
        <w:t>n e qytetar</w:t>
      </w:r>
      <w:r w:rsidR="00C87181">
        <w:rPr>
          <w:rFonts w:asciiTheme="majorHAnsi" w:hAnsiTheme="majorHAnsi"/>
          <w:sz w:val="21"/>
          <w:szCs w:val="21"/>
        </w:rPr>
        <w:t>ë</w:t>
      </w:r>
      <w:r w:rsidR="00CC7B59">
        <w:rPr>
          <w:rFonts w:asciiTheme="majorHAnsi" w:hAnsiTheme="majorHAnsi"/>
          <w:sz w:val="21"/>
          <w:szCs w:val="21"/>
        </w:rPr>
        <w:t xml:space="preserve">ve. </w:t>
      </w:r>
    </w:p>
    <w:p w14:paraId="79C69E13" w14:textId="77777777" w:rsidR="000D6CE5" w:rsidRPr="004D2E1C" w:rsidRDefault="00CC7B59"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0"/>
          <w:szCs w:val="20"/>
        </w:rPr>
      </w:pPr>
      <w:r>
        <w:rPr>
          <w:rFonts w:asciiTheme="majorHAnsi" w:hAnsiTheme="majorHAnsi"/>
          <w:sz w:val="21"/>
          <w:szCs w:val="21"/>
        </w:rPr>
        <w:t>Lidhur me k</w:t>
      </w:r>
      <w:r w:rsidR="00C87181">
        <w:rPr>
          <w:rFonts w:asciiTheme="majorHAnsi" w:hAnsiTheme="majorHAnsi"/>
          <w:sz w:val="21"/>
          <w:szCs w:val="21"/>
        </w:rPr>
        <w:t>ë</w:t>
      </w:r>
      <w:r>
        <w:rPr>
          <w:rFonts w:asciiTheme="majorHAnsi" w:hAnsiTheme="majorHAnsi"/>
          <w:sz w:val="21"/>
          <w:szCs w:val="21"/>
        </w:rPr>
        <w:t>t</w:t>
      </w:r>
      <w:r w:rsidR="00C87181">
        <w:rPr>
          <w:rFonts w:asciiTheme="majorHAnsi" w:hAnsiTheme="majorHAnsi"/>
          <w:sz w:val="21"/>
          <w:szCs w:val="21"/>
        </w:rPr>
        <w:t>ë</w:t>
      </w:r>
      <w:r>
        <w:rPr>
          <w:rFonts w:asciiTheme="majorHAnsi" w:hAnsiTheme="majorHAnsi"/>
          <w:sz w:val="21"/>
          <w:szCs w:val="21"/>
        </w:rPr>
        <w:t xml:space="preserve">, </w:t>
      </w:r>
      <w:r w:rsidR="00C87181">
        <w:rPr>
          <w:rFonts w:asciiTheme="majorHAnsi" w:hAnsiTheme="majorHAnsi"/>
          <w:sz w:val="21"/>
          <w:szCs w:val="21"/>
        </w:rPr>
        <w:t>t</w:t>
      </w:r>
      <w:r w:rsidRPr="004D2E1C">
        <w:rPr>
          <w:rFonts w:asciiTheme="majorHAnsi" w:hAnsiTheme="majorHAnsi"/>
          <w:sz w:val="21"/>
          <w:szCs w:val="21"/>
        </w:rPr>
        <w:t xml:space="preserve">emat </w:t>
      </w:r>
      <w:r w:rsidR="000D6CE5" w:rsidRPr="004D2E1C">
        <w:rPr>
          <w:rFonts w:asciiTheme="majorHAnsi" w:hAnsiTheme="majorHAnsi"/>
          <w:sz w:val="21"/>
          <w:szCs w:val="21"/>
        </w:rPr>
        <w:t xml:space="preserve">në vijim janë identifikuar si </w:t>
      </w:r>
      <w:r>
        <w:rPr>
          <w:rFonts w:asciiTheme="majorHAnsi" w:hAnsiTheme="majorHAnsi"/>
          <w:sz w:val="21"/>
          <w:szCs w:val="21"/>
        </w:rPr>
        <w:t>objektiva</w:t>
      </w:r>
      <w:r w:rsidRPr="004D2E1C">
        <w:rPr>
          <w:rFonts w:asciiTheme="majorHAnsi" w:hAnsiTheme="majorHAnsi"/>
          <w:sz w:val="21"/>
          <w:szCs w:val="21"/>
        </w:rPr>
        <w:t xml:space="preserve"> </w:t>
      </w:r>
      <w:r w:rsidR="000D6CE5" w:rsidRPr="004D2E1C">
        <w:rPr>
          <w:rFonts w:asciiTheme="majorHAnsi" w:hAnsiTheme="majorHAnsi"/>
          <w:sz w:val="21"/>
          <w:szCs w:val="21"/>
        </w:rPr>
        <w:t>prioritare për përmirësimin e performancës komunale</w:t>
      </w:r>
      <w:r>
        <w:rPr>
          <w:rFonts w:asciiTheme="majorHAnsi" w:hAnsiTheme="majorHAnsi"/>
          <w:sz w:val="21"/>
          <w:szCs w:val="21"/>
        </w:rPr>
        <w:t>, si vijon</w:t>
      </w:r>
      <w:r w:rsidR="000D6CE5" w:rsidRPr="004D2E1C">
        <w:rPr>
          <w:rFonts w:asciiTheme="majorHAnsi" w:hAnsiTheme="majorHAnsi"/>
          <w:sz w:val="21"/>
          <w:szCs w:val="21"/>
        </w:rPr>
        <w:t>:</w:t>
      </w:r>
    </w:p>
    <w:p w14:paraId="53AB3836" w14:textId="77777777" w:rsidR="006A2D10" w:rsidRPr="006A2D10" w:rsidRDefault="006A2D10" w:rsidP="009A3BEC">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6A2D10">
        <w:rPr>
          <w:rFonts w:asciiTheme="majorHAnsi" w:hAnsiTheme="majorHAnsi"/>
          <w:b/>
          <w:sz w:val="21"/>
          <w:szCs w:val="21"/>
        </w:rPr>
        <w:t>Komunat të funksionojnë si institucione lokale demokratike</w:t>
      </w:r>
      <w:r w:rsidR="00C87181">
        <w:rPr>
          <w:rFonts w:asciiTheme="majorHAnsi" w:hAnsiTheme="majorHAnsi"/>
          <w:b/>
          <w:sz w:val="21"/>
          <w:szCs w:val="21"/>
        </w:rPr>
        <w:t xml:space="preserve"> -</w:t>
      </w:r>
      <w:r w:rsidRPr="006A2D10">
        <w:rPr>
          <w:rFonts w:asciiTheme="majorHAnsi" w:hAnsiTheme="majorHAnsi"/>
          <w:sz w:val="21"/>
          <w:szCs w:val="21"/>
        </w:rPr>
        <w:t xml:space="preserve"> që respektojnë standardet ligjore të transparencës, me kuvend komunal të fuqishëm që i përfaqëson qytetarët dhe ka pushtetin të mbikëqyrë ekzekutivin</w:t>
      </w:r>
      <w:r w:rsidR="008963AC">
        <w:rPr>
          <w:rFonts w:asciiTheme="majorHAnsi" w:hAnsiTheme="majorHAnsi"/>
          <w:sz w:val="21"/>
          <w:szCs w:val="21"/>
        </w:rPr>
        <w:t xml:space="preserve">, </w:t>
      </w:r>
      <w:r w:rsidRPr="006A2D10">
        <w:rPr>
          <w:rFonts w:asciiTheme="majorHAnsi" w:hAnsiTheme="majorHAnsi"/>
          <w:sz w:val="21"/>
          <w:szCs w:val="21"/>
        </w:rPr>
        <w:t xml:space="preserve">ndërsa qytetarët kanë mundësinë të </w:t>
      </w:r>
      <w:r w:rsidR="00C87181">
        <w:rPr>
          <w:rFonts w:asciiTheme="majorHAnsi" w:hAnsiTheme="majorHAnsi"/>
          <w:sz w:val="21"/>
          <w:szCs w:val="21"/>
        </w:rPr>
        <w:t xml:space="preserve">shfaqin </w:t>
      </w:r>
      <w:r w:rsidRPr="006A2D10">
        <w:rPr>
          <w:rFonts w:asciiTheme="majorHAnsi" w:hAnsiTheme="majorHAnsi"/>
          <w:sz w:val="21"/>
          <w:szCs w:val="21"/>
        </w:rPr>
        <w:t>shqetësime</w:t>
      </w:r>
      <w:r w:rsidR="005B0065">
        <w:rPr>
          <w:rFonts w:asciiTheme="majorHAnsi" w:hAnsiTheme="majorHAnsi"/>
          <w:sz w:val="21"/>
          <w:szCs w:val="21"/>
        </w:rPr>
        <w:t>t</w:t>
      </w:r>
      <w:r w:rsidRPr="006A2D10">
        <w:rPr>
          <w:rFonts w:asciiTheme="majorHAnsi" w:hAnsiTheme="majorHAnsi"/>
          <w:sz w:val="21"/>
          <w:szCs w:val="21"/>
        </w:rPr>
        <w:t xml:space="preserve"> dhe sugjerime</w:t>
      </w:r>
      <w:r w:rsidR="005B0065">
        <w:rPr>
          <w:rFonts w:asciiTheme="majorHAnsi" w:hAnsiTheme="majorHAnsi"/>
          <w:sz w:val="21"/>
          <w:szCs w:val="21"/>
        </w:rPr>
        <w:t>t</w:t>
      </w:r>
      <w:r w:rsidRPr="006A2D10">
        <w:rPr>
          <w:rFonts w:asciiTheme="majorHAnsi" w:hAnsiTheme="majorHAnsi"/>
          <w:sz w:val="21"/>
          <w:szCs w:val="21"/>
        </w:rPr>
        <w:t xml:space="preserve"> </w:t>
      </w:r>
      <w:r w:rsidR="005B0065">
        <w:rPr>
          <w:rFonts w:asciiTheme="majorHAnsi" w:hAnsiTheme="majorHAnsi"/>
          <w:sz w:val="21"/>
          <w:szCs w:val="21"/>
        </w:rPr>
        <w:t>e tyre</w:t>
      </w:r>
      <w:r w:rsidRPr="006A2D10">
        <w:rPr>
          <w:rFonts w:asciiTheme="majorHAnsi" w:hAnsiTheme="majorHAnsi"/>
          <w:sz w:val="21"/>
          <w:szCs w:val="21"/>
        </w:rPr>
        <w:t>;</w:t>
      </w:r>
    </w:p>
    <w:p w14:paraId="6A984C73" w14:textId="77777777" w:rsidR="000D6CE5" w:rsidRPr="004D2E1C" w:rsidRDefault="006A2D10" w:rsidP="009A3BEC">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6A2D10">
        <w:rPr>
          <w:rFonts w:asciiTheme="majorHAnsi" w:hAnsiTheme="majorHAnsi"/>
          <w:b/>
          <w:sz w:val="21"/>
          <w:szCs w:val="21"/>
        </w:rPr>
        <w:t>Komunat të kenë një menaxhim efektiv dhe efikas komunal</w:t>
      </w:r>
      <w:r w:rsidR="005B0065">
        <w:rPr>
          <w:rFonts w:asciiTheme="majorHAnsi" w:hAnsiTheme="majorHAnsi"/>
          <w:sz w:val="21"/>
          <w:szCs w:val="21"/>
        </w:rPr>
        <w:t xml:space="preserve"> - </w:t>
      </w:r>
      <w:r w:rsidRPr="006A2D10">
        <w:rPr>
          <w:rFonts w:asciiTheme="majorHAnsi" w:hAnsiTheme="majorHAnsi"/>
          <w:sz w:val="21"/>
          <w:szCs w:val="21"/>
        </w:rPr>
        <w:t>që është neutral dhe i paanshëm</w:t>
      </w:r>
      <w:r w:rsidR="002C175E">
        <w:rPr>
          <w:rFonts w:asciiTheme="majorHAnsi" w:hAnsiTheme="majorHAnsi"/>
          <w:sz w:val="21"/>
          <w:szCs w:val="21"/>
        </w:rPr>
        <w:t>;</w:t>
      </w:r>
      <w:r w:rsidR="003173F5">
        <w:rPr>
          <w:rFonts w:asciiTheme="majorHAnsi" w:hAnsiTheme="majorHAnsi"/>
          <w:sz w:val="21"/>
          <w:szCs w:val="21"/>
        </w:rPr>
        <w:t xml:space="preserve"> dhe</w:t>
      </w:r>
    </w:p>
    <w:p w14:paraId="6FB9DA00" w14:textId="77777777" w:rsidR="003173F5" w:rsidRDefault="003173F5" w:rsidP="009A3BEC">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bookmarkStart w:id="10" w:name="_Toc170004021"/>
      <w:bookmarkStart w:id="11" w:name="_Toc170432962"/>
      <w:bookmarkStart w:id="12" w:name="_Toc236632744"/>
      <w:bookmarkEnd w:id="5"/>
      <w:bookmarkEnd w:id="6"/>
      <w:bookmarkEnd w:id="7"/>
      <w:bookmarkEnd w:id="9"/>
      <w:r w:rsidRPr="006A2D10">
        <w:rPr>
          <w:rFonts w:asciiTheme="majorHAnsi" w:hAnsiTheme="majorHAnsi"/>
          <w:b/>
          <w:sz w:val="21"/>
          <w:szCs w:val="21"/>
        </w:rPr>
        <w:t>Komunat të ofrojnë shërbime</w:t>
      </w:r>
      <w:r w:rsidRPr="006A2D10">
        <w:rPr>
          <w:rFonts w:asciiTheme="majorHAnsi" w:hAnsiTheme="majorHAnsi"/>
          <w:sz w:val="21"/>
          <w:szCs w:val="21"/>
        </w:rPr>
        <w:t xml:space="preserve"> </w:t>
      </w:r>
      <w:r w:rsidR="005B0065" w:rsidRPr="00D812D8">
        <w:rPr>
          <w:rFonts w:asciiTheme="majorHAnsi" w:hAnsiTheme="majorHAnsi"/>
          <w:b/>
          <w:sz w:val="21"/>
          <w:szCs w:val="21"/>
        </w:rPr>
        <w:t>cil</w:t>
      </w:r>
      <w:r w:rsidR="005B0065">
        <w:rPr>
          <w:rFonts w:asciiTheme="majorHAnsi" w:hAnsiTheme="majorHAnsi"/>
          <w:b/>
          <w:sz w:val="21"/>
          <w:szCs w:val="21"/>
        </w:rPr>
        <w:t>ë</w:t>
      </w:r>
      <w:r w:rsidR="005B0065" w:rsidRPr="00D812D8">
        <w:rPr>
          <w:rFonts w:asciiTheme="majorHAnsi" w:hAnsiTheme="majorHAnsi"/>
          <w:b/>
          <w:sz w:val="21"/>
          <w:szCs w:val="21"/>
        </w:rPr>
        <w:t>sore</w:t>
      </w:r>
      <w:r w:rsidR="005B0065">
        <w:rPr>
          <w:rFonts w:asciiTheme="majorHAnsi" w:hAnsiTheme="majorHAnsi"/>
          <w:sz w:val="21"/>
          <w:szCs w:val="21"/>
        </w:rPr>
        <w:t xml:space="preserve"> </w:t>
      </w:r>
      <w:r w:rsidR="005B0065" w:rsidRPr="00D812D8">
        <w:rPr>
          <w:rFonts w:asciiTheme="majorHAnsi" w:hAnsiTheme="majorHAnsi"/>
          <w:b/>
          <w:sz w:val="21"/>
          <w:szCs w:val="21"/>
        </w:rPr>
        <w:t>-</w:t>
      </w:r>
      <w:r w:rsidR="005B0065">
        <w:rPr>
          <w:rFonts w:asciiTheme="majorHAnsi" w:hAnsiTheme="majorHAnsi"/>
          <w:sz w:val="21"/>
          <w:szCs w:val="21"/>
        </w:rPr>
        <w:t xml:space="preserve"> </w:t>
      </w:r>
      <w:r w:rsidRPr="006A2D10">
        <w:rPr>
          <w:rFonts w:asciiTheme="majorHAnsi" w:hAnsiTheme="majorHAnsi"/>
          <w:sz w:val="21"/>
          <w:szCs w:val="21"/>
        </w:rPr>
        <w:t>në përgjigjje ndaj prioriteteve dhe nevojave të qytetarëve</w:t>
      </w:r>
      <w:r w:rsidR="005B0065">
        <w:rPr>
          <w:rFonts w:asciiTheme="majorHAnsi" w:hAnsiTheme="majorHAnsi"/>
          <w:sz w:val="21"/>
          <w:szCs w:val="21"/>
        </w:rPr>
        <w:t xml:space="preserve">, </w:t>
      </w:r>
      <w:r w:rsidRPr="006A2D10">
        <w:rPr>
          <w:rFonts w:asciiTheme="majorHAnsi" w:hAnsiTheme="majorHAnsi"/>
          <w:sz w:val="21"/>
          <w:szCs w:val="21"/>
        </w:rPr>
        <w:t>duke i trajtuar të gjithë në mënyrë të barabartë</w:t>
      </w:r>
      <w:r>
        <w:rPr>
          <w:rFonts w:asciiTheme="majorHAnsi" w:hAnsiTheme="majorHAnsi"/>
          <w:sz w:val="21"/>
          <w:szCs w:val="21"/>
        </w:rPr>
        <w:t>.</w:t>
      </w:r>
    </w:p>
    <w:p w14:paraId="47ED265D" w14:textId="77777777" w:rsidR="001A1CD1" w:rsidRDefault="001A1CD1" w:rsidP="00D812D8">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ind w:left="921"/>
        <w:jc w:val="both"/>
        <w:rPr>
          <w:rFonts w:asciiTheme="majorHAnsi" w:hAnsiTheme="majorHAnsi"/>
          <w:sz w:val="21"/>
          <w:szCs w:val="21"/>
        </w:rPr>
      </w:pPr>
    </w:p>
    <w:p w14:paraId="6FE59B11" w14:textId="77777777" w:rsidR="000D6CE5" w:rsidRPr="0052538C" w:rsidRDefault="001C056F" w:rsidP="0052538C">
      <w:pPr>
        <w:pStyle w:val="Heading1"/>
        <w:numPr>
          <w:ilvl w:val="1"/>
          <w:numId w:val="3"/>
        </w:numPr>
        <w:tabs>
          <w:tab w:val="left" w:pos="540"/>
        </w:tabs>
        <w:ind w:left="1134" w:hanging="1134"/>
        <w:rPr>
          <w:rFonts w:asciiTheme="majorHAnsi" w:hAnsiTheme="majorHAnsi"/>
          <w:color w:val="C0504D" w:themeColor="accent2"/>
          <w:szCs w:val="28"/>
          <w:lang w:val="sq-AL"/>
        </w:rPr>
      </w:pPr>
      <w:bookmarkStart w:id="13" w:name="_Toc61062512"/>
      <w:r w:rsidRPr="0052538C">
        <w:rPr>
          <w:rFonts w:asciiTheme="majorHAnsi" w:hAnsiTheme="majorHAnsi"/>
          <w:color w:val="C0504D" w:themeColor="accent2"/>
          <w:szCs w:val="28"/>
          <w:lang w:val="sq-AL"/>
        </w:rPr>
        <w:t>Baza juridike</w:t>
      </w:r>
      <w:bookmarkEnd w:id="13"/>
    </w:p>
    <w:p w14:paraId="4310C078" w14:textId="77777777" w:rsidR="00261BFF" w:rsidRPr="00A05BAE" w:rsidRDefault="00B37625" w:rsidP="00A05BAE">
      <w:pPr>
        <w:rPr>
          <w:rFonts w:asciiTheme="majorHAnsi" w:hAnsiTheme="majorHAnsi"/>
          <w:sz w:val="21"/>
          <w:szCs w:val="21"/>
        </w:rPr>
      </w:pPr>
      <w:bookmarkStart w:id="14" w:name="_Toc61049476"/>
      <w:bookmarkStart w:id="15" w:name="_Toc61062340"/>
      <w:bookmarkStart w:id="16" w:name="_Toc61062513"/>
      <w:bookmarkEnd w:id="10"/>
      <w:bookmarkEnd w:id="11"/>
      <w:bookmarkEnd w:id="12"/>
      <w:r w:rsidRPr="00A05BAE">
        <w:rPr>
          <w:rFonts w:asciiTheme="majorHAnsi" w:hAnsiTheme="majorHAnsi"/>
          <w:sz w:val="21"/>
          <w:szCs w:val="21"/>
        </w:rPr>
        <w:t>Rregullat e Grantit t</w:t>
      </w:r>
      <w:r w:rsidR="00675BB6" w:rsidRPr="00A05BAE">
        <w:rPr>
          <w:rFonts w:asciiTheme="majorHAnsi" w:hAnsiTheme="majorHAnsi"/>
          <w:sz w:val="21"/>
          <w:szCs w:val="21"/>
        </w:rPr>
        <w:t>ë</w:t>
      </w:r>
      <w:r w:rsidRPr="00A05BAE">
        <w:rPr>
          <w:rFonts w:asciiTheme="majorHAnsi" w:hAnsiTheme="majorHAnsi"/>
          <w:sz w:val="21"/>
          <w:szCs w:val="21"/>
        </w:rPr>
        <w:t xml:space="preserve"> Performanc</w:t>
      </w:r>
      <w:r w:rsidR="00675BB6" w:rsidRPr="00A05BAE">
        <w:rPr>
          <w:rFonts w:asciiTheme="majorHAnsi" w:hAnsiTheme="majorHAnsi"/>
          <w:sz w:val="21"/>
          <w:szCs w:val="21"/>
        </w:rPr>
        <w:t>ë</w:t>
      </w:r>
      <w:r w:rsidRPr="00A05BAE">
        <w:rPr>
          <w:rFonts w:asciiTheme="majorHAnsi" w:hAnsiTheme="majorHAnsi"/>
          <w:sz w:val="21"/>
          <w:szCs w:val="21"/>
        </w:rPr>
        <w:t>s Komunale (GPK) jan</w:t>
      </w:r>
      <w:r w:rsidR="00675BB6" w:rsidRPr="00A05BAE">
        <w:rPr>
          <w:rFonts w:asciiTheme="majorHAnsi" w:hAnsiTheme="majorHAnsi"/>
          <w:sz w:val="21"/>
          <w:szCs w:val="21"/>
        </w:rPr>
        <w:t>ë</w:t>
      </w:r>
      <w:r w:rsidRPr="00A05BAE">
        <w:rPr>
          <w:rFonts w:asciiTheme="majorHAnsi" w:hAnsiTheme="majorHAnsi"/>
          <w:sz w:val="21"/>
          <w:szCs w:val="21"/>
        </w:rPr>
        <w:t xml:space="preserve"> t</w:t>
      </w:r>
      <w:r w:rsidR="00675BB6" w:rsidRPr="00A05BAE">
        <w:rPr>
          <w:rFonts w:asciiTheme="majorHAnsi" w:hAnsiTheme="majorHAnsi"/>
          <w:sz w:val="21"/>
          <w:szCs w:val="21"/>
        </w:rPr>
        <w:t>ë</w:t>
      </w:r>
      <w:r w:rsidRPr="00A05BAE">
        <w:rPr>
          <w:rFonts w:asciiTheme="majorHAnsi" w:hAnsiTheme="majorHAnsi"/>
          <w:sz w:val="21"/>
          <w:szCs w:val="21"/>
        </w:rPr>
        <w:t xml:space="preserve"> normuara me Rregulloren 01/2020 p</w:t>
      </w:r>
      <w:r w:rsidR="00675BB6" w:rsidRPr="00A05BAE">
        <w:rPr>
          <w:rFonts w:asciiTheme="majorHAnsi" w:hAnsiTheme="majorHAnsi"/>
          <w:sz w:val="21"/>
          <w:szCs w:val="21"/>
        </w:rPr>
        <w:t>ë</w:t>
      </w:r>
      <w:r w:rsidRPr="00A05BAE">
        <w:rPr>
          <w:rFonts w:asciiTheme="majorHAnsi" w:hAnsiTheme="majorHAnsi"/>
          <w:sz w:val="21"/>
          <w:szCs w:val="21"/>
        </w:rPr>
        <w:t>r Sistemin e Menaxhimit t</w:t>
      </w:r>
      <w:r w:rsidR="00675BB6" w:rsidRPr="00A05BAE">
        <w:rPr>
          <w:rFonts w:asciiTheme="majorHAnsi" w:hAnsiTheme="majorHAnsi"/>
          <w:sz w:val="21"/>
          <w:szCs w:val="21"/>
        </w:rPr>
        <w:t>ë</w:t>
      </w:r>
      <w:r w:rsidRPr="00A05BAE">
        <w:rPr>
          <w:rFonts w:asciiTheme="majorHAnsi" w:hAnsiTheme="majorHAnsi"/>
          <w:sz w:val="21"/>
          <w:szCs w:val="21"/>
        </w:rPr>
        <w:t xml:space="preserve"> Performanc</w:t>
      </w:r>
      <w:r w:rsidR="00675BB6" w:rsidRPr="00A05BAE">
        <w:rPr>
          <w:rFonts w:asciiTheme="majorHAnsi" w:hAnsiTheme="majorHAnsi"/>
          <w:sz w:val="21"/>
          <w:szCs w:val="21"/>
        </w:rPr>
        <w:t>ë</w:t>
      </w:r>
      <w:r w:rsidRPr="00A05BAE">
        <w:rPr>
          <w:rFonts w:asciiTheme="majorHAnsi" w:hAnsiTheme="majorHAnsi"/>
          <w:sz w:val="21"/>
          <w:szCs w:val="21"/>
        </w:rPr>
        <w:t>s Komunale dhe Skem</w:t>
      </w:r>
      <w:r w:rsidR="00675BB6" w:rsidRPr="00A05BAE">
        <w:rPr>
          <w:rFonts w:asciiTheme="majorHAnsi" w:hAnsiTheme="majorHAnsi"/>
          <w:sz w:val="21"/>
          <w:szCs w:val="21"/>
        </w:rPr>
        <w:t>ë</w:t>
      </w:r>
      <w:r w:rsidRPr="00A05BAE">
        <w:rPr>
          <w:rFonts w:asciiTheme="majorHAnsi" w:hAnsiTheme="majorHAnsi"/>
          <w:sz w:val="21"/>
          <w:szCs w:val="21"/>
        </w:rPr>
        <w:t>n e Grantit p</w:t>
      </w:r>
      <w:r w:rsidR="00675BB6" w:rsidRPr="00A05BAE">
        <w:rPr>
          <w:rFonts w:asciiTheme="majorHAnsi" w:hAnsiTheme="majorHAnsi"/>
          <w:sz w:val="21"/>
          <w:szCs w:val="21"/>
        </w:rPr>
        <w:t>ë</w:t>
      </w:r>
      <w:r w:rsidRPr="00A05BAE">
        <w:rPr>
          <w:rFonts w:asciiTheme="majorHAnsi" w:hAnsiTheme="majorHAnsi"/>
          <w:sz w:val="21"/>
          <w:szCs w:val="21"/>
        </w:rPr>
        <w:t>r Performanc</w:t>
      </w:r>
      <w:r w:rsidR="00675BB6" w:rsidRPr="00A05BAE">
        <w:rPr>
          <w:rFonts w:asciiTheme="majorHAnsi" w:hAnsiTheme="majorHAnsi"/>
          <w:sz w:val="21"/>
          <w:szCs w:val="21"/>
        </w:rPr>
        <w:t>ë</w:t>
      </w:r>
      <w:r w:rsidRPr="00A05BAE">
        <w:rPr>
          <w:rFonts w:asciiTheme="majorHAnsi" w:hAnsiTheme="majorHAnsi"/>
          <w:sz w:val="21"/>
          <w:szCs w:val="21"/>
        </w:rPr>
        <w:t xml:space="preserve"> Komunale.</w:t>
      </w:r>
      <w:bookmarkEnd w:id="14"/>
      <w:bookmarkEnd w:id="15"/>
      <w:bookmarkEnd w:id="16"/>
    </w:p>
    <w:p w14:paraId="74B49B0D" w14:textId="77777777" w:rsidR="005A0B99" w:rsidRPr="00D812D8" w:rsidRDefault="005A0B99" w:rsidP="00D812D8">
      <w:pPr>
        <w:rPr>
          <w:rFonts w:asciiTheme="majorHAnsi" w:hAnsiTheme="majorHAnsi"/>
          <w:sz w:val="21"/>
          <w:szCs w:val="21"/>
        </w:rPr>
      </w:pPr>
    </w:p>
    <w:p w14:paraId="4FAD2B4C" w14:textId="77777777" w:rsidR="005A0B99" w:rsidRPr="00D812D8" w:rsidRDefault="00EB7567" w:rsidP="00D812D8">
      <w:pPr>
        <w:rPr>
          <w:rFonts w:asciiTheme="majorHAnsi" w:hAnsiTheme="majorHAnsi"/>
          <w:b/>
          <w:sz w:val="21"/>
          <w:szCs w:val="21"/>
        </w:rPr>
      </w:pPr>
      <w:r w:rsidRPr="00D812D8">
        <w:rPr>
          <w:rFonts w:asciiTheme="majorHAnsi" w:hAnsiTheme="majorHAnsi"/>
          <w:sz w:val="21"/>
          <w:szCs w:val="21"/>
        </w:rPr>
        <w:t xml:space="preserve">Aspektet e tjera </w:t>
      </w:r>
      <w:r w:rsidR="00C77F99" w:rsidRPr="00D812D8">
        <w:rPr>
          <w:rFonts w:asciiTheme="majorHAnsi" w:hAnsiTheme="majorHAnsi"/>
          <w:sz w:val="21"/>
          <w:szCs w:val="21"/>
        </w:rPr>
        <w:t xml:space="preserve">materiale </w:t>
      </w:r>
      <w:r w:rsidRPr="00D812D8">
        <w:rPr>
          <w:rFonts w:asciiTheme="majorHAnsi" w:hAnsiTheme="majorHAnsi"/>
          <w:sz w:val="21"/>
          <w:szCs w:val="21"/>
        </w:rPr>
        <w:t>dhe procedurale jan</w:t>
      </w:r>
      <w:r w:rsidR="00C87181" w:rsidRPr="00D812D8">
        <w:rPr>
          <w:rFonts w:asciiTheme="majorHAnsi" w:hAnsiTheme="majorHAnsi"/>
          <w:sz w:val="21"/>
          <w:szCs w:val="21"/>
        </w:rPr>
        <w:t>ë</w:t>
      </w:r>
      <w:r w:rsidRPr="00D812D8">
        <w:rPr>
          <w:rFonts w:asciiTheme="majorHAnsi" w:hAnsiTheme="majorHAnsi"/>
          <w:sz w:val="21"/>
          <w:szCs w:val="21"/>
        </w:rPr>
        <w:t xml:space="preserve"> objekt i trajtimit </w:t>
      </w:r>
      <w:r w:rsidR="00C77F99" w:rsidRPr="00D812D8">
        <w:rPr>
          <w:rFonts w:asciiTheme="majorHAnsi" w:hAnsiTheme="majorHAnsi"/>
          <w:sz w:val="21"/>
          <w:szCs w:val="21"/>
        </w:rPr>
        <w:t>n</w:t>
      </w:r>
      <w:r w:rsidR="00C87181" w:rsidRPr="00D812D8">
        <w:rPr>
          <w:rFonts w:asciiTheme="majorHAnsi" w:hAnsiTheme="majorHAnsi"/>
          <w:sz w:val="21"/>
          <w:szCs w:val="21"/>
        </w:rPr>
        <w:t>ë</w:t>
      </w:r>
      <w:r w:rsidR="00C77F99" w:rsidRPr="00D812D8">
        <w:rPr>
          <w:rFonts w:asciiTheme="majorHAnsi" w:hAnsiTheme="majorHAnsi"/>
          <w:sz w:val="21"/>
          <w:szCs w:val="21"/>
        </w:rPr>
        <w:t xml:space="preserve"> </w:t>
      </w:r>
      <w:r w:rsidRPr="00D812D8">
        <w:rPr>
          <w:rFonts w:asciiTheme="majorHAnsi" w:hAnsiTheme="majorHAnsi"/>
          <w:sz w:val="21"/>
          <w:szCs w:val="21"/>
        </w:rPr>
        <w:t>Rregulla</w:t>
      </w:r>
      <w:r w:rsidR="00C77F99" w:rsidRPr="00D812D8">
        <w:rPr>
          <w:rFonts w:asciiTheme="majorHAnsi" w:hAnsiTheme="majorHAnsi"/>
          <w:sz w:val="21"/>
          <w:szCs w:val="21"/>
        </w:rPr>
        <w:t>t</w:t>
      </w:r>
      <w:r w:rsidRPr="00D812D8">
        <w:rPr>
          <w:rFonts w:asciiTheme="majorHAnsi" w:hAnsiTheme="majorHAnsi"/>
          <w:sz w:val="21"/>
          <w:szCs w:val="21"/>
        </w:rPr>
        <w:t xml:space="preserve"> </w:t>
      </w:r>
      <w:r w:rsidR="00C77F99" w:rsidRPr="00D812D8">
        <w:rPr>
          <w:rFonts w:asciiTheme="majorHAnsi" w:hAnsiTheme="majorHAnsi"/>
          <w:sz w:val="21"/>
          <w:szCs w:val="21"/>
        </w:rPr>
        <w:t xml:space="preserve">e </w:t>
      </w:r>
      <w:r w:rsidR="00C54709">
        <w:rPr>
          <w:rFonts w:asciiTheme="majorHAnsi" w:hAnsiTheme="majorHAnsi"/>
          <w:sz w:val="21"/>
          <w:szCs w:val="21"/>
        </w:rPr>
        <w:t xml:space="preserve">GPK-së </w:t>
      </w:r>
      <w:r w:rsidR="00C77F99" w:rsidRPr="00D812D8">
        <w:rPr>
          <w:rFonts w:asciiTheme="majorHAnsi" w:hAnsiTheme="majorHAnsi"/>
          <w:sz w:val="21"/>
          <w:szCs w:val="21"/>
        </w:rPr>
        <w:t>t</w:t>
      </w:r>
      <w:r w:rsidR="00C87181" w:rsidRPr="00D812D8">
        <w:rPr>
          <w:rFonts w:asciiTheme="majorHAnsi" w:hAnsiTheme="majorHAnsi"/>
          <w:sz w:val="21"/>
          <w:szCs w:val="21"/>
        </w:rPr>
        <w:t>ë</w:t>
      </w:r>
      <w:r w:rsidR="00C77F99" w:rsidRPr="00D812D8">
        <w:rPr>
          <w:rFonts w:asciiTheme="majorHAnsi" w:hAnsiTheme="majorHAnsi"/>
          <w:sz w:val="21"/>
          <w:szCs w:val="21"/>
        </w:rPr>
        <w:t xml:space="preserve"> </w:t>
      </w:r>
      <w:r w:rsidRPr="00D812D8">
        <w:rPr>
          <w:rFonts w:asciiTheme="majorHAnsi" w:hAnsiTheme="majorHAnsi"/>
          <w:sz w:val="21"/>
          <w:szCs w:val="21"/>
        </w:rPr>
        <w:t>p</w:t>
      </w:r>
      <w:r w:rsidR="00C87181" w:rsidRPr="00D812D8">
        <w:rPr>
          <w:rFonts w:asciiTheme="majorHAnsi" w:hAnsiTheme="majorHAnsi"/>
          <w:sz w:val="21"/>
          <w:szCs w:val="21"/>
        </w:rPr>
        <w:t>ë</w:t>
      </w:r>
      <w:r w:rsidRPr="00D812D8">
        <w:rPr>
          <w:rFonts w:asciiTheme="majorHAnsi" w:hAnsiTheme="majorHAnsi"/>
          <w:sz w:val="21"/>
          <w:szCs w:val="21"/>
        </w:rPr>
        <w:t>rcaktuara n</w:t>
      </w:r>
      <w:r w:rsidR="00C87181" w:rsidRPr="00D812D8">
        <w:rPr>
          <w:rFonts w:asciiTheme="majorHAnsi" w:hAnsiTheme="majorHAnsi"/>
          <w:sz w:val="21"/>
          <w:szCs w:val="21"/>
        </w:rPr>
        <w:t>ë</w:t>
      </w:r>
      <w:r w:rsidRPr="00D812D8">
        <w:rPr>
          <w:rFonts w:asciiTheme="majorHAnsi" w:hAnsiTheme="majorHAnsi"/>
          <w:sz w:val="21"/>
          <w:szCs w:val="21"/>
        </w:rPr>
        <w:t xml:space="preserve"> k</w:t>
      </w:r>
      <w:r w:rsidR="00C87181" w:rsidRPr="00D812D8">
        <w:rPr>
          <w:rFonts w:asciiTheme="majorHAnsi" w:hAnsiTheme="majorHAnsi"/>
          <w:sz w:val="21"/>
          <w:szCs w:val="21"/>
        </w:rPr>
        <w:t>ë</w:t>
      </w:r>
      <w:r w:rsidRPr="00D812D8">
        <w:rPr>
          <w:rFonts w:asciiTheme="majorHAnsi" w:hAnsiTheme="majorHAnsi"/>
          <w:sz w:val="21"/>
          <w:szCs w:val="21"/>
        </w:rPr>
        <w:t>t</w:t>
      </w:r>
      <w:r w:rsidR="00C87181" w:rsidRPr="00D812D8">
        <w:rPr>
          <w:rFonts w:asciiTheme="majorHAnsi" w:hAnsiTheme="majorHAnsi"/>
          <w:sz w:val="21"/>
          <w:szCs w:val="21"/>
        </w:rPr>
        <w:t>ë</w:t>
      </w:r>
      <w:r w:rsidRPr="00D812D8">
        <w:rPr>
          <w:rFonts w:asciiTheme="majorHAnsi" w:hAnsiTheme="majorHAnsi"/>
          <w:sz w:val="21"/>
          <w:szCs w:val="21"/>
        </w:rPr>
        <w:t xml:space="preserve"> dokument.</w:t>
      </w:r>
    </w:p>
    <w:p w14:paraId="4162D9E7" w14:textId="77777777" w:rsidR="00B37625" w:rsidRPr="0052538C" w:rsidRDefault="00B37625" w:rsidP="0052538C"/>
    <w:p w14:paraId="084E3DDA" w14:textId="77777777" w:rsidR="000D6CE5" w:rsidRPr="004D2E1C" w:rsidRDefault="008F229D" w:rsidP="000D6CE5">
      <w:pPr>
        <w:pStyle w:val="Heading1"/>
        <w:numPr>
          <w:ilvl w:val="1"/>
          <w:numId w:val="3"/>
        </w:numPr>
        <w:tabs>
          <w:tab w:val="left" w:pos="540"/>
        </w:tabs>
        <w:ind w:left="1134" w:hanging="1134"/>
        <w:rPr>
          <w:rFonts w:asciiTheme="majorHAnsi" w:hAnsiTheme="majorHAnsi"/>
          <w:color w:val="C0504D" w:themeColor="accent2"/>
          <w:szCs w:val="28"/>
          <w:lang w:val="sq-AL"/>
        </w:rPr>
      </w:pPr>
      <w:bookmarkStart w:id="17" w:name="_Toc61062514"/>
      <w:r w:rsidRPr="004D2E1C">
        <w:rPr>
          <w:rFonts w:asciiTheme="majorHAnsi" w:hAnsiTheme="majorHAnsi"/>
          <w:color w:val="C0504D" w:themeColor="accent2"/>
          <w:szCs w:val="28"/>
          <w:lang w:val="sq-AL"/>
        </w:rPr>
        <w:t>Qëllimi</w:t>
      </w:r>
      <w:bookmarkEnd w:id="17"/>
    </w:p>
    <w:p w14:paraId="3CA779E3" w14:textId="77777777" w:rsidR="000D6CE5" w:rsidRPr="004D2E1C" w:rsidRDefault="002C175E"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Pr>
          <w:rFonts w:asciiTheme="majorHAnsi" w:hAnsiTheme="majorHAnsi"/>
          <w:sz w:val="21"/>
          <w:szCs w:val="21"/>
        </w:rPr>
        <w:t>GPK</w:t>
      </w:r>
      <w:r w:rsidR="0077767C">
        <w:rPr>
          <w:rFonts w:asciiTheme="majorHAnsi" w:hAnsiTheme="majorHAnsi"/>
          <w:sz w:val="21"/>
          <w:szCs w:val="21"/>
        </w:rPr>
        <w:t xml:space="preserve"> ofrohet n</w:t>
      </w:r>
      <w:r w:rsidR="00DC0362">
        <w:rPr>
          <w:rFonts w:asciiTheme="majorHAnsi" w:hAnsiTheme="majorHAnsi"/>
          <w:sz w:val="21"/>
          <w:szCs w:val="21"/>
        </w:rPr>
        <w:t>ë</w:t>
      </w:r>
      <w:r w:rsidR="0077767C">
        <w:rPr>
          <w:rFonts w:asciiTheme="majorHAnsi" w:hAnsiTheme="majorHAnsi"/>
          <w:sz w:val="21"/>
          <w:szCs w:val="21"/>
        </w:rPr>
        <w:t xml:space="preserve"> form</w:t>
      </w:r>
      <w:r w:rsidR="00DC0362">
        <w:rPr>
          <w:rFonts w:asciiTheme="majorHAnsi" w:hAnsiTheme="majorHAnsi"/>
          <w:sz w:val="21"/>
          <w:szCs w:val="21"/>
        </w:rPr>
        <w:t>ë</w:t>
      </w:r>
      <w:r w:rsidR="0077767C">
        <w:rPr>
          <w:rFonts w:asciiTheme="majorHAnsi" w:hAnsiTheme="majorHAnsi"/>
          <w:sz w:val="21"/>
          <w:szCs w:val="21"/>
        </w:rPr>
        <w:t xml:space="preserve"> t</w:t>
      </w:r>
      <w:r w:rsidR="00DC0362">
        <w:rPr>
          <w:rFonts w:asciiTheme="majorHAnsi" w:hAnsiTheme="majorHAnsi"/>
          <w:sz w:val="21"/>
          <w:szCs w:val="21"/>
        </w:rPr>
        <w:t>ë</w:t>
      </w:r>
      <w:r w:rsidR="0077767C">
        <w:rPr>
          <w:rFonts w:asciiTheme="majorHAnsi" w:hAnsiTheme="majorHAnsi"/>
          <w:sz w:val="21"/>
          <w:szCs w:val="21"/>
        </w:rPr>
        <w:t xml:space="preserve"> p</w:t>
      </w:r>
      <w:r w:rsidR="00DC0362">
        <w:rPr>
          <w:rFonts w:asciiTheme="majorHAnsi" w:hAnsiTheme="majorHAnsi"/>
          <w:sz w:val="21"/>
          <w:szCs w:val="21"/>
        </w:rPr>
        <w:t>ë</w:t>
      </w:r>
      <w:r w:rsidR="0077767C">
        <w:rPr>
          <w:rFonts w:asciiTheme="majorHAnsi" w:hAnsiTheme="majorHAnsi"/>
          <w:sz w:val="21"/>
          <w:szCs w:val="21"/>
        </w:rPr>
        <w:t>rkrahjes financiare p</w:t>
      </w:r>
      <w:r w:rsidR="00DC0362">
        <w:rPr>
          <w:rFonts w:asciiTheme="majorHAnsi" w:hAnsiTheme="majorHAnsi"/>
          <w:sz w:val="21"/>
          <w:szCs w:val="21"/>
        </w:rPr>
        <w:t>ë</w:t>
      </w:r>
      <w:r w:rsidR="0077767C">
        <w:rPr>
          <w:rFonts w:asciiTheme="majorHAnsi" w:hAnsiTheme="majorHAnsi"/>
          <w:sz w:val="21"/>
          <w:szCs w:val="21"/>
        </w:rPr>
        <w:t>r komunat dhe ka p</w:t>
      </w:r>
      <w:r w:rsidR="00DC0362">
        <w:rPr>
          <w:rFonts w:asciiTheme="majorHAnsi" w:hAnsiTheme="majorHAnsi"/>
          <w:sz w:val="21"/>
          <w:szCs w:val="21"/>
        </w:rPr>
        <w:t>ë</w:t>
      </w:r>
      <w:r w:rsidR="0077767C">
        <w:rPr>
          <w:rFonts w:asciiTheme="majorHAnsi" w:hAnsiTheme="majorHAnsi"/>
          <w:sz w:val="21"/>
          <w:szCs w:val="21"/>
        </w:rPr>
        <w:t>r q</w:t>
      </w:r>
      <w:r w:rsidR="00DC0362">
        <w:rPr>
          <w:rFonts w:asciiTheme="majorHAnsi" w:hAnsiTheme="majorHAnsi"/>
          <w:sz w:val="21"/>
          <w:szCs w:val="21"/>
        </w:rPr>
        <w:t>ë</w:t>
      </w:r>
      <w:r w:rsidR="0077767C">
        <w:rPr>
          <w:rFonts w:asciiTheme="majorHAnsi" w:hAnsiTheme="majorHAnsi"/>
          <w:sz w:val="21"/>
          <w:szCs w:val="21"/>
        </w:rPr>
        <w:t xml:space="preserve">llim </w:t>
      </w:r>
      <w:r w:rsidR="006A2D10">
        <w:rPr>
          <w:rFonts w:asciiTheme="majorHAnsi" w:hAnsiTheme="majorHAnsi"/>
          <w:sz w:val="21"/>
          <w:szCs w:val="21"/>
        </w:rPr>
        <w:t>stimulimi</w:t>
      </w:r>
      <w:r w:rsidR="0077767C">
        <w:rPr>
          <w:rFonts w:asciiTheme="majorHAnsi" w:hAnsiTheme="majorHAnsi"/>
          <w:sz w:val="21"/>
          <w:szCs w:val="21"/>
        </w:rPr>
        <w:t>n e tyre</w:t>
      </w:r>
      <w:r w:rsidR="00B14FBD">
        <w:rPr>
          <w:rFonts w:asciiTheme="majorHAnsi" w:hAnsiTheme="majorHAnsi"/>
          <w:sz w:val="21"/>
          <w:szCs w:val="21"/>
        </w:rPr>
        <w:t xml:space="preserve"> </w:t>
      </w:r>
      <w:r w:rsidR="008F229D" w:rsidRPr="004D2E1C">
        <w:rPr>
          <w:rFonts w:asciiTheme="majorHAnsi" w:hAnsiTheme="majorHAnsi"/>
          <w:sz w:val="21"/>
          <w:szCs w:val="21"/>
        </w:rPr>
        <w:t xml:space="preserve">që të </w:t>
      </w:r>
      <w:r w:rsidR="000D6CE5" w:rsidRPr="004D2E1C">
        <w:rPr>
          <w:rFonts w:asciiTheme="majorHAnsi" w:hAnsiTheme="majorHAnsi"/>
          <w:sz w:val="21"/>
          <w:szCs w:val="21"/>
        </w:rPr>
        <w:t>përmirës</w:t>
      </w:r>
      <w:r w:rsidR="00B14FBD">
        <w:rPr>
          <w:rFonts w:asciiTheme="majorHAnsi" w:hAnsiTheme="majorHAnsi"/>
          <w:sz w:val="21"/>
          <w:szCs w:val="21"/>
        </w:rPr>
        <w:t>ojn</w:t>
      </w:r>
      <w:r w:rsidR="00210D4C">
        <w:rPr>
          <w:rFonts w:asciiTheme="majorHAnsi" w:hAnsiTheme="majorHAnsi"/>
          <w:sz w:val="21"/>
          <w:szCs w:val="21"/>
        </w:rPr>
        <w:t>ë</w:t>
      </w:r>
      <w:r w:rsidR="00B14FBD">
        <w:rPr>
          <w:rFonts w:asciiTheme="majorHAnsi" w:hAnsiTheme="majorHAnsi"/>
          <w:sz w:val="21"/>
          <w:szCs w:val="21"/>
        </w:rPr>
        <w:t xml:space="preserve"> </w:t>
      </w:r>
      <w:r w:rsidR="000D6CE5" w:rsidRPr="004D2E1C">
        <w:rPr>
          <w:rFonts w:asciiTheme="majorHAnsi" w:hAnsiTheme="majorHAnsi"/>
          <w:sz w:val="21"/>
          <w:szCs w:val="21"/>
        </w:rPr>
        <w:t>performancë</w:t>
      </w:r>
      <w:r w:rsidR="00B14FBD">
        <w:rPr>
          <w:rFonts w:asciiTheme="majorHAnsi" w:hAnsiTheme="majorHAnsi"/>
          <w:sz w:val="21"/>
          <w:szCs w:val="21"/>
        </w:rPr>
        <w:t>n</w:t>
      </w:r>
      <w:r w:rsidR="00C54709">
        <w:rPr>
          <w:rFonts w:asciiTheme="majorHAnsi" w:hAnsiTheme="majorHAnsi"/>
          <w:sz w:val="21"/>
          <w:szCs w:val="21"/>
        </w:rPr>
        <w:t xml:space="preserve"> </w:t>
      </w:r>
      <w:r w:rsidR="000D6CE5" w:rsidRPr="004D2E1C">
        <w:rPr>
          <w:rFonts w:asciiTheme="majorHAnsi" w:hAnsiTheme="majorHAnsi"/>
          <w:sz w:val="21"/>
          <w:szCs w:val="21"/>
        </w:rPr>
        <w:t>në</w:t>
      </w:r>
      <w:r w:rsidR="0077767C">
        <w:rPr>
          <w:rFonts w:asciiTheme="majorHAnsi" w:hAnsiTheme="majorHAnsi"/>
          <w:sz w:val="21"/>
          <w:szCs w:val="21"/>
        </w:rPr>
        <w:t xml:space="preserve"> fusha t</w:t>
      </w:r>
      <w:r w:rsidR="00DC0362">
        <w:rPr>
          <w:rFonts w:asciiTheme="majorHAnsi" w:hAnsiTheme="majorHAnsi"/>
          <w:sz w:val="21"/>
          <w:szCs w:val="21"/>
        </w:rPr>
        <w:t>ë</w:t>
      </w:r>
      <w:r w:rsidR="0077767C">
        <w:rPr>
          <w:rFonts w:asciiTheme="majorHAnsi" w:hAnsiTheme="majorHAnsi"/>
          <w:sz w:val="21"/>
          <w:szCs w:val="21"/>
        </w:rPr>
        <w:t xml:space="preserve"> caktuara, respektivisht n</w:t>
      </w:r>
      <w:r w:rsidR="00DC0362">
        <w:rPr>
          <w:rFonts w:asciiTheme="majorHAnsi" w:hAnsiTheme="majorHAnsi"/>
          <w:sz w:val="21"/>
          <w:szCs w:val="21"/>
        </w:rPr>
        <w:t>ë</w:t>
      </w:r>
      <w:r w:rsidR="000D6CE5" w:rsidRPr="004D2E1C">
        <w:rPr>
          <w:rFonts w:asciiTheme="majorHAnsi" w:hAnsiTheme="majorHAnsi"/>
          <w:sz w:val="21"/>
          <w:szCs w:val="21"/>
        </w:rPr>
        <w:t xml:space="preserve"> </w:t>
      </w:r>
      <w:r w:rsidR="00795B61" w:rsidRPr="004D2E1C">
        <w:rPr>
          <w:rFonts w:asciiTheme="majorHAnsi" w:hAnsiTheme="majorHAnsi"/>
          <w:sz w:val="21"/>
          <w:szCs w:val="21"/>
        </w:rPr>
        <w:t xml:space="preserve">qeverisje </w:t>
      </w:r>
      <w:r w:rsidR="00B7551C">
        <w:rPr>
          <w:rFonts w:asciiTheme="majorHAnsi" w:hAnsiTheme="majorHAnsi"/>
          <w:sz w:val="21"/>
          <w:szCs w:val="21"/>
        </w:rPr>
        <w:t>lokale demokratike</w:t>
      </w:r>
      <w:r w:rsidR="00795B61">
        <w:rPr>
          <w:rFonts w:asciiTheme="majorHAnsi" w:hAnsiTheme="majorHAnsi"/>
          <w:sz w:val="21"/>
          <w:szCs w:val="21"/>
        </w:rPr>
        <w:t xml:space="preserve">, </w:t>
      </w:r>
      <w:r w:rsidR="000D2BC8">
        <w:rPr>
          <w:rFonts w:asciiTheme="majorHAnsi" w:hAnsiTheme="majorHAnsi"/>
          <w:sz w:val="21"/>
          <w:szCs w:val="21"/>
        </w:rPr>
        <w:t>menaxhim</w:t>
      </w:r>
      <w:r w:rsidR="00671C5C">
        <w:rPr>
          <w:rFonts w:asciiTheme="majorHAnsi" w:hAnsiTheme="majorHAnsi"/>
          <w:sz w:val="21"/>
          <w:szCs w:val="21"/>
        </w:rPr>
        <w:t xml:space="preserve"> </w:t>
      </w:r>
      <w:r w:rsidR="00B7551C">
        <w:rPr>
          <w:rFonts w:asciiTheme="majorHAnsi" w:hAnsiTheme="majorHAnsi"/>
          <w:sz w:val="21"/>
          <w:szCs w:val="21"/>
        </w:rPr>
        <w:t xml:space="preserve">të mirë </w:t>
      </w:r>
      <w:r w:rsidR="000D2BC8">
        <w:rPr>
          <w:rFonts w:asciiTheme="majorHAnsi" w:hAnsiTheme="majorHAnsi"/>
          <w:sz w:val="21"/>
          <w:szCs w:val="21"/>
        </w:rPr>
        <w:t>komunal dhe</w:t>
      </w:r>
      <w:r w:rsidR="00671C5C">
        <w:rPr>
          <w:rFonts w:asciiTheme="majorHAnsi" w:hAnsiTheme="majorHAnsi"/>
          <w:sz w:val="21"/>
          <w:szCs w:val="21"/>
        </w:rPr>
        <w:t xml:space="preserve"> </w:t>
      </w:r>
      <w:r w:rsidR="00795B61">
        <w:rPr>
          <w:rFonts w:asciiTheme="majorHAnsi" w:hAnsiTheme="majorHAnsi"/>
          <w:sz w:val="21"/>
          <w:szCs w:val="21"/>
        </w:rPr>
        <w:t>ofrim të shërbimeve</w:t>
      </w:r>
      <w:r w:rsidR="00671C5C">
        <w:rPr>
          <w:rFonts w:asciiTheme="majorHAnsi" w:hAnsiTheme="majorHAnsi"/>
          <w:sz w:val="21"/>
          <w:szCs w:val="21"/>
        </w:rPr>
        <w:t>.</w:t>
      </w:r>
    </w:p>
    <w:p w14:paraId="7FFBBAF3" w14:textId="77777777" w:rsidR="001F0194" w:rsidRPr="00B54B2A" w:rsidRDefault="001F0194"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bookmarkStart w:id="18" w:name="_Toc236632739"/>
      <w:bookmarkStart w:id="19" w:name="_Toc170004014"/>
      <w:bookmarkStart w:id="20" w:name="_Toc170432956"/>
    </w:p>
    <w:p w14:paraId="773FF309" w14:textId="249D86D7"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lang w:val="sq-AL"/>
        </w:rPr>
      </w:pPr>
      <w:bookmarkStart w:id="21" w:name="_Toc61062515"/>
      <w:r w:rsidRPr="7D684930">
        <w:rPr>
          <w:rFonts w:asciiTheme="majorHAnsi" w:hAnsiTheme="majorHAnsi"/>
          <w:color w:val="C0504D" w:themeColor="accent2"/>
          <w:lang w:val="sq-AL"/>
        </w:rPr>
        <w:t>Temat ky</w:t>
      </w:r>
      <w:bookmarkEnd w:id="18"/>
      <w:bookmarkEnd w:id="19"/>
      <w:bookmarkEnd w:id="20"/>
      <w:r w:rsidRPr="7D684930">
        <w:rPr>
          <w:rFonts w:asciiTheme="majorHAnsi" w:hAnsiTheme="majorHAnsi"/>
          <w:color w:val="C0504D" w:themeColor="accent2"/>
          <w:lang w:val="sq-AL"/>
        </w:rPr>
        <w:t>çe</w:t>
      </w:r>
      <w:bookmarkEnd w:id="21"/>
      <w:r w:rsidR="0083072A" w:rsidRPr="7D684930">
        <w:rPr>
          <w:rFonts w:asciiTheme="majorHAnsi" w:hAnsiTheme="majorHAnsi"/>
          <w:color w:val="C0504D" w:themeColor="accent2"/>
          <w:lang w:val="sq-AL"/>
        </w:rPr>
        <w:t xml:space="preserve"> </w:t>
      </w:r>
    </w:p>
    <w:p w14:paraId="6B5B9CB9" w14:textId="77777777" w:rsidR="000D6CE5" w:rsidRPr="004D2E1C" w:rsidRDefault="000D6CE5"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4D2E1C">
        <w:rPr>
          <w:rFonts w:asciiTheme="majorHAnsi" w:hAnsiTheme="majorHAnsi"/>
          <w:sz w:val="21"/>
          <w:szCs w:val="21"/>
        </w:rPr>
        <w:t xml:space="preserve">Duke pasur parasysh analizën e faktorëve kritikë, të cilët </w:t>
      </w:r>
      <w:r w:rsidR="00E47EBF">
        <w:rPr>
          <w:rFonts w:asciiTheme="majorHAnsi" w:hAnsiTheme="majorHAnsi"/>
          <w:sz w:val="21"/>
          <w:szCs w:val="21"/>
        </w:rPr>
        <w:t>mund t’</w:t>
      </w:r>
      <w:r w:rsidRPr="004D2E1C">
        <w:rPr>
          <w:rFonts w:asciiTheme="majorHAnsi" w:hAnsiTheme="majorHAnsi"/>
          <w:sz w:val="21"/>
          <w:szCs w:val="21"/>
        </w:rPr>
        <w:t>i pengojnë komunat të bëhen ‘</w:t>
      </w:r>
      <w:r w:rsidR="00DB3BD7" w:rsidRPr="004D2E1C">
        <w:rPr>
          <w:rFonts w:asciiTheme="majorHAnsi" w:hAnsiTheme="majorHAnsi"/>
          <w:i/>
          <w:sz w:val="21"/>
          <w:szCs w:val="21"/>
        </w:rPr>
        <w:t>institucione demokratike vibrante të qeverisjes lokale që ofrojnë shërbime cilësore</w:t>
      </w:r>
      <w:r w:rsidRPr="004D2E1C">
        <w:rPr>
          <w:rFonts w:asciiTheme="majorHAnsi" w:hAnsiTheme="majorHAnsi"/>
          <w:sz w:val="21"/>
          <w:szCs w:val="21"/>
        </w:rPr>
        <w:t xml:space="preserve">’, </w:t>
      </w:r>
      <w:r w:rsidR="008F6BFE">
        <w:rPr>
          <w:rFonts w:asciiTheme="majorHAnsi" w:hAnsiTheme="majorHAnsi"/>
          <w:sz w:val="21"/>
          <w:szCs w:val="21"/>
        </w:rPr>
        <w:t>GPK</w:t>
      </w:r>
      <w:r w:rsidR="005D35C0">
        <w:rPr>
          <w:rFonts w:asciiTheme="majorHAnsi" w:hAnsiTheme="majorHAnsi"/>
          <w:sz w:val="21"/>
          <w:szCs w:val="21"/>
        </w:rPr>
        <w:t xml:space="preserve"> </w:t>
      </w:r>
      <w:r w:rsidRPr="004D2E1C">
        <w:rPr>
          <w:rFonts w:asciiTheme="majorHAnsi" w:hAnsiTheme="majorHAnsi"/>
          <w:sz w:val="21"/>
          <w:szCs w:val="21"/>
        </w:rPr>
        <w:t xml:space="preserve">do të </w:t>
      </w:r>
      <w:r w:rsidR="00B14FBD">
        <w:rPr>
          <w:rFonts w:asciiTheme="majorHAnsi" w:hAnsiTheme="majorHAnsi"/>
          <w:sz w:val="21"/>
          <w:szCs w:val="21"/>
        </w:rPr>
        <w:t xml:space="preserve">fokusohet </w:t>
      </w:r>
      <w:r w:rsidRPr="004D2E1C">
        <w:rPr>
          <w:rFonts w:asciiTheme="majorHAnsi" w:hAnsiTheme="majorHAnsi"/>
          <w:sz w:val="21"/>
          <w:szCs w:val="21"/>
        </w:rPr>
        <w:t xml:space="preserve">në </w:t>
      </w:r>
      <w:r w:rsidR="002A0CF2">
        <w:rPr>
          <w:rFonts w:asciiTheme="majorHAnsi" w:hAnsiTheme="majorHAnsi"/>
          <w:sz w:val="21"/>
          <w:szCs w:val="21"/>
        </w:rPr>
        <w:t>tre</w:t>
      </w:r>
      <w:r w:rsidR="002A0CF2" w:rsidRPr="004D2E1C">
        <w:rPr>
          <w:rFonts w:asciiTheme="majorHAnsi" w:hAnsiTheme="majorHAnsi"/>
          <w:sz w:val="21"/>
          <w:szCs w:val="21"/>
        </w:rPr>
        <w:t xml:space="preserve"> </w:t>
      </w:r>
      <w:r w:rsidRPr="004D2E1C">
        <w:rPr>
          <w:rFonts w:asciiTheme="majorHAnsi" w:hAnsiTheme="majorHAnsi"/>
          <w:sz w:val="21"/>
          <w:szCs w:val="21"/>
        </w:rPr>
        <w:t xml:space="preserve">temat e mëposhtme: </w:t>
      </w:r>
    </w:p>
    <w:p w14:paraId="34985A2C" w14:textId="77777777" w:rsidR="002B4A8D" w:rsidRPr="004D2E1C" w:rsidRDefault="002B4A8D" w:rsidP="002B4A8D">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Qeverisj</w:t>
      </w:r>
      <w:r>
        <w:rPr>
          <w:rFonts w:asciiTheme="majorHAnsi" w:hAnsiTheme="majorHAnsi"/>
          <w:sz w:val="21"/>
          <w:szCs w:val="21"/>
        </w:rPr>
        <w:t>a</w:t>
      </w:r>
      <w:r w:rsidRPr="004D2E1C">
        <w:rPr>
          <w:rFonts w:asciiTheme="majorHAnsi" w:hAnsiTheme="majorHAnsi"/>
          <w:sz w:val="21"/>
          <w:szCs w:val="21"/>
        </w:rPr>
        <w:t xml:space="preserve"> demokratike</w:t>
      </w:r>
      <w:r w:rsidR="00822060">
        <w:rPr>
          <w:rFonts w:asciiTheme="majorHAnsi" w:hAnsiTheme="majorHAnsi"/>
          <w:sz w:val="21"/>
          <w:szCs w:val="21"/>
        </w:rPr>
        <w:t>;</w:t>
      </w:r>
      <w:r w:rsidRPr="004D2E1C">
        <w:rPr>
          <w:rFonts w:asciiTheme="majorHAnsi" w:hAnsiTheme="majorHAnsi"/>
          <w:sz w:val="21"/>
          <w:szCs w:val="21"/>
        </w:rPr>
        <w:t xml:space="preserve"> </w:t>
      </w:r>
    </w:p>
    <w:p w14:paraId="53C8124A" w14:textId="77777777" w:rsidR="002A3D6C" w:rsidRPr="004D2E1C" w:rsidRDefault="002B4A8D" w:rsidP="002B4A8D">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Menaxhim</w:t>
      </w:r>
      <w:r>
        <w:rPr>
          <w:rFonts w:asciiTheme="majorHAnsi" w:hAnsiTheme="majorHAnsi"/>
          <w:sz w:val="21"/>
          <w:szCs w:val="21"/>
        </w:rPr>
        <w:t>i</w:t>
      </w:r>
      <w:r w:rsidRPr="004D2E1C">
        <w:rPr>
          <w:rFonts w:asciiTheme="majorHAnsi" w:hAnsiTheme="majorHAnsi"/>
          <w:sz w:val="21"/>
          <w:szCs w:val="21"/>
        </w:rPr>
        <w:t xml:space="preserve"> komunal</w:t>
      </w:r>
      <w:r w:rsidR="00822060">
        <w:rPr>
          <w:rFonts w:asciiTheme="majorHAnsi" w:hAnsiTheme="majorHAnsi"/>
          <w:sz w:val="21"/>
          <w:szCs w:val="21"/>
        </w:rPr>
        <w:t>;</w:t>
      </w:r>
    </w:p>
    <w:p w14:paraId="3D728596" w14:textId="77777777" w:rsidR="000D6CE5" w:rsidRPr="004D2E1C" w:rsidRDefault="002B4A8D" w:rsidP="000D6CE5">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Pr>
          <w:rFonts w:asciiTheme="majorHAnsi" w:hAnsiTheme="majorHAnsi"/>
          <w:sz w:val="21"/>
          <w:szCs w:val="21"/>
        </w:rPr>
        <w:t>Ofrimi i shërbimeve</w:t>
      </w:r>
      <w:r w:rsidR="00822060">
        <w:rPr>
          <w:rFonts w:asciiTheme="majorHAnsi" w:hAnsiTheme="majorHAnsi"/>
          <w:sz w:val="21"/>
          <w:szCs w:val="21"/>
        </w:rPr>
        <w:t>.</w:t>
      </w:r>
    </w:p>
    <w:p w14:paraId="6D7BAA20" w14:textId="2730B6DC" w:rsidR="000D6CE5" w:rsidRPr="004D2E1C" w:rsidRDefault="000D6CE5"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4D2E1C">
        <w:rPr>
          <w:rFonts w:asciiTheme="majorHAnsi" w:hAnsiTheme="majorHAnsi"/>
          <w:sz w:val="21"/>
          <w:szCs w:val="21"/>
        </w:rPr>
        <w:t xml:space="preserve">Këto </w:t>
      </w:r>
      <w:r w:rsidR="002A0CF2">
        <w:rPr>
          <w:rFonts w:asciiTheme="majorHAnsi" w:hAnsiTheme="majorHAnsi"/>
          <w:sz w:val="21"/>
          <w:szCs w:val="21"/>
        </w:rPr>
        <w:t>tre</w:t>
      </w:r>
      <w:r w:rsidR="002A0CF2" w:rsidRPr="004D2E1C">
        <w:rPr>
          <w:rFonts w:asciiTheme="majorHAnsi" w:hAnsiTheme="majorHAnsi"/>
          <w:sz w:val="21"/>
          <w:szCs w:val="21"/>
        </w:rPr>
        <w:t xml:space="preserve"> </w:t>
      </w:r>
      <w:r w:rsidRPr="004D2E1C">
        <w:rPr>
          <w:rFonts w:asciiTheme="majorHAnsi" w:hAnsiTheme="majorHAnsi"/>
          <w:sz w:val="21"/>
          <w:szCs w:val="21"/>
        </w:rPr>
        <w:t>tema ndahen tu</w:t>
      </w:r>
      <w:r w:rsidR="002A0CF2">
        <w:rPr>
          <w:rFonts w:asciiTheme="majorHAnsi" w:hAnsiTheme="majorHAnsi"/>
          <w:sz w:val="21"/>
          <w:szCs w:val="21"/>
        </w:rPr>
        <w:t>t</w:t>
      </w:r>
      <w:r w:rsidRPr="004D2E1C">
        <w:rPr>
          <w:rFonts w:asciiTheme="majorHAnsi" w:hAnsiTheme="majorHAnsi"/>
          <w:sz w:val="21"/>
          <w:szCs w:val="21"/>
        </w:rPr>
        <w:t xml:space="preserve">je në </w:t>
      </w:r>
      <w:r w:rsidR="00822060">
        <w:rPr>
          <w:rFonts w:asciiTheme="majorHAnsi" w:hAnsiTheme="majorHAnsi"/>
          <w:sz w:val="21"/>
          <w:szCs w:val="21"/>
        </w:rPr>
        <w:t>dhjetë</w:t>
      </w:r>
      <w:r w:rsidR="002A0CF2" w:rsidRPr="004D2E1C">
        <w:rPr>
          <w:rFonts w:asciiTheme="majorHAnsi" w:hAnsiTheme="majorHAnsi"/>
          <w:sz w:val="21"/>
          <w:szCs w:val="21"/>
        </w:rPr>
        <w:t xml:space="preserve"> </w:t>
      </w:r>
      <w:r w:rsidRPr="004D2E1C">
        <w:rPr>
          <w:rFonts w:asciiTheme="majorHAnsi" w:hAnsiTheme="majorHAnsi"/>
          <w:sz w:val="21"/>
          <w:szCs w:val="21"/>
        </w:rPr>
        <w:t xml:space="preserve">nëntema siç </w:t>
      </w:r>
      <w:r w:rsidR="002A0CF2">
        <w:rPr>
          <w:rFonts w:asciiTheme="majorHAnsi" w:hAnsiTheme="majorHAnsi"/>
          <w:sz w:val="21"/>
          <w:szCs w:val="21"/>
        </w:rPr>
        <w:t>paraqitet më poshtë</w:t>
      </w:r>
      <w:r w:rsidR="002A0CF2" w:rsidRPr="004D2E1C">
        <w:rPr>
          <w:rFonts w:asciiTheme="majorHAnsi" w:hAnsiTheme="majorHAnsi"/>
          <w:sz w:val="21"/>
          <w:szCs w:val="21"/>
        </w:rPr>
        <w:t xml:space="preserve"> </w:t>
      </w:r>
      <w:r w:rsidRPr="004D2E1C">
        <w:rPr>
          <w:rFonts w:asciiTheme="majorHAnsi" w:hAnsiTheme="majorHAnsi"/>
          <w:sz w:val="21"/>
          <w:szCs w:val="21"/>
        </w:rPr>
        <w:t xml:space="preserve">në Tabelën 1. Në kuadër të këtyre </w:t>
      </w:r>
      <w:r w:rsidR="00DB3BD7" w:rsidRPr="004D2E1C">
        <w:rPr>
          <w:rFonts w:asciiTheme="majorHAnsi" w:hAnsiTheme="majorHAnsi"/>
          <w:sz w:val="21"/>
          <w:szCs w:val="21"/>
        </w:rPr>
        <w:t>nën</w:t>
      </w:r>
      <w:r w:rsidR="005D35C0">
        <w:rPr>
          <w:rFonts w:asciiTheme="majorHAnsi" w:hAnsiTheme="majorHAnsi"/>
          <w:sz w:val="21"/>
          <w:szCs w:val="21"/>
        </w:rPr>
        <w:t>temave, janë identifikuar 30</w:t>
      </w:r>
      <w:r w:rsidRPr="004D2E1C">
        <w:rPr>
          <w:rFonts w:asciiTheme="majorHAnsi" w:hAnsiTheme="majorHAnsi"/>
          <w:sz w:val="21"/>
          <w:szCs w:val="21"/>
        </w:rPr>
        <w:t xml:space="preserve"> tregues të performancës</w:t>
      </w:r>
      <w:r w:rsidR="00736345">
        <w:rPr>
          <w:rFonts w:asciiTheme="majorHAnsi" w:hAnsiTheme="majorHAnsi"/>
          <w:sz w:val="21"/>
          <w:szCs w:val="21"/>
        </w:rPr>
        <w:t>, prej të</w:t>
      </w:r>
      <w:r w:rsidR="004D790F">
        <w:rPr>
          <w:rFonts w:asciiTheme="majorHAnsi" w:hAnsiTheme="majorHAnsi"/>
          <w:sz w:val="21"/>
          <w:szCs w:val="21"/>
        </w:rPr>
        <w:t xml:space="preserve"> </w:t>
      </w:r>
      <w:r w:rsidR="00736345">
        <w:rPr>
          <w:rFonts w:asciiTheme="majorHAnsi" w:hAnsiTheme="majorHAnsi"/>
          <w:sz w:val="21"/>
          <w:szCs w:val="21"/>
        </w:rPr>
        <w:t>cilëve 2</w:t>
      </w:r>
      <w:r w:rsidR="00622042">
        <w:rPr>
          <w:rFonts w:asciiTheme="majorHAnsi" w:hAnsiTheme="majorHAnsi"/>
          <w:sz w:val="21"/>
          <w:szCs w:val="21"/>
        </w:rPr>
        <w:t>7</w:t>
      </w:r>
      <w:r w:rsidR="00736345">
        <w:rPr>
          <w:rFonts w:asciiTheme="majorHAnsi" w:hAnsiTheme="majorHAnsi"/>
          <w:sz w:val="21"/>
          <w:szCs w:val="21"/>
        </w:rPr>
        <w:t xml:space="preserve"> tregues performance </w:t>
      </w:r>
      <w:r w:rsidR="004D790F">
        <w:rPr>
          <w:rFonts w:asciiTheme="majorHAnsi" w:hAnsiTheme="majorHAnsi"/>
          <w:sz w:val="21"/>
          <w:szCs w:val="21"/>
        </w:rPr>
        <w:t>d</w:t>
      </w:r>
      <w:r w:rsidR="00736345">
        <w:rPr>
          <w:rFonts w:asciiTheme="majorHAnsi" w:hAnsiTheme="majorHAnsi"/>
          <w:sz w:val="21"/>
          <w:szCs w:val="21"/>
        </w:rPr>
        <w:t>o të maten për performancën e vitit 202</w:t>
      </w:r>
      <w:r w:rsidR="00622042">
        <w:rPr>
          <w:rFonts w:asciiTheme="majorHAnsi" w:hAnsiTheme="majorHAnsi"/>
          <w:sz w:val="21"/>
          <w:szCs w:val="21"/>
        </w:rPr>
        <w:t>1</w:t>
      </w:r>
      <w:r w:rsidR="00736345">
        <w:rPr>
          <w:rFonts w:asciiTheme="majorHAnsi" w:hAnsiTheme="majorHAnsi"/>
          <w:sz w:val="21"/>
          <w:szCs w:val="21"/>
        </w:rPr>
        <w:t>. Kjo do t</w:t>
      </w:r>
      <w:r w:rsidR="004D790F">
        <w:rPr>
          <w:rFonts w:asciiTheme="majorHAnsi" w:hAnsiTheme="majorHAnsi"/>
          <w:sz w:val="21"/>
          <w:szCs w:val="21"/>
        </w:rPr>
        <w:t>’</w:t>
      </w:r>
      <w:r w:rsidR="00736345">
        <w:rPr>
          <w:rFonts w:asciiTheme="majorHAnsi" w:hAnsiTheme="majorHAnsi"/>
          <w:sz w:val="21"/>
          <w:szCs w:val="21"/>
        </w:rPr>
        <w:t xml:space="preserve">iu </w:t>
      </w:r>
      <w:r w:rsidRPr="004D2E1C">
        <w:rPr>
          <w:rFonts w:asciiTheme="majorHAnsi" w:hAnsiTheme="majorHAnsi"/>
          <w:sz w:val="21"/>
          <w:szCs w:val="21"/>
        </w:rPr>
        <w:t xml:space="preserve">mundësojnë komunave të marrin </w:t>
      </w:r>
      <w:r w:rsidR="00736345">
        <w:rPr>
          <w:rFonts w:asciiTheme="majorHAnsi" w:hAnsiTheme="majorHAnsi"/>
          <w:sz w:val="21"/>
          <w:szCs w:val="21"/>
        </w:rPr>
        <w:t xml:space="preserve">92 pikë (prej </w:t>
      </w:r>
      <w:r w:rsidRPr="004D2E1C">
        <w:rPr>
          <w:rFonts w:asciiTheme="majorHAnsi" w:hAnsiTheme="majorHAnsi"/>
          <w:sz w:val="21"/>
          <w:szCs w:val="21"/>
        </w:rPr>
        <w:t>100 pikë</w:t>
      </w:r>
      <w:r w:rsidR="00736345">
        <w:rPr>
          <w:rFonts w:asciiTheme="majorHAnsi" w:hAnsiTheme="majorHAnsi"/>
          <w:sz w:val="21"/>
          <w:szCs w:val="21"/>
        </w:rPr>
        <w:t>ve)</w:t>
      </w:r>
      <w:r w:rsidRPr="004D2E1C">
        <w:rPr>
          <w:rFonts w:asciiTheme="majorHAnsi" w:hAnsiTheme="majorHAnsi"/>
          <w:sz w:val="21"/>
          <w:szCs w:val="21"/>
        </w:rPr>
        <w:t xml:space="preserve"> </w:t>
      </w:r>
      <w:r w:rsidR="00DB3BD7" w:rsidRPr="004D2E1C">
        <w:rPr>
          <w:rFonts w:asciiTheme="majorHAnsi" w:hAnsiTheme="majorHAnsi"/>
          <w:sz w:val="21"/>
          <w:szCs w:val="21"/>
        </w:rPr>
        <w:t xml:space="preserve">në vlerësimin e </w:t>
      </w:r>
      <w:r w:rsidRPr="004D2E1C">
        <w:rPr>
          <w:rFonts w:asciiTheme="majorHAnsi" w:hAnsiTheme="majorHAnsi"/>
          <w:sz w:val="21"/>
          <w:szCs w:val="21"/>
        </w:rPr>
        <w:t>performancë</w:t>
      </w:r>
      <w:r w:rsidR="00DB3BD7" w:rsidRPr="004D2E1C">
        <w:rPr>
          <w:rFonts w:asciiTheme="majorHAnsi" w:hAnsiTheme="majorHAnsi"/>
          <w:sz w:val="21"/>
          <w:szCs w:val="21"/>
        </w:rPr>
        <w:t>s</w:t>
      </w:r>
      <w:r w:rsidR="00736345">
        <w:rPr>
          <w:rFonts w:asciiTheme="majorHAnsi" w:hAnsiTheme="majorHAnsi"/>
          <w:sz w:val="21"/>
          <w:szCs w:val="21"/>
        </w:rPr>
        <w:t xml:space="preserve"> të vitit 202</w:t>
      </w:r>
      <w:r w:rsidR="00622042">
        <w:rPr>
          <w:rFonts w:asciiTheme="majorHAnsi" w:hAnsiTheme="majorHAnsi"/>
          <w:sz w:val="21"/>
          <w:szCs w:val="21"/>
        </w:rPr>
        <w:t>1</w:t>
      </w:r>
      <w:r w:rsidRPr="004D2E1C">
        <w:rPr>
          <w:rFonts w:asciiTheme="majorHAnsi" w:hAnsiTheme="majorHAnsi"/>
          <w:sz w:val="21"/>
          <w:szCs w:val="21"/>
        </w:rPr>
        <w:t>.</w:t>
      </w:r>
      <w:r w:rsidR="00C9025A">
        <w:rPr>
          <w:rFonts w:asciiTheme="majorHAnsi" w:hAnsiTheme="majorHAnsi"/>
          <w:sz w:val="21"/>
          <w:szCs w:val="21"/>
        </w:rPr>
        <w:t xml:space="preserve"> </w:t>
      </w:r>
      <w:r w:rsidR="003B4D43">
        <w:rPr>
          <w:rFonts w:asciiTheme="majorHAnsi" w:hAnsiTheme="majorHAnsi"/>
          <w:sz w:val="21"/>
          <w:szCs w:val="21"/>
        </w:rPr>
        <w:t>N</w:t>
      </w:r>
      <w:r w:rsidR="00C9025A">
        <w:rPr>
          <w:rFonts w:asciiTheme="majorHAnsi" w:hAnsiTheme="majorHAnsi"/>
          <w:sz w:val="21"/>
          <w:szCs w:val="21"/>
        </w:rPr>
        <w:t>ënkapitulli 2.3</w:t>
      </w:r>
      <w:r w:rsidR="003B4D43">
        <w:rPr>
          <w:rFonts w:asciiTheme="majorHAnsi" w:hAnsiTheme="majorHAnsi"/>
          <w:sz w:val="21"/>
          <w:szCs w:val="21"/>
        </w:rPr>
        <w:t xml:space="preserve"> ofron më tepër sqarime për këtë</w:t>
      </w:r>
      <w:r w:rsidR="00622042">
        <w:rPr>
          <w:rFonts w:asciiTheme="majorHAnsi" w:hAnsiTheme="majorHAnsi"/>
          <w:sz w:val="21"/>
          <w:szCs w:val="21"/>
        </w:rPr>
        <w:t>.</w:t>
      </w:r>
      <w:r w:rsidRPr="004D2E1C">
        <w:rPr>
          <w:rFonts w:asciiTheme="majorHAnsi" w:hAnsiTheme="majorHAnsi"/>
          <w:sz w:val="21"/>
          <w:szCs w:val="21"/>
        </w:rPr>
        <w:t xml:space="preserve"> Pikët</w:t>
      </w:r>
      <w:r w:rsidR="00736345">
        <w:rPr>
          <w:rFonts w:asciiTheme="majorHAnsi" w:hAnsiTheme="majorHAnsi"/>
          <w:sz w:val="21"/>
          <w:szCs w:val="21"/>
        </w:rPr>
        <w:t xml:space="preserve"> </w:t>
      </w:r>
      <w:r w:rsidR="00622042">
        <w:rPr>
          <w:rFonts w:asciiTheme="majorHAnsi" w:hAnsiTheme="majorHAnsi"/>
          <w:sz w:val="21"/>
          <w:szCs w:val="21"/>
        </w:rPr>
        <w:t xml:space="preserve">e fituara </w:t>
      </w:r>
      <w:r w:rsidRPr="004D2E1C">
        <w:rPr>
          <w:rFonts w:asciiTheme="majorHAnsi" w:hAnsiTheme="majorHAnsi"/>
          <w:sz w:val="21"/>
          <w:szCs w:val="21"/>
        </w:rPr>
        <w:t xml:space="preserve">përcaktojnë </w:t>
      </w:r>
      <w:r w:rsidR="006D12D7">
        <w:rPr>
          <w:rFonts w:asciiTheme="majorHAnsi" w:hAnsiTheme="majorHAnsi"/>
          <w:sz w:val="21"/>
          <w:szCs w:val="21"/>
        </w:rPr>
        <w:t>shumën</w:t>
      </w:r>
      <w:r w:rsidRPr="004D2E1C">
        <w:rPr>
          <w:rFonts w:asciiTheme="majorHAnsi" w:hAnsiTheme="majorHAnsi"/>
          <w:sz w:val="21"/>
          <w:szCs w:val="21"/>
        </w:rPr>
        <w:t xml:space="preserve"> e grantit që merr komuna </w:t>
      </w:r>
      <w:r w:rsidR="002A0CF2">
        <w:rPr>
          <w:rFonts w:asciiTheme="majorHAnsi" w:hAnsiTheme="majorHAnsi"/>
          <w:sz w:val="21"/>
          <w:szCs w:val="21"/>
        </w:rPr>
        <w:t xml:space="preserve">duke u </w:t>
      </w:r>
      <w:r w:rsidR="00DB3BD7" w:rsidRPr="004D2E1C">
        <w:rPr>
          <w:rFonts w:asciiTheme="majorHAnsi" w:hAnsiTheme="majorHAnsi"/>
          <w:sz w:val="21"/>
          <w:szCs w:val="21"/>
        </w:rPr>
        <w:t>bazuar në</w:t>
      </w:r>
      <w:r w:rsidRPr="004D2E1C">
        <w:rPr>
          <w:rFonts w:asciiTheme="majorHAnsi" w:hAnsiTheme="majorHAnsi"/>
          <w:sz w:val="21"/>
          <w:szCs w:val="21"/>
        </w:rPr>
        <w:t xml:space="preserve"> performancë</w:t>
      </w:r>
      <w:r w:rsidR="00DB3BD7" w:rsidRPr="004D2E1C">
        <w:rPr>
          <w:rFonts w:asciiTheme="majorHAnsi" w:hAnsiTheme="majorHAnsi"/>
          <w:sz w:val="21"/>
          <w:szCs w:val="21"/>
        </w:rPr>
        <w:t xml:space="preserve">n e </w:t>
      </w:r>
      <w:r w:rsidR="002A0CF2">
        <w:rPr>
          <w:rFonts w:asciiTheme="majorHAnsi" w:hAnsiTheme="majorHAnsi"/>
          <w:sz w:val="21"/>
          <w:szCs w:val="21"/>
        </w:rPr>
        <w:t>saj</w:t>
      </w:r>
      <w:r w:rsidRPr="004D2E1C">
        <w:rPr>
          <w:rFonts w:asciiTheme="majorHAnsi" w:hAnsiTheme="majorHAnsi"/>
          <w:sz w:val="21"/>
          <w:szCs w:val="21"/>
        </w:rPr>
        <w:t xml:space="preserve">.   </w:t>
      </w:r>
    </w:p>
    <w:p w14:paraId="3C3A7746" w14:textId="77777777" w:rsidR="000D6CE5" w:rsidRPr="004D2E1C" w:rsidRDefault="000D6CE5" w:rsidP="000D6CE5">
      <w:pPr>
        <w:tabs>
          <w:tab w:val="left" w:pos="567"/>
        </w:tabs>
        <w:spacing w:before="180" w:line="288" w:lineRule="auto"/>
        <w:jc w:val="both"/>
        <w:rPr>
          <w:rFonts w:ascii="Arial" w:hAnsi="Arial"/>
          <w:b/>
          <w:sz w:val="20"/>
          <w:szCs w:val="20"/>
        </w:rPr>
      </w:pPr>
      <w:r w:rsidRPr="004D2E1C">
        <w:rPr>
          <w:rFonts w:ascii="Arial" w:hAnsi="Arial"/>
          <w:b/>
          <w:sz w:val="20"/>
          <w:szCs w:val="20"/>
        </w:rPr>
        <w:t xml:space="preserve">Tabela 1: </w:t>
      </w:r>
      <w:r w:rsidR="002518ED">
        <w:rPr>
          <w:rFonts w:ascii="Arial" w:hAnsi="Arial"/>
          <w:b/>
          <w:sz w:val="20"/>
          <w:szCs w:val="20"/>
        </w:rPr>
        <w:t>Tre</w:t>
      </w:r>
      <w:r w:rsidRPr="004D2E1C">
        <w:rPr>
          <w:rFonts w:ascii="Arial" w:hAnsi="Arial"/>
          <w:b/>
          <w:sz w:val="20"/>
          <w:szCs w:val="20"/>
        </w:rPr>
        <w:t xml:space="preserve"> temat kryesore dhe </w:t>
      </w:r>
      <w:r w:rsidR="006D12D7">
        <w:rPr>
          <w:rFonts w:ascii="Arial" w:hAnsi="Arial"/>
          <w:b/>
          <w:sz w:val="20"/>
          <w:szCs w:val="20"/>
        </w:rPr>
        <w:t>dhjetë</w:t>
      </w:r>
      <w:r w:rsidR="006D12D7" w:rsidRPr="004D2E1C">
        <w:rPr>
          <w:rFonts w:ascii="Arial" w:hAnsi="Arial"/>
          <w:b/>
          <w:sz w:val="20"/>
          <w:szCs w:val="20"/>
        </w:rPr>
        <w:t xml:space="preserve"> </w:t>
      </w:r>
      <w:r w:rsidRPr="004D2E1C">
        <w:rPr>
          <w:rFonts w:ascii="Arial" w:hAnsi="Arial"/>
          <w:b/>
          <w:sz w:val="20"/>
          <w:szCs w:val="20"/>
        </w:rPr>
        <w:t>nën-temat me pikët maksimale</w:t>
      </w:r>
    </w:p>
    <w:tbl>
      <w:tblPr>
        <w:tblW w:w="884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6282"/>
        <w:gridCol w:w="1710"/>
      </w:tblGrid>
      <w:tr w:rsidR="000D6CE5" w:rsidRPr="004D2E1C" w14:paraId="13AE277E" w14:textId="77777777" w:rsidTr="001D245D">
        <w:trPr>
          <w:trHeight w:val="300"/>
        </w:trPr>
        <w:tc>
          <w:tcPr>
            <w:tcW w:w="7133" w:type="dxa"/>
            <w:gridSpan w:val="2"/>
            <w:shd w:val="clear" w:color="auto" w:fill="C0504D"/>
            <w:noWrap/>
            <w:vAlign w:val="center"/>
          </w:tcPr>
          <w:p w14:paraId="29FE96C4" w14:textId="77777777" w:rsidR="000D6CE5" w:rsidRPr="004D2E1C" w:rsidRDefault="000D6CE5" w:rsidP="00353685">
            <w:pPr>
              <w:rPr>
                <w:rFonts w:ascii="Arial" w:hAnsi="Arial" w:cs="Arial"/>
                <w:b/>
                <w:bCs/>
                <w:color w:val="FFFFFF" w:themeColor="background1"/>
                <w:sz w:val="22"/>
                <w:szCs w:val="22"/>
              </w:rPr>
            </w:pPr>
            <w:r w:rsidRPr="004D2E1C">
              <w:rPr>
                <w:rFonts w:ascii="Arial" w:hAnsi="Arial" w:cs="Arial"/>
                <w:b/>
                <w:bCs/>
                <w:color w:val="FFFFFF" w:themeColor="background1"/>
                <w:sz w:val="22"/>
                <w:szCs w:val="22"/>
              </w:rPr>
              <w:t>Temat dhe nën-temat</w:t>
            </w:r>
          </w:p>
        </w:tc>
        <w:tc>
          <w:tcPr>
            <w:tcW w:w="1710" w:type="dxa"/>
            <w:shd w:val="clear" w:color="auto" w:fill="C0504D"/>
            <w:noWrap/>
            <w:vAlign w:val="bottom"/>
          </w:tcPr>
          <w:p w14:paraId="26EAAAFB" w14:textId="77777777" w:rsidR="000D6CE5" w:rsidRPr="004D2E1C" w:rsidRDefault="000D6CE5" w:rsidP="006E0A44">
            <w:pPr>
              <w:jc w:val="center"/>
              <w:rPr>
                <w:rFonts w:ascii="Arial" w:hAnsi="Arial" w:cs="Arial"/>
                <w:bCs/>
                <w:color w:val="FFFFFF" w:themeColor="background1"/>
                <w:sz w:val="19"/>
                <w:szCs w:val="19"/>
              </w:rPr>
            </w:pPr>
            <w:r w:rsidRPr="004D2E1C">
              <w:rPr>
                <w:rFonts w:ascii="Arial" w:hAnsi="Arial" w:cs="Arial"/>
                <w:bCs/>
                <w:color w:val="FFFFFF" w:themeColor="background1"/>
                <w:sz w:val="19"/>
                <w:szCs w:val="19"/>
              </w:rPr>
              <w:t xml:space="preserve">Pikët </w:t>
            </w:r>
            <w:r w:rsidR="006E0A44">
              <w:rPr>
                <w:rFonts w:ascii="Arial" w:hAnsi="Arial" w:cs="Arial"/>
                <w:bCs/>
                <w:color w:val="FFFFFF" w:themeColor="background1"/>
                <w:sz w:val="19"/>
                <w:szCs w:val="19"/>
              </w:rPr>
              <w:t>maksimale të mundshme</w:t>
            </w:r>
          </w:p>
        </w:tc>
      </w:tr>
      <w:tr w:rsidR="00396427" w:rsidRPr="004D2E1C" w14:paraId="1951B946" w14:textId="77777777" w:rsidTr="001D245D">
        <w:trPr>
          <w:trHeight w:val="255"/>
        </w:trPr>
        <w:tc>
          <w:tcPr>
            <w:tcW w:w="7133" w:type="dxa"/>
            <w:gridSpan w:val="2"/>
            <w:tcBorders>
              <w:bottom w:val="dotted" w:sz="4" w:space="0" w:color="auto"/>
            </w:tcBorders>
            <w:shd w:val="clear" w:color="auto" w:fill="666699"/>
            <w:noWrap/>
            <w:vAlign w:val="bottom"/>
            <w:hideMark/>
          </w:tcPr>
          <w:p w14:paraId="1B2DCB1E" w14:textId="77777777" w:rsidR="00396427" w:rsidRPr="002A3D6C" w:rsidRDefault="00396427" w:rsidP="00396427">
            <w:pPr>
              <w:spacing w:before="40" w:after="40"/>
              <w:rPr>
                <w:rFonts w:ascii="Arial" w:hAnsi="Arial" w:cs="Arial"/>
                <w:color w:val="FFFFFF" w:themeColor="background1"/>
                <w:sz w:val="19"/>
                <w:szCs w:val="19"/>
              </w:rPr>
            </w:pPr>
            <w:r>
              <w:rPr>
                <w:rFonts w:ascii="Arial" w:hAnsi="Arial" w:cs="Arial"/>
                <w:b/>
                <w:bCs/>
                <w:color w:val="FFFFFF" w:themeColor="background1"/>
                <w:sz w:val="19"/>
                <w:szCs w:val="19"/>
              </w:rPr>
              <w:t xml:space="preserve">1. </w:t>
            </w:r>
            <w:r w:rsidRPr="004D2E1C">
              <w:rPr>
                <w:rFonts w:ascii="Arial" w:hAnsi="Arial" w:cs="Arial"/>
                <w:b/>
                <w:bCs/>
                <w:color w:val="FFFFFF" w:themeColor="background1"/>
                <w:sz w:val="19"/>
                <w:szCs w:val="19"/>
              </w:rPr>
              <w:t>Qeverisja demokratike</w:t>
            </w:r>
          </w:p>
        </w:tc>
        <w:tc>
          <w:tcPr>
            <w:tcW w:w="1710" w:type="dxa"/>
            <w:tcBorders>
              <w:bottom w:val="dotted" w:sz="4" w:space="0" w:color="auto"/>
            </w:tcBorders>
            <w:shd w:val="clear" w:color="auto" w:fill="666699"/>
            <w:noWrap/>
            <w:hideMark/>
          </w:tcPr>
          <w:p w14:paraId="46D5F62B" w14:textId="663AD3D2" w:rsidR="00396427" w:rsidRPr="00950185" w:rsidRDefault="00A425C3" w:rsidP="00363711">
            <w:pPr>
              <w:spacing w:before="40" w:after="40"/>
              <w:jc w:val="center"/>
              <w:rPr>
                <w:rFonts w:ascii="Arial" w:hAnsi="Arial" w:cs="Arial"/>
                <w:color w:val="FFFFFF" w:themeColor="background1"/>
                <w:sz w:val="19"/>
                <w:szCs w:val="19"/>
              </w:rPr>
            </w:pPr>
            <w:r>
              <w:rPr>
                <w:rFonts w:ascii="Arial" w:hAnsi="Arial" w:cs="Arial"/>
                <w:color w:val="FFFFFF" w:themeColor="background1"/>
                <w:sz w:val="19"/>
                <w:szCs w:val="19"/>
              </w:rPr>
              <w:t>38</w:t>
            </w:r>
          </w:p>
        </w:tc>
      </w:tr>
      <w:tr w:rsidR="00396427" w:rsidRPr="004D2E1C" w14:paraId="177FA4E5" w14:textId="77777777" w:rsidTr="001D245D">
        <w:trPr>
          <w:trHeight w:val="255"/>
        </w:trPr>
        <w:tc>
          <w:tcPr>
            <w:tcW w:w="851" w:type="dxa"/>
            <w:shd w:val="clear" w:color="auto" w:fill="E6E6E6"/>
            <w:noWrap/>
            <w:vAlign w:val="bottom"/>
            <w:hideMark/>
          </w:tcPr>
          <w:p w14:paraId="6F3D6A40"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I</w:t>
            </w:r>
          </w:p>
        </w:tc>
        <w:tc>
          <w:tcPr>
            <w:tcW w:w="6282" w:type="dxa"/>
            <w:shd w:val="clear" w:color="auto" w:fill="E6E6E6"/>
            <w:noWrap/>
            <w:hideMark/>
          </w:tcPr>
          <w:p w14:paraId="2221FF74" w14:textId="77777777" w:rsidR="00396427" w:rsidRPr="004D2E1C" w:rsidRDefault="00396427" w:rsidP="00396427">
            <w:pPr>
              <w:rPr>
                <w:rFonts w:ascii="Arial" w:hAnsi="Arial" w:cs="Arial"/>
                <w:color w:val="000000"/>
                <w:sz w:val="19"/>
                <w:szCs w:val="19"/>
              </w:rPr>
            </w:pPr>
            <w:r w:rsidRPr="004D2E1C">
              <w:rPr>
                <w:rFonts w:ascii="Arial" w:hAnsi="Arial" w:cs="Arial"/>
                <w:color w:val="000000"/>
                <w:sz w:val="19"/>
                <w:szCs w:val="19"/>
              </w:rPr>
              <w:t>Roli i kuvendit komunal si organ mbikëqyrës</w:t>
            </w:r>
          </w:p>
        </w:tc>
        <w:tc>
          <w:tcPr>
            <w:tcW w:w="1710" w:type="dxa"/>
            <w:shd w:val="clear" w:color="auto" w:fill="E6E6E6"/>
            <w:noWrap/>
            <w:vAlign w:val="bottom"/>
          </w:tcPr>
          <w:p w14:paraId="0D51D5B1" w14:textId="12E3D35E" w:rsidR="00396427" w:rsidRPr="00950185" w:rsidRDefault="00CD3CCF" w:rsidP="00396427">
            <w:pPr>
              <w:jc w:val="center"/>
              <w:rPr>
                <w:rFonts w:ascii="Arial" w:hAnsi="Arial" w:cs="Arial"/>
                <w:color w:val="000000"/>
                <w:sz w:val="19"/>
                <w:szCs w:val="19"/>
              </w:rPr>
            </w:pPr>
            <w:r>
              <w:rPr>
                <w:rFonts w:ascii="Arial" w:hAnsi="Arial" w:cs="Arial"/>
                <w:color w:val="000000"/>
                <w:sz w:val="19"/>
                <w:szCs w:val="19"/>
              </w:rPr>
              <w:t>1</w:t>
            </w:r>
            <w:r w:rsidR="004A40F6">
              <w:rPr>
                <w:rFonts w:ascii="Arial" w:hAnsi="Arial" w:cs="Arial"/>
                <w:color w:val="000000"/>
                <w:sz w:val="19"/>
                <w:szCs w:val="19"/>
              </w:rPr>
              <w:t>1</w:t>
            </w:r>
          </w:p>
        </w:tc>
      </w:tr>
      <w:tr w:rsidR="00396427" w:rsidRPr="004D2E1C" w14:paraId="09F94EFC" w14:textId="77777777" w:rsidTr="001D245D">
        <w:trPr>
          <w:trHeight w:val="255"/>
        </w:trPr>
        <w:tc>
          <w:tcPr>
            <w:tcW w:w="851" w:type="dxa"/>
            <w:shd w:val="clear" w:color="auto" w:fill="E6E6E6"/>
            <w:noWrap/>
            <w:vAlign w:val="bottom"/>
          </w:tcPr>
          <w:p w14:paraId="16E5A482" w14:textId="77777777" w:rsidR="00396427" w:rsidRDefault="00396427" w:rsidP="00396427">
            <w:pPr>
              <w:jc w:val="right"/>
              <w:rPr>
                <w:rFonts w:ascii="Arial" w:hAnsi="Arial" w:cs="Arial"/>
                <w:color w:val="000000"/>
                <w:sz w:val="19"/>
                <w:szCs w:val="19"/>
              </w:rPr>
            </w:pPr>
            <w:r>
              <w:rPr>
                <w:rFonts w:ascii="Arial" w:hAnsi="Arial" w:cs="Arial"/>
                <w:color w:val="000000"/>
                <w:sz w:val="19"/>
                <w:szCs w:val="19"/>
              </w:rPr>
              <w:t>II</w:t>
            </w:r>
          </w:p>
        </w:tc>
        <w:tc>
          <w:tcPr>
            <w:tcW w:w="6282" w:type="dxa"/>
            <w:shd w:val="clear" w:color="auto" w:fill="E6E6E6"/>
            <w:noWrap/>
          </w:tcPr>
          <w:p w14:paraId="02E4D55D" w14:textId="77777777" w:rsidR="00396427" w:rsidRDefault="00396427" w:rsidP="00396427">
            <w:pPr>
              <w:rPr>
                <w:rFonts w:ascii="Arial" w:hAnsi="Arial" w:cs="Arial"/>
                <w:color w:val="000000"/>
                <w:sz w:val="19"/>
                <w:szCs w:val="19"/>
              </w:rPr>
            </w:pPr>
            <w:r>
              <w:rPr>
                <w:rFonts w:ascii="Arial" w:hAnsi="Arial" w:cs="Arial"/>
                <w:color w:val="000000"/>
                <w:sz w:val="19"/>
                <w:szCs w:val="19"/>
              </w:rPr>
              <w:t>Pjesëmarrja, konsultimi i qytetarëve dhe g</w:t>
            </w:r>
            <w:r w:rsidRPr="004D2E1C">
              <w:rPr>
                <w:rFonts w:ascii="Arial" w:hAnsi="Arial" w:cs="Arial"/>
                <w:color w:val="000000"/>
                <w:sz w:val="19"/>
                <w:szCs w:val="19"/>
              </w:rPr>
              <w:t>jithëpërfshirja</w:t>
            </w:r>
          </w:p>
        </w:tc>
        <w:tc>
          <w:tcPr>
            <w:tcW w:w="1710" w:type="dxa"/>
            <w:shd w:val="clear" w:color="auto" w:fill="E6E6E6"/>
            <w:noWrap/>
            <w:vAlign w:val="bottom"/>
          </w:tcPr>
          <w:p w14:paraId="1FDA04DD" w14:textId="49306E87" w:rsidR="00396427" w:rsidRPr="00950185" w:rsidRDefault="00CD3CCF" w:rsidP="00396427">
            <w:pPr>
              <w:jc w:val="center"/>
              <w:rPr>
                <w:rFonts w:ascii="Arial" w:hAnsi="Arial" w:cs="Arial"/>
                <w:color w:val="000000"/>
                <w:sz w:val="19"/>
                <w:szCs w:val="19"/>
              </w:rPr>
            </w:pPr>
            <w:r>
              <w:rPr>
                <w:rFonts w:ascii="Arial" w:hAnsi="Arial" w:cs="Arial"/>
                <w:color w:val="000000"/>
                <w:sz w:val="19"/>
                <w:szCs w:val="19"/>
              </w:rPr>
              <w:t>1</w:t>
            </w:r>
            <w:r w:rsidR="004A40F6">
              <w:rPr>
                <w:rFonts w:ascii="Arial" w:hAnsi="Arial" w:cs="Arial"/>
                <w:color w:val="000000"/>
                <w:sz w:val="19"/>
                <w:szCs w:val="19"/>
              </w:rPr>
              <w:t>2</w:t>
            </w:r>
          </w:p>
        </w:tc>
      </w:tr>
      <w:tr w:rsidR="00396427" w:rsidRPr="004D2E1C" w14:paraId="15936089" w14:textId="77777777" w:rsidTr="001D245D">
        <w:trPr>
          <w:trHeight w:val="255"/>
        </w:trPr>
        <w:tc>
          <w:tcPr>
            <w:tcW w:w="851" w:type="dxa"/>
            <w:shd w:val="clear" w:color="auto" w:fill="E6E6E6"/>
            <w:noWrap/>
            <w:vAlign w:val="bottom"/>
            <w:hideMark/>
          </w:tcPr>
          <w:p w14:paraId="3C57C29C"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III</w:t>
            </w:r>
          </w:p>
        </w:tc>
        <w:tc>
          <w:tcPr>
            <w:tcW w:w="6282" w:type="dxa"/>
            <w:shd w:val="clear" w:color="auto" w:fill="E6E6E6"/>
            <w:noWrap/>
            <w:hideMark/>
          </w:tcPr>
          <w:p w14:paraId="0DD1A2D5"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Transparenca, çasja në informata dhe integriteti</w:t>
            </w:r>
          </w:p>
        </w:tc>
        <w:tc>
          <w:tcPr>
            <w:tcW w:w="1710" w:type="dxa"/>
            <w:shd w:val="clear" w:color="auto" w:fill="E6E6E6"/>
            <w:noWrap/>
            <w:vAlign w:val="bottom"/>
          </w:tcPr>
          <w:p w14:paraId="3E6075C8" w14:textId="77777777" w:rsidR="00396427" w:rsidRPr="00950185" w:rsidRDefault="00CD3CCF" w:rsidP="00601AF5">
            <w:pPr>
              <w:jc w:val="center"/>
              <w:rPr>
                <w:rFonts w:ascii="Arial" w:hAnsi="Arial" w:cs="Arial"/>
                <w:color w:val="000000"/>
                <w:sz w:val="19"/>
                <w:szCs w:val="19"/>
              </w:rPr>
            </w:pPr>
            <w:r>
              <w:rPr>
                <w:rFonts w:ascii="Arial" w:hAnsi="Arial" w:cs="Arial"/>
                <w:color w:val="000000"/>
                <w:sz w:val="19"/>
                <w:szCs w:val="19"/>
              </w:rPr>
              <w:t>15</w:t>
            </w:r>
          </w:p>
        </w:tc>
      </w:tr>
      <w:tr w:rsidR="00396427" w:rsidRPr="004D2E1C" w14:paraId="5ED4985C" w14:textId="77777777" w:rsidTr="001D245D">
        <w:trPr>
          <w:trHeight w:val="300"/>
        </w:trPr>
        <w:tc>
          <w:tcPr>
            <w:tcW w:w="7133" w:type="dxa"/>
            <w:gridSpan w:val="2"/>
            <w:tcBorders>
              <w:bottom w:val="dotted" w:sz="4" w:space="0" w:color="auto"/>
            </w:tcBorders>
            <w:shd w:val="clear" w:color="auto" w:fill="666699"/>
            <w:noWrap/>
            <w:vAlign w:val="bottom"/>
            <w:hideMark/>
          </w:tcPr>
          <w:p w14:paraId="51EB2A4E" w14:textId="77777777" w:rsidR="00396427" w:rsidRPr="004D2E1C" w:rsidRDefault="00396427" w:rsidP="00396427">
            <w:pPr>
              <w:spacing w:before="40" w:after="40"/>
              <w:rPr>
                <w:rFonts w:ascii="Arial" w:hAnsi="Arial" w:cs="Arial"/>
                <w:b/>
                <w:bCs/>
                <w:color w:val="FFFFFF" w:themeColor="background1"/>
                <w:sz w:val="19"/>
                <w:szCs w:val="19"/>
              </w:rPr>
            </w:pPr>
            <w:r w:rsidRPr="004D2E1C">
              <w:rPr>
                <w:rFonts w:ascii="Arial" w:hAnsi="Arial" w:cs="Arial"/>
                <w:b/>
                <w:bCs/>
                <w:color w:val="FFFFFF" w:themeColor="background1"/>
                <w:sz w:val="19"/>
                <w:szCs w:val="19"/>
              </w:rPr>
              <w:t xml:space="preserve">2. Menaxhimi komunal </w:t>
            </w:r>
          </w:p>
        </w:tc>
        <w:tc>
          <w:tcPr>
            <w:tcW w:w="1710" w:type="dxa"/>
            <w:tcBorders>
              <w:bottom w:val="dotted" w:sz="4" w:space="0" w:color="auto"/>
            </w:tcBorders>
            <w:shd w:val="clear" w:color="auto" w:fill="666699"/>
            <w:noWrap/>
            <w:hideMark/>
          </w:tcPr>
          <w:p w14:paraId="45C2D790" w14:textId="1A6032BE" w:rsidR="00396427" w:rsidRPr="00950185" w:rsidRDefault="00A425C3" w:rsidP="00363711">
            <w:pPr>
              <w:spacing w:before="40" w:after="40"/>
              <w:jc w:val="center"/>
              <w:rPr>
                <w:rFonts w:ascii="Arial" w:hAnsi="Arial" w:cs="Arial"/>
                <w:bCs/>
                <w:color w:val="FFFFFF" w:themeColor="background1"/>
                <w:sz w:val="19"/>
                <w:szCs w:val="19"/>
              </w:rPr>
            </w:pPr>
            <w:r>
              <w:rPr>
                <w:rFonts w:ascii="Arial" w:hAnsi="Arial" w:cs="Arial"/>
                <w:color w:val="FFFFFF" w:themeColor="background1"/>
                <w:sz w:val="19"/>
                <w:szCs w:val="19"/>
              </w:rPr>
              <w:t>28</w:t>
            </w:r>
          </w:p>
        </w:tc>
      </w:tr>
      <w:tr w:rsidR="00396427" w:rsidRPr="004D2E1C" w14:paraId="30F1C072" w14:textId="77777777" w:rsidTr="001D245D">
        <w:trPr>
          <w:trHeight w:val="255"/>
        </w:trPr>
        <w:tc>
          <w:tcPr>
            <w:tcW w:w="851" w:type="dxa"/>
            <w:shd w:val="clear" w:color="auto" w:fill="E6E6E6"/>
            <w:noWrap/>
            <w:vAlign w:val="bottom"/>
            <w:hideMark/>
          </w:tcPr>
          <w:p w14:paraId="1CE5F497"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IV</w:t>
            </w:r>
          </w:p>
        </w:tc>
        <w:tc>
          <w:tcPr>
            <w:tcW w:w="6282" w:type="dxa"/>
            <w:shd w:val="clear" w:color="auto" w:fill="E6E6E6"/>
            <w:noWrap/>
            <w:hideMark/>
          </w:tcPr>
          <w:p w14:paraId="3CE4FF4D"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Menaxhimi financiar</w:t>
            </w:r>
            <w:r w:rsidRPr="004D2E1C">
              <w:rPr>
                <w:rFonts w:ascii="Arial" w:hAnsi="Arial" w:cs="Arial"/>
                <w:color w:val="000000"/>
                <w:sz w:val="19"/>
                <w:szCs w:val="19"/>
              </w:rPr>
              <w:t xml:space="preserve"> </w:t>
            </w:r>
          </w:p>
        </w:tc>
        <w:tc>
          <w:tcPr>
            <w:tcW w:w="1710" w:type="dxa"/>
            <w:shd w:val="clear" w:color="auto" w:fill="E6E6E6"/>
            <w:noWrap/>
            <w:vAlign w:val="bottom"/>
          </w:tcPr>
          <w:p w14:paraId="3822FA86"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13</w:t>
            </w:r>
          </w:p>
        </w:tc>
      </w:tr>
      <w:tr w:rsidR="00396427" w:rsidRPr="004D2E1C" w14:paraId="1EA726EA" w14:textId="77777777" w:rsidTr="001D245D">
        <w:trPr>
          <w:trHeight w:val="255"/>
        </w:trPr>
        <w:tc>
          <w:tcPr>
            <w:tcW w:w="851" w:type="dxa"/>
            <w:shd w:val="clear" w:color="auto" w:fill="E6E6E6"/>
            <w:noWrap/>
            <w:vAlign w:val="bottom"/>
            <w:hideMark/>
          </w:tcPr>
          <w:p w14:paraId="4570A01E"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V</w:t>
            </w:r>
          </w:p>
        </w:tc>
        <w:tc>
          <w:tcPr>
            <w:tcW w:w="6282" w:type="dxa"/>
            <w:shd w:val="clear" w:color="auto" w:fill="E6E6E6"/>
            <w:noWrap/>
            <w:hideMark/>
          </w:tcPr>
          <w:p w14:paraId="0CBB7C6A" w14:textId="62DE1F4B" w:rsidR="00396427" w:rsidRPr="004D2E1C" w:rsidRDefault="00396427" w:rsidP="00396427">
            <w:pPr>
              <w:rPr>
                <w:rFonts w:ascii="Arial" w:hAnsi="Arial" w:cs="Arial"/>
                <w:color w:val="000000"/>
                <w:sz w:val="19"/>
                <w:szCs w:val="19"/>
              </w:rPr>
            </w:pPr>
            <w:r w:rsidRPr="004D2E1C">
              <w:rPr>
                <w:rFonts w:ascii="Arial" w:hAnsi="Arial" w:cs="Arial"/>
                <w:color w:val="000000"/>
                <w:sz w:val="19"/>
                <w:szCs w:val="19"/>
              </w:rPr>
              <w:t xml:space="preserve">Menaxhimi </w:t>
            </w:r>
            <w:r>
              <w:rPr>
                <w:rFonts w:ascii="Arial" w:hAnsi="Arial" w:cs="Arial"/>
                <w:color w:val="000000"/>
                <w:sz w:val="19"/>
                <w:szCs w:val="19"/>
              </w:rPr>
              <w:t>i kontratave</w:t>
            </w:r>
            <w:r w:rsidRPr="004D2E1C">
              <w:rPr>
                <w:rFonts w:ascii="Arial" w:hAnsi="Arial" w:cs="Arial"/>
                <w:color w:val="000000"/>
                <w:sz w:val="19"/>
                <w:szCs w:val="19"/>
              </w:rPr>
              <w:t xml:space="preserve"> </w:t>
            </w:r>
          </w:p>
        </w:tc>
        <w:tc>
          <w:tcPr>
            <w:tcW w:w="1710" w:type="dxa"/>
            <w:shd w:val="clear" w:color="auto" w:fill="E6E6E6"/>
            <w:noWrap/>
            <w:vAlign w:val="bottom"/>
          </w:tcPr>
          <w:p w14:paraId="0FA09600"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7</w:t>
            </w:r>
          </w:p>
        </w:tc>
      </w:tr>
      <w:tr w:rsidR="00396427" w:rsidRPr="004D2E1C" w14:paraId="21652A46" w14:textId="77777777" w:rsidTr="001D245D">
        <w:trPr>
          <w:trHeight w:val="255"/>
        </w:trPr>
        <w:tc>
          <w:tcPr>
            <w:tcW w:w="851" w:type="dxa"/>
            <w:shd w:val="clear" w:color="auto" w:fill="E6E6E6"/>
            <w:noWrap/>
            <w:vAlign w:val="bottom"/>
            <w:hideMark/>
          </w:tcPr>
          <w:p w14:paraId="0D8C993B"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VI</w:t>
            </w:r>
          </w:p>
        </w:tc>
        <w:tc>
          <w:tcPr>
            <w:tcW w:w="6282" w:type="dxa"/>
            <w:shd w:val="clear" w:color="auto" w:fill="E6E6E6"/>
            <w:noWrap/>
            <w:hideMark/>
          </w:tcPr>
          <w:p w14:paraId="65DF2514"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Menaxhimi i burimeve njerëzore</w:t>
            </w:r>
          </w:p>
        </w:tc>
        <w:tc>
          <w:tcPr>
            <w:tcW w:w="1710" w:type="dxa"/>
            <w:shd w:val="clear" w:color="auto" w:fill="E6E6E6"/>
            <w:noWrap/>
            <w:vAlign w:val="bottom"/>
          </w:tcPr>
          <w:p w14:paraId="3C9E5665" w14:textId="6F4F501F" w:rsidR="00396427" w:rsidRPr="00950185" w:rsidRDefault="00A425C3" w:rsidP="00396427">
            <w:pPr>
              <w:jc w:val="center"/>
              <w:rPr>
                <w:rFonts w:ascii="Arial" w:hAnsi="Arial" w:cs="Arial"/>
                <w:color w:val="000000"/>
                <w:sz w:val="19"/>
                <w:szCs w:val="19"/>
              </w:rPr>
            </w:pPr>
            <w:r>
              <w:rPr>
                <w:rFonts w:ascii="Arial" w:hAnsi="Arial" w:cs="Arial"/>
                <w:color w:val="000000"/>
                <w:sz w:val="19"/>
                <w:szCs w:val="19"/>
              </w:rPr>
              <w:t>8</w:t>
            </w:r>
          </w:p>
        </w:tc>
      </w:tr>
      <w:tr w:rsidR="00131290" w:rsidRPr="00131290" w14:paraId="6549A441" w14:textId="77777777" w:rsidTr="009E70B2">
        <w:trPr>
          <w:trHeight w:val="300"/>
        </w:trPr>
        <w:tc>
          <w:tcPr>
            <w:tcW w:w="7133" w:type="dxa"/>
            <w:gridSpan w:val="2"/>
            <w:tcBorders>
              <w:bottom w:val="dotted" w:sz="4" w:space="0" w:color="auto"/>
            </w:tcBorders>
            <w:shd w:val="clear" w:color="auto" w:fill="666699"/>
            <w:noWrap/>
            <w:vAlign w:val="bottom"/>
          </w:tcPr>
          <w:p w14:paraId="41138124" w14:textId="77777777" w:rsidR="00396427" w:rsidRPr="004D2E1C" w:rsidRDefault="00396427" w:rsidP="00396427">
            <w:pPr>
              <w:spacing w:before="40" w:after="40"/>
              <w:rPr>
                <w:rFonts w:ascii="Arial" w:hAnsi="Arial" w:cs="Arial"/>
                <w:b/>
                <w:bCs/>
                <w:color w:val="FFFFFF" w:themeColor="background1"/>
                <w:sz w:val="19"/>
                <w:szCs w:val="19"/>
              </w:rPr>
            </w:pPr>
            <w:r>
              <w:rPr>
                <w:rFonts w:ascii="Arial" w:hAnsi="Arial" w:cs="Arial"/>
                <w:b/>
                <w:bCs/>
                <w:color w:val="FFFFFF" w:themeColor="background1"/>
                <w:sz w:val="19"/>
                <w:szCs w:val="19"/>
              </w:rPr>
              <w:t>3</w:t>
            </w:r>
            <w:r w:rsidRPr="004D2E1C">
              <w:rPr>
                <w:rFonts w:ascii="Arial" w:hAnsi="Arial" w:cs="Arial"/>
                <w:b/>
                <w:bCs/>
                <w:color w:val="FFFFFF" w:themeColor="background1"/>
                <w:sz w:val="19"/>
                <w:szCs w:val="19"/>
              </w:rPr>
              <w:t xml:space="preserve">. </w:t>
            </w:r>
            <w:r>
              <w:rPr>
                <w:rFonts w:ascii="Arial" w:hAnsi="Arial" w:cs="Arial"/>
                <w:b/>
                <w:bCs/>
                <w:color w:val="FFFFFF" w:themeColor="background1"/>
                <w:sz w:val="19"/>
                <w:szCs w:val="19"/>
              </w:rPr>
              <w:t>Ofrimi i shërbimeve</w:t>
            </w:r>
          </w:p>
        </w:tc>
        <w:tc>
          <w:tcPr>
            <w:tcW w:w="1710" w:type="dxa"/>
            <w:tcBorders>
              <w:bottom w:val="dotted" w:sz="4" w:space="0" w:color="auto"/>
            </w:tcBorders>
            <w:shd w:val="clear" w:color="auto" w:fill="666699"/>
            <w:noWrap/>
          </w:tcPr>
          <w:p w14:paraId="244E2762" w14:textId="4478CB18" w:rsidR="00396427" w:rsidRPr="00131290" w:rsidRDefault="00A425C3" w:rsidP="00363711">
            <w:pPr>
              <w:spacing w:before="40" w:after="40"/>
              <w:jc w:val="center"/>
              <w:rPr>
                <w:rFonts w:ascii="Arial" w:hAnsi="Arial" w:cs="Arial"/>
                <w:color w:val="FFFFFF" w:themeColor="background1"/>
                <w:sz w:val="19"/>
                <w:szCs w:val="19"/>
              </w:rPr>
            </w:pPr>
            <w:r>
              <w:rPr>
                <w:rFonts w:ascii="Arial" w:hAnsi="Arial" w:cs="Arial"/>
                <w:color w:val="FFFFFF" w:themeColor="background1"/>
                <w:sz w:val="19"/>
                <w:szCs w:val="19"/>
              </w:rPr>
              <w:t>26</w:t>
            </w:r>
          </w:p>
        </w:tc>
      </w:tr>
      <w:tr w:rsidR="00396427" w:rsidRPr="004D2E1C" w14:paraId="40045E40" w14:textId="77777777" w:rsidTr="001D245D">
        <w:trPr>
          <w:trHeight w:val="255"/>
        </w:trPr>
        <w:tc>
          <w:tcPr>
            <w:tcW w:w="851" w:type="dxa"/>
            <w:shd w:val="clear" w:color="auto" w:fill="E6E6E6"/>
            <w:noWrap/>
            <w:vAlign w:val="bottom"/>
            <w:hideMark/>
          </w:tcPr>
          <w:p w14:paraId="552F40A8"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VI</w:t>
            </w:r>
            <w:r w:rsidRPr="004D2E1C">
              <w:rPr>
                <w:rFonts w:ascii="Arial" w:hAnsi="Arial" w:cs="Arial"/>
                <w:color w:val="000000"/>
                <w:sz w:val="19"/>
                <w:szCs w:val="19"/>
              </w:rPr>
              <w:t>I</w:t>
            </w:r>
          </w:p>
        </w:tc>
        <w:tc>
          <w:tcPr>
            <w:tcW w:w="6282" w:type="dxa"/>
            <w:shd w:val="clear" w:color="auto" w:fill="E6E6E6"/>
            <w:noWrap/>
            <w:hideMark/>
          </w:tcPr>
          <w:p w14:paraId="10D04E37"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Shërbimet administrative</w:t>
            </w:r>
          </w:p>
        </w:tc>
        <w:tc>
          <w:tcPr>
            <w:tcW w:w="1710" w:type="dxa"/>
            <w:shd w:val="clear" w:color="auto" w:fill="E6E6E6"/>
            <w:noWrap/>
            <w:vAlign w:val="bottom"/>
          </w:tcPr>
          <w:p w14:paraId="22555E03"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6</w:t>
            </w:r>
          </w:p>
        </w:tc>
      </w:tr>
      <w:tr w:rsidR="00396427" w:rsidRPr="004D2E1C" w14:paraId="2D8BCA2A" w14:textId="77777777" w:rsidTr="001D245D">
        <w:trPr>
          <w:trHeight w:val="255"/>
        </w:trPr>
        <w:tc>
          <w:tcPr>
            <w:tcW w:w="851" w:type="dxa"/>
            <w:shd w:val="clear" w:color="auto" w:fill="E6E6E6"/>
            <w:noWrap/>
            <w:vAlign w:val="bottom"/>
            <w:hideMark/>
          </w:tcPr>
          <w:p w14:paraId="02A089D5"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V</w:t>
            </w:r>
            <w:r w:rsidRPr="004D2E1C">
              <w:rPr>
                <w:rFonts w:ascii="Arial" w:hAnsi="Arial" w:cs="Arial"/>
                <w:color w:val="000000"/>
                <w:sz w:val="19"/>
                <w:szCs w:val="19"/>
              </w:rPr>
              <w:t>II</w:t>
            </w:r>
            <w:r>
              <w:rPr>
                <w:rFonts w:ascii="Arial" w:hAnsi="Arial" w:cs="Arial"/>
                <w:color w:val="000000"/>
                <w:sz w:val="19"/>
                <w:szCs w:val="19"/>
              </w:rPr>
              <w:t>I</w:t>
            </w:r>
          </w:p>
        </w:tc>
        <w:tc>
          <w:tcPr>
            <w:tcW w:w="6282" w:type="dxa"/>
            <w:shd w:val="clear" w:color="auto" w:fill="E6E6E6"/>
            <w:noWrap/>
            <w:hideMark/>
          </w:tcPr>
          <w:p w14:paraId="63D455EB"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Planifikimi hapësinor, transporti publik dhe mjedisi</w:t>
            </w:r>
          </w:p>
        </w:tc>
        <w:tc>
          <w:tcPr>
            <w:tcW w:w="1710" w:type="dxa"/>
            <w:shd w:val="clear" w:color="auto" w:fill="E6E6E6"/>
            <w:noWrap/>
            <w:vAlign w:val="bottom"/>
          </w:tcPr>
          <w:p w14:paraId="63F0F249"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8</w:t>
            </w:r>
          </w:p>
        </w:tc>
      </w:tr>
      <w:tr w:rsidR="00396427" w:rsidRPr="004D2E1C" w14:paraId="67486242" w14:textId="77777777" w:rsidTr="001D245D">
        <w:trPr>
          <w:trHeight w:val="255"/>
        </w:trPr>
        <w:tc>
          <w:tcPr>
            <w:tcW w:w="851" w:type="dxa"/>
            <w:shd w:val="clear" w:color="auto" w:fill="E6E6E6"/>
            <w:noWrap/>
            <w:vAlign w:val="bottom"/>
            <w:hideMark/>
          </w:tcPr>
          <w:p w14:paraId="66D77975"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IX</w:t>
            </w:r>
          </w:p>
        </w:tc>
        <w:tc>
          <w:tcPr>
            <w:tcW w:w="6282" w:type="dxa"/>
            <w:shd w:val="clear" w:color="auto" w:fill="E6E6E6"/>
            <w:noWrap/>
            <w:hideMark/>
          </w:tcPr>
          <w:p w14:paraId="735B734A"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Arsimi para-universitar</w:t>
            </w:r>
          </w:p>
        </w:tc>
        <w:tc>
          <w:tcPr>
            <w:tcW w:w="1710" w:type="dxa"/>
            <w:shd w:val="clear" w:color="auto" w:fill="E6E6E6"/>
            <w:noWrap/>
            <w:vAlign w:val="bottom"/>
          </w:tcPr>
          <w:p w14:paraId="1662CC68" w14:textId="06AD4263" w:rsidR="00396427" w:rsidRPr="00950185" w:rsidRDefault="00A425C3" w:rsidP="00396427">
            <w:pPr>
              <w:jc w:val="center"/>
              <w:rPr>
                <w:rFonts w:ascii="Arial" w:hAnsi="Arial" w:cs="Arial"/>
                <w:color w:val="000000"/>
                <w:sz w:val="19"/>
                <w:szCs w:val="19"/>
              </w:rPr>
            </w:pPr>
            <w:r>
              <w:rPr>
                <w:rFonts w:ascii="Arial" w:hAnsi="Arial" w:cs="Arial"/>
                <w:color w:val="000000"/>
                <w:sz w:val="19"/>
                <w:szCs w:val="19"/>
              </w:rPr>
              <w:t>4</w:t>
            </w:r>
          </w:p>
        </w:tc>
      </w:tr>
      <w:tr w:rsidR="00396427" w:rsidRPr="004D2E1C" w14:paraId="034AE0D3" w14:textId="77777777" w:rsidTr="001D245D">
        <w:trPr>
          <w:trHeight w:val="255"/>
        </w:trPr>
        <w:tc>
          <w:tcPr>
            <w:tcW w:w="851" w:type="dxa"/>
            <w:shd w:val="clear" w:color="auto" w:fill="E6E6E6"/>
            <w:noWrap/>
            <w:vAlign w:val="bottom"/>
          </w:tcPr>
          <w:p w14:paraId="5EEE6BD2" w14:textId="77777777" w:rsidR="00396427" w:rsidRDefault="00396427" w:rsidP="00396427">
            <w:pPr>
              <w:jc w:val="right"/>
              <w:rPr>
                <w:rFonts w:ascii="Arial" w:hAnsi="Arial" w:cs="Arial"/>
                <w:color w:val="000000"/>
                <w:sz w:val="19"/>
                <w:szCs w:val="19"/>
              </w:rPr>
            </w:pPr>
            <w:r>
              <w:rPr>
                <w:rFonts w:ascii="Arial" w:hAnsi="Arial" w:cs="Arial"/>
                <w:color w:val="000000"/>
                <w:sz w:val="19"/>
                <w:szCs w:val="19"/>
              </w:rPr>
              <w:t>X</w:t>
            </w:r>
          </w:p>
        </w:tc>
        <w:tc>
          <w:tcPr>
            <w:tcW w:w="6282" w:type="dxa"/>
            <w:shd w:val="clear" w:color="auto" w:fill="E6E6E6"/>
            <w:noWrap/>
          </w:tcPr>
          <w:p w14:paraId="7BAB3C10" w14:textId="77777777" w:rsidR="00396427" w:rsidRDefault="00396427" w:rsidP="00396427">
            <w:pPr>
              <w:rPr>
                <w:rFonts w:ascii="Arial" w:hAnsi="Arial" w:cs="Arial"/>
                <w:color w:val="000000"/>
                <w:sz w:val="19"/>
                <w:szCs w:val="19"/>
              </w:rPr>
            </w:pPr>
            <w:r>
              <w:rPr>
                <w:rFonts w:ascii="Arial" w:hAnsi="Arial" w:cs="Arial"/>
                <w:color w:val="000000"/>
                <w:sz w:val="19"/>
                <w:szCs w:val="19"/>
              </w:rPr>
              <w:t>Kujdesi primar shëndetësor</w:t>
            </w:r>
          </w:p>
        </w:tc>
        <w:tc>
          <w:tcPr>
            <w:tcW w:w="1710" w:type="dxa"/>
            <w:shd w:val="clear" w:color="auto" w:fill="E6E6E6"/>
            <w:noWrap/>
            <w:vAlign w:val="bottom"/>
          </w:tcPr>
          <w:p w14:paraId="732C3DC7"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8</w:t>
            </w:r>
          </w:p>
        </w:tc>
      </w:tr>
      <w:tr w:rsidR="00396427" w:rsidRPr="004D2E1C" w14:paraId="10F355CB" w14:textId="77777777" w:rsidTr="001D245D">
        <w:trPr>
          <w:trHeight w:val="300"/>
        </w:trPr>
        <w:tc>
          <w:tcPr>
            <w:tcW w:w="7133" w:type="dxa"/>
            <w:gridSpan w:val="2"/>
            <w:shd w:val="clear" w:color="auto" w:fill="666699"/>
            <w:noWrap/>
            <w:vAlign w:val="bottom"/>
          </w:tcPr>
          <w:p w14:paraId="6A9FB6EC" w14:textId="77777777" w:rsidR="00396427" w:rsidRPr="004D2E1C" w:rsidRDefault="00396427" w:rsidP="009C5600">
            <w:pPr>
              <w:rPr>
                <w:rFonts w:ascii="Arial" w:hAnsi="Arial" w:cs="Arial"/>
                <w:b/>
                <w:color w:val="FFFFFF" w:themeColor="background1"/>
                <w:sz w:val="19"/>
                <w:szCs w:val="19"/>
              </w:rPr>
            </w:pPr>
            <w:r w:rsidRPr="004D2E1C">
              <w:rPr>
                <w:rFonts w:ascii="Arial" w:hAnsi="Arial" w:cs="Arial"/>
                <w:b/>
                <w:color w:val="FFFFFF" w:themeColor="background1"/>
                <w:sz w:val="19"/>
                <w:szCs w:val="19"/>
              </w:rPr>
              <w:t xml:space="preserve">Numri maksimal i pikëve  </w:t>
            </w:r>
          </w:p>
        </w:tc>
        <w:tc>
          <w:tcPr>
            <w:tcW w:w="1710" w:type="dxa"/>
            <w:shd w:val="clear" w:color="auto" w:fill="666699"/>
            <w:noWrap/>
          </w:tcPr>
          <w:p w14:paraId="0C396564" w14:textId="707997F8" w:rsidR="00396427" w:rsidRPr="00950185" w:rsidRDefault="00A425C3" w:rsidP="00363711">
            <w:pPr>
              <w:jc w:val="center"/>
              <w:rPr>
                <w:rFonts w:ascii="Arial" w:hAnsi="Arial" w:cs="Arial"/>
                <w:b/>
                <w:color w:val="FFFFFF" w:themeColor="background1"/>
                <w:sz w:val="19"/>
                <w:szCs w:val="19"/>
              </w:rPr>
            </w:pPr>
            <w:r>
              <w:rPr>
                <w:rFonts w:ascii="Arial" w:hAnsi="Arial" w:cs="Arial"/>
                <w:color w:val="FFFFFF" w:themeColor="background1"/>
                <w:sz w:val="19"/>
                <w:szCs w:val="19"/>
              </w:rPr>
              <w:t>92</w:t>
            </w:r>
          </w:p>
        </w:tc>
      </w:tr>
    </w:tbl>
    <w:p w14:paraId="622F0384" w14:textId="77777777" w:rsidR="000D6CE5" w:rsidRPr="004D2E1C" w:rsidRDefault="000D6CE5" w:rsidP="000D6CE5">
      <w:pPr>
        <w:pStyle w:val="ListParagraph"/>
        <w:tabs>
          <w:tab w:val="left" w:pos="851"/>
        </w:tabs>
        <w:spacing w:before="120" w:after="0" w:line="264" w:lineRule="auto"/>
        <w:ind w:left="851"/>
        <w:jc w:val="both"/>
        <w:rPr>
          <w:rFonts w:ascii="Arial" w:hAnsi="Arial"/>
          <w:sz w:val="16"/>
          <w:szCs w:val="16"/>
        </w:rPr>
      </w:pPr>
    </w:p>
    <w:p w14:paraId="40A6D6B0" w14:textId="77777777"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szCs w:val="28"/>
          <w:lang w:val="sq-AL"/>
        </w:rPr>
      </w:pPr>
      <w:bookmarkStart w:id="22" w:name="_Toc236632741"/>
      <w:bookmarkStart w:id="23" w:name="_Toc170004017"/>
      <w:bookmarkStart w:id="24" w:name="_Toc170432959"/>
      <w:bookmarkStart w:id="25" w:name="_Toc61062516"/>
      <w:r w:rsidRPr="004D2E1C">
        <w:rPr>
          <w:rFonts w:asciiTheme="majorHAnsi" w:hAnsiTheme="majorHAnsi"/>
          <w:color w:val="C0504D" w:themeColor="accent2"/>
          <w:szCs w:val="28"/>
          <w:lang w:val="sq-AL"/>
        </w:rPr>
        <w:t>Mbulueshmëria gjeograf</w:t>
      </w:r>
      <w:bookmarkEnd w:id="22"/>
      <w:bookmarkEnd w:id="23"/>
      <w:bookmarkEnd w:id="24"/>
      <w:r w:rsidRPr="004D2E1C">
        <w:rPr>
          <w:rFonts w:asciiTheme="majorHAnsi" w:hAnsiTheme="majorHAnsi"/>
          <w:color w:val="C0504D" w:themeColor="accent2"/>
          <w:szCs w:val="28"/>
          <w:lang w:val="sq-AL"/>
        </w:rPr>
        <w:t>ike</w:t>
      </w:r>
      <w:bookmarkEnd w:id="25"/>
    </w:p>
    <w:p w14:paraId="5B8701D1" w14:textId="77777777" w:rsidR="00146D08" w:rsidRPr="00146D08" w:rsidRDefault="00146D08" w:rsidP="00D812D8">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0"/>
          <w:szCs w:val="10"/>
        </w:rPr>
      </w:pPr>
    </w:p>
    <w:p w14:paraId="655D8DA2" w14:textId="77777777" w:rsidR="000D6CE5" w:rsidRDefault="005B0065" w:rsidP="00D812D8">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Pr>
          <w:rFonts w:asciiTheme="majorHAnsi" w:hAnsiTheme="majorHAnsi"/>
          <w:sz w:val="21"/>
          <w:szCs w:val="21"/>
        </w:rPr>
        <w:t>GPK</w:t>
      </w:r>
      <w:r w:rsidR="00937C96">
        <w:rPr>
          <w:rFonts w:asciiTheme="majorHAnsi" w:hAnsiTheme="majorHAnsi"/>
          <w:sz w:val="21"/>
          <w:szCs w:val="21"/>
        </w:rPr>
        <w:t xml:space="preserve"> </w:t>
      </w:r>
      <w:r w:rsidR="00C87181">
        <w:rPr>
          <w:rFonts w:asciiTheme="majorHAnsi" w:hAnsiTheme="majorHAnsi"/>
          <w:sz w:val="21"/>
          <w:szCs w:val="21"/>
        </w:rPr>
        <w:t>ë</w:t>
      </w:r>
      <w:r w:rsidR="00937C96">
        <w:rPr>
          <w:rFonts w:asciiTheme="majorHAnsi" w:hAnsiTheme="majorHAnsi"/>
          <w:sz w:val="21"/>
          <w:szCs w:val="21"/>
        </w:rPr>
        <w:t>sht</w:t>
      </w:r>
      <w:r w:rsidR="00C87181">
        <w:rPr>
          <w:rFonts w:asciiTheme="majorHAnsi" w:hAnsiTheme="majorHAnsi"/>
          <w:sz w:val="21"/>
          <w:szCs w:val="21"/>
        </w:rPr>
        <w:t>ë</w:t>
      </w:r>
      <w:r w:rsidR="00937C96">
        <w:rPr>
          <w:rFonts w:asciiTheme="majorHAnsi" w:hAnsiTheme="majorHAnsi"/>
          <w:sz w:val="21"/>
          <w:szCs w:val="21"/>
        </w:rPr>
        <w:t xml:space="preserve"> instrument financiar i krijuar p</w:t>
      </w:r>
      <w:r w:rsidR="00C87181">
        <w:rPr>
          <w:rFonts w:asciiTheme="majorHAnsi" w:hAnsiTheme="majorHAnsi"/>
          <w:sz w:val="21"/>
          <w:szCs w:val="21"/>
        </w:rPr>
        <w:t>ë</w:t>
      </w:r>
      <w:r w:rsidR="00937C96">
        <w:rPr>
          <w:rFonts w:asciiTheme="majorHAnsi" w:hAnsiTheme="majorHAnsi"/>
          <w:sz w:val="21"/>
          <w:szCs w:val="21"/>
        </w:rPr>
        <w:t>r t</w:t>
      </w:r>
      <w:r w:rsidR="00C87181">
        <w:rPr>
          <w:rFonts w:asciiTheme="majorHAnsi" w:hAnsiTheme="majorHAnsi"/>
          <w:sz w:val="21"/>
          <w:szCs w:val="21"/>
        </w:rPr>
        <w:t>ë</w:t>
      </w:r>
      <w:r w:rsidR="00937C96">
        <w:rPr>
          <w:rFonts w:asciiTheme="majorHAnsi" w:hAnsiTheme="majorHAnsi"/>
          <w:sz w:val="21"/>
          <w:szCs w:val="21"/>
        </w:rPr>
        <w:t xml:space="preserve"> gjitha komunat e Kosov</w:t>
      </w:r>
      <w:r w:rsidR="00C87181">
        <w:rPr>
          <w:rFonts w:asciiTheme="majorHAnsi" w:hAnsiTheme="majorHAnsi"/>
          <w:sz w:val="21"/>
          <w:szCs w:val="21"/>
        </w:rPr>
        <w:t>ë</w:t>
      </w:r>
      <w:r w:rsidR="00937C96">
        <w:rPr>
          <w:rFonts w:asciiTheme="majorHAnsi" w:hAnsiTheme="majorHAnsi"/>
          <w:sz w:val="21"/>
          <w:szCs w:val="21"/>
        </w:rPr>
        <w:t>s. Qasje n</w:t>
      </w:r>
      <w:r w:rsidR="00C87181">
        <w:rPr>
          <w:rFonts w:asciiTheme="majorHAnsi" w:hAnsiTheme="majorHAnsi"/>
          <w:sz w:val="21"/>
          <w:szCs w:val="21"/>
        </w:rPr>
        <w:t>ë</w:t>
      </w:r>
      <w:r w:rsidR="00937C96">
        <w:rPr>
          <w:rFonts w:asciiTheme="majorHAnsi" w:hAnsiTheme="majorHAnsi"/>
          <w:sz w:val="21"/>
          <w:szCs w:val="21"/>
        </w:rPr>
        <w:t xml:space="preserve"> </w:t>
      </w:r>
      <w:r w:rsidR="00F24CFD">
        <w:rPr>
          <w:rFonts w:asciiTheme="majorHAnsi" w:hAnsiTheme="majorHAnsi"/>
          <w:sz w:val="21"/>
          <w:szCs w:val="21"/>
        </w:rPr>
        <w:t>GPK</w:t>
      </w:r>
      <w:r w:rsidR="00937C96">
        <w:rPr>
          <w:rFonts w:asciiTheme="majorHAnsi" w:hAnsiTheme="majorHAnsi"/>
          <w:sz w:val="21"/>
          <w:szCs w:val="21"/>
        </w:rPr>
        <w:t xml:space="preserve"> kan</w:t>
      </w:r>
      <w:r w:rsidR="00C87181">
        <w:rPr>
          <w:rFonts w:asciiTheme="majorHAnsi" w:hAnsiTheme="majorHAnsi"/>
          <w:sz w:val="21"/>
          <w:szCs w:val="21"/>
        </w:rPr>
        <w:t>ë</w:t>
      </w:r>
      <w:r w:rsidR="00937C96">
        <w:rPr>
          <w:rFonts w:asciiTheme="majorHAnsi" w:hAnsiTheme="majorHAnsi"/>
          <w:sz w:val="21"/>
          <w:szCs w:val="21"/>
        </w:rPr>
        <w:t xml:space="preserve"> t</w:t>
      </w:r>
      <w:r w:rsidR="00C87181">
        <w:rPr>
          <w:rFonts w:asciiTheme="majorHAnsi" w:hAnsiTheme="majorHAnsi"/>
          <w:sz w:val="21"/>
          <w:szCs w:val="21"/>
        </w:rPr>
        <w:t>ë</w:t>
      </w:r>
      <w:r w:rsidR="00937C96">
        <w:rPr>
          <w:rFonts w:asciiTheme="majorHAnsi" w:hAnsiTheme="majorHAnsi"/>
          <w:sz w:val="21"/>
          <w:szCs w:val="21"/>
        </w:rPr>
        <w:t xml:space="preserve"> gjitha komunat q</w:t>
      </w:r>
      <w:r w:rsidR="00C87181">
        <w:rPr>
          <w:rFonts w:asciiTheme="majorHAnsi" w:hAnsiTheme="majorHAnsi"/>
          <w:sz w:val="21"/>
          <w:szCs w:val="21"/>
        </w:rPr>
        <w:t>ë</w:t>
      </w:r>
      <w:r w:rsidR="00937C96">
        <w:rPr>
          <w:rFonts w:asciiTheme="majorHAnsi" w:hAnsiTheme="majorHAnsi"/>
          <w:sz w:val="21"/>
          <w:szCs w:val="21"/>
        </w:rPr>
        <w:t xml:space="preserve"> plot</w:t>
      </w:r>
      <w:r w:rsidR="00C87181">
        <w:rPr>
          <w:rFonts w:asciiTheme="majorHAnsi" w:hAnsiTheme="majorHAnsi"/>
          <w:sz w:val="21"/>
          <w:szCs w:val="21"/>
        </w:rPr>
        <w:t>ë</w:t>
      </w:r>
      <w:r w:rsidR="00937C96">
        <w:rPr>
          <w:rFonts w:asciiTheme="majorHAnsi" w:hAnsiTheme="majorHAnsi"/>
          <w:sz w:val="21"/>
          <w:szCs w:val="21"/>
        </w:rPr>
        <w:t>sojn</w:t>
      </w:r>
      <w:r w:rsidR="00C87181">
        <w:rPr>
          <w:rFonts w:asciiTheme="majorHAnsi" w:hAnsiTheme="majorHAnsi"/>
          <w:sz w:val="21"/>
          <w:szCs w:val="21"/>
        </w:rPr>
        <w:t>ë</w:t>
      </w:r>
      <w:r w:rsidR="00937C96">
        <w:rPr>
          <w:rFonts w:asciiTheme="majorHAnsi" w:hAnsiTheme="majorHAnsi"/>
          <w:sz w:val="21"/>
          <w:szCs w:val="21"/>
        </w:rPr>
        <w:t xml:space="preserve"> kushtet minimale t</w:t>
      </w:r>
      <w:r w:rsidR="00C87181">
        <w:rPr>
          <w:rFonts w:asciiTheme="majorHAnsi" w:hAnsiTheme="majorHAnsi"/>
          <w:sz w:val="21"/>
          <w:szCs w:val="21"/>
        </w:rPr>
        <w:t>ë</w:t>
      </w:r>
      <w:r w:rsidR="00937C96">
        <w:rPr>
          <w:rFonts w:asciiTheme="majorHAnsi" w:hAnsiTheme="majorHAnsi"/>
          <w:sz w:val="21"/>
          <w:szCs w:val="21"/>
        </w:rPr>
        <w:t xml:space="preserve"> p</w:t>
      </w:r>
      <w:r w:rsidR="00C87181">
        <w:rPr>
          <w:rFonts w:asciiTheme="majorHAnsi" w:hAnsiTheme="majorHAnsi"/>
          <w:sz w:val="21"/>
          <w:szCs w:val="21"/>
        </w:rPr>
        <w:t>ë</w:t>
      </w:r>
      <w:r w:rsidR="00937C96">
        <w:rPr>
          <w:rFonts w:asciiTheme="majorHAnsi" w:hAnsiTheme="majorHAnsi"/>
          <w:sz w:val="21"/>
          <w:szCs w:val="21"/>
        </w:rPr>
        <w:t>rcaktuara n</w:t>
      </w:r>
      <w:r w:rsidR="00C87181">
        <w:rPr>
          <w:rFonts w:asciiTheme="majorHAnsi" w:hAnsiTheme="majorHAnsi"/>
          <w:sz w:val="21"/>
          <w:szCs w:val="21"/>
        </w:rPr>
        <w:t>ë</w:t>
      </w:r>
      <w:r w:rsidR="00937C96">
        <w:rPr>
          <w:rFonts w:asciiTheme="majorHAnsi" w:hAnsiTheme="majorHAnsi"/>
          <w:sz w:val="21"/>
          <w:szCs w:val="21"/>
        </w:rPr>
        <w:t xml:space="preserve"> k</w:t>
      </w:r>
      <w:r w:rsidR="00C87181">
        <w:rPr>
          <w:rFonts w:asciiTheme="majorHAnsi" w:hAnsiTheme="majorHAnsi"/>
          <w:sz w:val="21"/>
          <w:szCs w:val="21"/>
        </w:rPr>
        <w:t>ë</w:t>
      </w:r>
      <w:r w:rsidR="00937C96">
        <w:rPr>
          <w:rFonts w:asciiTheme="majorHAnsi" w:hAnsiTheme="majorHAnsi"/>
          <w:sz w:val="21"/>
          <w:szCs w:val="21"/>
        </w:rPr>
        <w:t>t</w:t>
      </w:r>
      <w:r w:rsidR="00C87181">
        <w:rPr>
          <w:rFonts w:asciiTheme="majorHAnsi" w:hAnsiTheme="majorHAnsi"/>
          <w:sz w:val="21"/>
          <w:szCs w:val="21"/>
        </w:rPr>
        <w:t>ë</w:t>
      </w:r>
      <w:r w:rsidR="00937C96">
        <w:rPr>
          <w:rFonts w:asciiTheme="majorHAnsi" w:hAnsiTheme="majorHAnsi"/>
          <w:sz w:val="21"/>
          <w:szCs w:val="21"/>
        </w:rPr>
        <w:t xml:space="preserve"> dokument. </w:t>
      </w:r>
    </w:p>
    <w:p w14:paraId="510F7078" w14:textId="77777777" w:rsidR="00937C96" w:rsidRPr="004D2E1C" w:rsidRDefault="00937C96" w:rsidP="000D6CE5">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rPr>
      </w:pPr>
    </w:p>
    <w:p w14:paraId="585A85A8" w14:textId="77777777"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szCs w:val="28"/>
          <w:lang w:val="sq-AL"/>
        </w:rPr>
      </w:pPr>
      <w:bookmarkStart w:id="26" w:name="_Toc61062517"/>
      <w:r w:rsidRPr="004D2E1C">
        <w:rPr>
          <w:rFonts w:asciiTheme="majorHAnsi" w:hAnsiTheme="majorHAnsi"/>
          <w:color w:val="C0504D" w:themeColor="accent2"/>
          <w:szCs w:val="28"/>
          <w:lang w:val="sq-AL"/>
        </w:rPr>
        <w:t>Orientimi strategjik</w:t>
      </w:r>
      <w:bookmarkEnd w:id="26"/>
    </w:p>
    <w:p w14:paraId="23C6649C" w14:textId="2D842077" w:rsidR="000D6CE5" w:rsidRPr="004D2E1C" w:rsidRDefault="001C48D4"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bookmarkStart w:id="27" w:name="_Toc170432985"/>
      <w:r w:rsidRPr="07D96137">
        <w:rPr>
          <w:rFonts w:asciiTheme="majorHAnsi" w:hAnsiTheme="majorHAnsi"/>
          <w:sz w:val="21"/>
          <w:szCs w:val="21"/>
        </w:rPr>
        <w:t>GPK</w:t>
      </w:r>
      <w:r w:rsidR="005D35C0" w:rsidRPr="07D96137">
        <w:rPr>
          <w:rFonts w:asciiTheme="majorHAnsi" w:hAnsiTheme="majorHAnsi"/>
          <w:sz w:val="21"/>
          <w:szCs w:val="21"/>
        </w:rPr>
        <w:t xml:space="preserve"> </w:t>
      </w:r>
      <w:r w:rsidR="00BB1193" w:rsidRPr="07D96137">
        <w:rPr>
          <w:rFonts w:asciiTheme="majorHAnsi" w:hAnsiTheme="majorHAnsi"/>
          <w:sz w:val="21"/>
          <w:szCs w:val="21"/>
        </w:rPr>
        <w:t>ë</w:t>
      </w:r>
      <w:r w:rsidR="00F24CFD" w:rsidRPr="07D96137">
        <w:rPr>
          <w:rFonts w:asciiTheme="majorHAnsi" w:hAnsiTheme="majorHAnsi"/>
          <w:sz w:val="21"/>
          <w:szCs w:val="21"/>
        </w:rPr>
        <w:t>sht</w:t>
      </w:r>
      <w:r w:rsidR="00BB1193" w:rsidRPr="07D96137">
        <w:rPr>
          <w:rFonts w:asciiTheme="majorHAnsi" w:hAnsiTheme="majorHAnsi"/>
          <w:sz w:val="21"/>
          <w:szCs w:val="21"/>
        </w:rPr>
        <w:t>ë</w:t>
      </w:r>
      <w:r w:rsidR="00F24CFD" w:rsidRPr="07D96137">
        <w:rPr>
          <w:rFonts w:asciiTheme="majorHAnsi" w:hAnsiTheme="majorHAnsi"/>
          <w:sz w:val="21"/>
          <w:szCs w:val="21"/>
        </w:rPr>
        <w:t xml:space="preserve"> </w:t>
      </w:r>
      <w:r w:rsidR="000D6CE5" w:rsidRPr="07D96137">
        <w:rPr>
          <w:rFonts w:asciiTheme="majorHAnsi" w:hAnsiTheme="majorHAnsi"/>
          <w:sz w:val="21"/>
          <w:szCs w:val="21"/>
        </w:rPr>
        <w:t xml:space="preserve">grant </w:t>
      </w:r>
      <w:r w:rsidR="00F24CFD" w:rsidRPr="07D96137">
        <w:rPr>
          <w:rFonts w:asciiTheme="majorHAnsi" w:hAnsiTheme="majorHAnsi"/>
          <w:sz w:val="21"/>
          <w:szCs w:val="21"/>
        </w:rPr>
        <w:t>shtes</w:t>
      </w:r>
      <w:r w:rsidR="00BB1193" w:rsidRPr="07D96137">
        <w:rPr>
          <w:rFonts w:asciiTheme="majorHAnsi" w:hAnsiTheme="majorHAnsi"/>
          <w:sz w:val="21"/>
          <w:szCs w:val="21"/>
        </w:rPr>
        <w:t>ë</w:t>
      </w:r>
      <w:r w:rsidR="00F24CFD" w:rsidRPr="07D96137">
        <w:rPr>
          <w:rFonts w:asciiTheme="majorHAnsi" w:hAnsiTheme="majorHAnsi"/>
          <w:sz w:val="21"/>
          <w:szCs w:val="21"/>
        </w:rPr>
        <w:t xml:space="preserve"> p</w:t>
      </w:r>
      <w:r w:rsidR="00BB1193" w:rsidRPr="07D96137">
        <w:rPr>
          <w:rFonts w:asciiTheme="majorHAnsi" w:hAnsiTheme="majorHAnsi"/>
          <w:sz w:val="21"/>
          <w:szCs w:val="21"/>
        </w:rPr>
        <w:t>ë</w:t>
      </w:r>
      <w:r w:rsidR="00F24CFD" w:rsidRPr="07D96137">
        <w:rPr>
          <w:rFonts w:asciiTheme="majorHAnsi" w:hAnsiTheme="majorHAnsi"/>
          <w:sz w:val="21"/>
          <w:szCs w:val="21"/>
        </w:rPr>
        <w:t>r komunat i parap</w:t>
      </w:r>
      <w:r w:rsidR="009C5600" w:rsidRPr="07D96137">
        <w:rPr>
          <w:rFonts w:asciiTheme="majorHAnsi" w:hAnsiTheme="majorHAnsi"/>
          <w:sz w:val="21"/>
          <w:szCs w:val="21"/>
        </w:rPr>
        <w:t>a</w:t>
      </w:r>
      <w:r w:rsidR="00F24CFD" w:rsidRPr="07D96137">
        <w:rPr>
          <w:rFonts w:asciiTheme="majorHAnsi" w:hAnsiTheme="majorHAnsi"/>
          <w:sz w:val="21"/>
          <w:szCs w:val="21"/>
        </w:rPr>
        <w:t>r</w:t>
      </w:r>
      <w:r w:rsidR="00BB1193" w:rsidRPr="07D96137">
        <w:rPr>
          <w:rFonts w:asciiTheme="majorHAnsi" w:hAnsiTheme="majorHAnsi"/>
          <w:sz w:val="21"/>
          <w:szCs w:val="21"/>
        </w:rPr>
        <w:t>ë</w:t>
      </w:r>
      <w:r w:rsidR="00F24CFD" w:rsidRPr="07D96137">
        <w:rPr>
          <w:rFonts w:asciiTheme="majorHAnsi" w:hAnsiTheme="majorHAnsi"/>
          <w:sz w:val="21"/>
          <w:szCs w:val="21"/>
        </w:rPr>
        <w:t xml:space="preserve"> n</w:t>
      </w:r>
      <w:r w:rsidR="00BB1193" w:rsidRPr="07D96137">
        <w:rPr>
          <w:rFonts w:asciiTheme="majorHAnsi" w:hAnsiTheme="majorHAnsi"/>
          <w:sz w:val="21"/>
          <w:szCs w:val="21"/>
        </w:rPr>
        <w:t>ë</w:t>
      </w:r>
      <w:r w:rsidR="00F24CFD" w:rsidRPr="07D96137">
        <w:rPr>
          <w:rFonts w:asciiTheme="majorHAnsi" w:hAnsiTheme="majorHAnsi"/>
          <w:sz w:val="21"/>
          <w:szCs w:val="21"/>
        </w:rPr>
        <w:t xml:space="preserve"> </w:t>
      </w:r>
      <w:r w:rsidR="00A61333" w:rsidRPr="07D96137">
        <w:rPr>
          <w:rFonts w:asciiTheme="majorHAnsi" w:hAnsiTheme="majorHAnsi"/>
          <w:sz w:val="21"/>
          <w:szCs w:val="21"/>
        </w:rPr>
        <w:t>L</w:t>
      </w:r>
      <w:r w:rsidR="00F24CFD" w:rsidRPr="07D96137">
        <w:rPr>
          <w:rFonts w:asciiTheme="majorHAnsi" w:hAnsiTheme="majorHAnsi"/>
          <w:sz w:val="21"/>
          <w:szCs w:val="21"/>
        </w:rPr>
        <w:t>igjin vjetor t</w:t>
      </w:r>
      <w:r w:rsidR="00BB1193" w:rsidRPr="07D96137">
        <w:rPr>
          <w:rFonts w:asciiTheme="majorHAnsi" w:hAnsiTheme="majorHAnsi"/>
          <w:sz w:val="21"/>
          <w:szCs w:val="21"/>
        </w:rPr>
        <w:t>ë</w:t>
      </w:r>
      <w:r w:rsidR="00F24CFD" w:rsidRPr="07D96137">
        <w:rPr>
          <w:rFonts w:asciiTheme="majorHAnsi" w:hAnsiTheme="majorHAnsi"/>
          <w:sz w:val="21"/>
          <w:szCs w:val="21"/>
        </w:rPr>
        <w:t xml:space="preserve"> buxhetit t</w:t>
      </w:r>
      <w:r w:rsidR="00BB1193" w:rsidRPr="07D96137">
        <w:rPr>
          <w:rFonts w:asciiTheme="majorHAnsi" w:hAnsiTheme="majorHAnsi"/>
          <w:sz w:val="21"/>
          <w:szCs w:val="21"/>
        </w:rPr>
        <w:t>ë</w:t>
      </w:r>
      <w:r w:rsidR="00F24CFD" w:rsidRPr="07D96137">
        <w:rPr>
          <w:rFonts w:asciiTheme="majorHAnsi" w:hAnsiTheme="majorHAnsi"/>
          <w:sz w:val="21"/>
          <w:szCs w:val="21"/>
        </w:rPr>
        <w:t xml:space="preserve"> Kosov</w:t>
      </w:r>
      <w:r w:rsidR="00BB1193" w:rsidRPr="07D96137">
        <w:rPr>
          <w:rFonts w:asciiTheme="majorHAnsi" w:hAnsiTheme="majorHAnsi"/>
          <w:sz w:val="21"/>
          <w:szCs w:val="21"/>
        </w:rPr>
        <w:t>ë</w:t>
      </w:r>
      <w:r w:rsidR="00F24CFD" w:rsidRPr="07D96137">
        <w:rPr>
          <w:rFonts w:asciiTheme="majorHAnsi" w:hAnsiTheme="majorHAnsi"/>
          <w:sz w:val="21"/>
          <w:szCs w:val="21"/>
        </w:rPr>
        <w:t>s</w:t>
      </w:r>
      <w:r w:rsidR="18BAAB28" w:rsidRPr="07D96137">
        <w:rPr>
          <w:rFonts w:asciiTheme="majorHAnsi" w:hAnsiTheme="majorHAnsi"/>
          <w:sz w:val="21"/>
          <w:szCs w:val="21"/>
        </w:rPr>
        <w:t xml:space="preserve"> - tabela e alokimit t</w:t>
      </w:r>
      <w:r w:rsidR="004A6BDD">
        <w:rPr>
          <w:rFonts w:asciiTheme="majorHAnsi" w:hAnsiTheme="majorHAnsi"/>
          <w:sz w:val="21"/>
          <w:szCs w:val="21"/>
        </w:rPr>
        <w:t>ë</w:t>
      </w:r>
      <w:r w:rsidR="18BAAB28" w:rsidRPr="07D96137">
        <w:rPr>
          <w:rFonts w:asciiTheme="majorHAnsi" w:hAnsiTheme="majorHAnsi"/>
          <w:sz w:val="21"/>
          <w:szCs w:val="21"/>
        </w:rPr>
        <w:t xml:space="preserve"> buxhetit të Ministrisë së Administrimit të Pushtetit Lokal</w:t>
      </w:r>
      <w:r w:rsidR="000D6CE5" w:rsidRPr="07D96137">
        <w:rPr>
          <w:rFonts w:asciiTheme="majorHAnsi" w:hAnsiTheme="majorHAnsi"/>
          <w:sz w:val="21"/>
          <w:szCs w:val="21"/>
        </w:rPr>
        <w:t xml:space="preserve">. Qëllimi </w:t>
      </w:r>
      <w:r w:rsidR="00DB3BD7" w:rsidRPr="07D96137">
        <w:rPr>
          <w:rFonts w:asciiTheme="majorHAnsi" w:hAnsiTheme="majorHAnsi"/>
          <w:sz w:val="21"/>
          <w:szCs w:val="21"/>
        </w:rPr>
        <w:t>strategjik</w:t>
      </w:r>
      <w:r w:rsidR="000D6CE5" w:rsidRPr="07D96137">
        <w:rPr>
          <w:rFonts w:asciiTheme="majorHAnsi" w:hAnsiTheme="majorHAnsi"/>
          <w:sz w:val="21"/>
          <w:szCs w:val="21"/>
        </w:rPr>
        <w:t xml:space="preserve"> është </w:t>
      </w:r>
      <w:r w:rsidR="00130B52" w:rsidRPr="07D96137">
        <w:rPr>
          <w:rFonts w:asciiTheme="majorHAnsi" w:hAnsiTheme="majorHAnsi"/>
          <w:sz w:val="21"/>
          <w:szCs w:val="21"/>
        </w:rPr>
        <w:t>integrimi</w:t>
      </w:r>
      <w:r w:rsidR="00944F48" w:rsidRPr="07D96137">
        <w:rPr>
          <w:rFonts w:asciiTheme="majorHAnsi" w:hAnsiTheme="majorHAnsi"/>
          <w:sz w:val="21"/>
          <w:szCs w:val="21"/>
        </w:rPr>
        <w:t xml:space="preserve"> </w:t>
      </w:r>
      <w:r w:rsidR="00DB3BD7" w:rsidRPr="07D96137">
        <w:rPr>
          <w:rFonts w:asciiTheme="majorHAnsi" w:hAnsiTheme="majorHAnsi"/>
          <w:sz w:val="21"/>
          <w:szCs w:val="21"/>
        </w:rPr>
        <w:t>i</w:t>
      </w:r>
      <w:r w:rsidR="000D6CE5" w:rsidRPr="07D96137">
        <w:rPr>
          <w:rFonts w:asciiTheme="majorHAnsi" w:hAnsiTheme="majorHAnsi"/>
          <w:sz w:val="21"/>
          <w:szCs w:val="21"/>
        </w:rPr>
        <w:t xml:space="preserve"> granti</w:t>
      </w:r>
      <w:r w:rsidR="00DB3BD7" w:rsidRPr="07D96137">
        <w:rPr>
          <w:rFonts w:asciiTheme="majorHAnsi" w:hAnsiTheme="majorHAnsi"/>
          <w:sz w:val="21"/>
          <w:szCs w:val="21"/>
        </w:rPr>
        <w:t xml:space="preserve">t të </w:t>
      </w:r>
      <w:r w:rsidR="000D6CE5" w:rsidRPr="07D96137">
        <w:rPr>
          <w:rFonts w:asciiTheme="majorHAnsi" w:hAnsiTheme="majorHAnsi"/>
          <w:sz w:val="21"/>
          <w:szCs w:val="21"/>
        </w:rPr>
        <w:t>performancë</w:t>
      </w:r>
      <w:r w:rsidR="00DB3BD7" w:rsidRPr="07D96137">
        <w:rPr>
          <w:rFonts w:asciiTheme="majorHAnsi" w:hAnsiTheme="majorHAnsi"/>
          <w:sz w:val="21"/>
          <w:szCs w:val="21"/>
        </w:rPr>
        <w:t>s</w:t>
      </w:r>
      <w:r w:rsidR="000D6CE5" w:rsidRPr="07D96137">
        <w:rPr>
          <w:rFonts w:asciiTheme="majorHAnsi" w:hAnsiTheme="majorHAnsi"/>
          <w:sz w:val="21"/>
          <w:szCs w:val="21"/>
        </w:rPr>
        <w:t xml:space="preserve"> </w:t>
      </w:r>
      <w:r w:rsidR="005D35C0" w:rsidRPr="07D96137">
        <w:rPr>
          <w:rFonts w:asciiTheme="majorHAnsi" w:hAnsiTheme="majorHAnsi"/>
          <w:sz w:val="21"/>
          <w:szCs w:val="21"/>
        </w:rPr>
        <w:t xml:space="preserve">komunale </w:t>
      </w:r>
      <w:r w:rsidR="000D6CE5" w:rsidRPr="07D96137">
        <w:rPr>
          <w:rFonts w:asciiTheme="majorHAnsi" w:hAnsiTheme="majorHAnsi"/>
          <w:sz w:val="21"/>
          <w:szCs w:val="21"/>
        </w:rPr>
        <w:t xml:space="preserve">në </w:t>
      </w:r>
      <w:r w:rsidR="00944F48" w:rsidRPr="07D96137">
        <w:rPr>
          <w:rFonts w:asciiTheme="majorHAnsi" w:hAnsiTheme="majorHAnsi"/>
          <w:sz w:val="21"/>
          <w:szCs w:val="21"/>
        </w:rPr>
        <w:t xml:space="preserve">ligjin </w:t>
      </w:r>
      <w:r w:rsidR="00F24CFD" w:rsidRPr="07D96137">
        <w:rPr>
          <w:rFonts w:asciiTheme="majorHAnsi" w:hAnsiTheme="majorHAnsi"/>
          <w:sz w:val="21"/>
          <w:szCs w:val="21"/>
        </w:rPr>
        <w:t>p</w:t>
      </w:r>
      <w:r w:rsidR="00BB1193" w:rsidRPr="07D96137">
        <w:rPr>
          <w:rFonts w:asciiTheme="majorHAnsi" w:hAnsiTheme="majorHAnsi"/>
          <w:sz w:val="21"/>
          <w:szCs w:val="21"/>
        </w:rPr>
        <w:t>ë</w:t>
      </w:r>
      <w:r w:rsidR="00F24CFD" w:rsidRPr="07D96137">
        <w:rPr>
          <w:rFonts w:asciiTheme="majorHAnsi" w:hAnsiTheme="majorHAnsi"/>
          <w:sz w:val="21"/>
          <w:szCs w:val="21"/>
        </w:rPr>
        <w:t>r financat e pushtetit lokal t</w:t>
      </w:r>
      <w:r w:rsidR="00BB1193" w:rsidRPr="07D96137">
        <w:rPr>
          <w:rFonts w:asciiTheme="majorHAnsi" w:hAnsiTheme="majorHAnsi"/>
          <w:sz w:val="21"/>
          <w:szCs w:val="21"/>
        </w:rPr>
        <w:t>ë</w:t>
      </w:r>
      <w:r w:rsidR="00F24CFD" w:rsidRPr="07D96137">
        <w:rPr>
          <w:rFonts w:asciiTheme="majorHAnsi" w:hAnsiTheme="majorHAnsi"/>
          <w:sz w:val="21"/>
          <w:szCs w:val="21"/>
        </w:rPr>
        <w:t xml:space="preserve"> Kosov</w:t>
      </w:r>
      <w:r w:rsidR="00BB1193" w:rsidRPr="07D96137">
        <w:rPr>
          <w:rFonts w:asciiTheme="majorHAnsi" w:hAnsiTheme="majorHAnsi"/>
          <w:sz w:val="21"/>
          <w:szCs w:val="21"/>
        </w:rPr>
        <w:t>ë</w:t>
      </w:r>
      <w:r w:rsidR="00F24CFD" w:rsidRPr="07D96137">
        <w:rPr>
          <w:rFonts w:asciiTheme="majorHAnsi" w:hAnsiTheme="majorHAnsi"/>
          <w:sz w:val="21"/>
          <w:szCs w:val="21"/>
        </w:rPr>
        <w:t>s</w:t>
      </w:r>
      <w:r w:rsidR="00C9025A">
        <w:rPr>
          <w:rFonts w:asciiTheme="majorHAnsi" w:hAnsiTheme="majorHAnsi"/>
          <w:sz w:val="21"/>
          <w:szCs w:val="21"/>
        </w:rPr>
        <w:t xml:space="preserve"> ose Ligjin për Menaxhimin e Financave Publike dhe Përgjegjësitë</w:t>
      </w:r>
      <w:r w:rsidR="00B11ACD" w:rsidRPr="07D96137">
        <w:rPr>
          <w:rFonts w:asciiTheme="majorHAnsi" w:hAnsiTheme="majorHAnsi"/>
          <w:sz w:val="21"/>
          <w:szCs w:val="21"/>
        </w:rPr>
        <w:t>, si dhe rregullimi me ligj</w:t>
      </w:r>
      <w:r w:rsidR="004A40F6">
        <w:rPr>
          <w:rFonts w:asciiTheme="majorHAnsi" w:hAnsiTheme="majorHAnsi"/>
          <w:sz w:val="21"/>
          <w:szCs w:val="21"/>
        </w:rPr>
        <w:t>in e</w:t>
      </w:r>
      <w:r w:rsidR="00B11ACD" w:rsidRPr="07D96137">
        <w:rPr>
          <w:rFonts w:asciiTheme="majorHAnsi" w:hAnsiTheme="majorHAnsi"/>
          <w:sz w:val="21"/>
          <w:szCs w:val="21"/>
        </w:rPr>
        <w:t xml:space="preserve"> veçantë</w:t>
      </w:r>
      <w:r w:rsidR="00632330">
        <w:rPr>
          <w:rFonts w:asciiTheme="majorHAnsi" w:hAnsiTheme="majorHAnsi"/>
          <w:sz w:val="21"/>
          <w:szCs w:val="21"/>
        </w:rPr>
        <w:t xml:space="preserve"> për performancë</w:t>
      </w:r>
      <w:r w:rsidR="004A40F6">
        <w:rPr>
          <w:rFonts w:asciiTheme="majorHAnsi" w:hAnsiTheme="majorHAnsi"/>
          <w:sz w:val="21"/>
          <w:szCs w:val="21"/>
        </w:rPr>
        <w:t>n</w:t>
      </w:r>
      <w:r w:rsidR="00632330">
        <w:rPr>
          <w:rFonts w:asciiTheme="majorHAnsi" w:hAnsiTheme="majorHAnsi"/>
          <w:sz w:val="21"/>
          <w:szCs w:val="21"/>
        </w:rPr>
        <w:t xml:space="preserve"> komunale</w:t>
      </w:r>
      <w:r w:rsidR="00B11ACD" w:rsidRPr="07D96137">
        <w:rPr>
          <w:rFonts w:asciiTheme="majorHAnsi" w:hAnsiTheme="majorHAnsi"/>
          <w:sz w:val="21"/>
          <w:szCs w:val="21"/>
        </w:rPr>
        <w:t xml:space="preserve">. </w:t>
      </w:r>
    </w:p>
    <w:p w14:paraId="0D0E81B4" w14:textId="3E833E70" w:rsidR="000D6CE5" w:rsidRPr="00C111E2" w:rsidRDefault="00D700DB"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Pr>
          <w:rFonts w:asciiTheme="majorHAnsi" w:hAnsiTheme="majorHAnsi"/>
          <w:sz w:val="21"/>
          <w:szCs w:val="21"/>
        </w:rPr>
        <w:lastRenderedPageBreak/>
        <w:t>GPK</w:t>
      </w:r>
      <w:r w:rsidR="005D35C0">
        <w:rPr>
          <w:rFonts w:asciiTheme="majorHAnsi" w:hAnsiTheme="majorHAnsi"/>
          <w:sz w:val="21"/>
          <w:szCs w:val="21"/>
        </w:rPr>
        <w:t xml:space="preserve"> </w:t>
      </w:r>
      <w:r w:rsidR="008C2851">
        <w:rPr>
          <w:rFonts w:asciiTheme="majorHAnsi" w:hAnsiTheme="majorHAnsi"/>
          <w:sz w:val="21"/>
          <w:szCs w:val="21"/>
        </w:rPr>
        <w:t>ofrohet si përkrahje shtesë për projektet kapitale të komunave,</w:t>
      </w:r>
      <w:r w:rsidR="000D6CE5" w:rsidRPr="00C111E2">
        <w:rPr>
          <w:rFonts w:asciiTheme="majorHAnsi" w:hAnsiTheme="majorHAnsi"/>
          <w:sz w:val="21"/>
          <w:szCs w:val="21"/>
        </w:rPr>
        <w:t xml:space="preserve"> </w:t>
      </w:r>
      <w:r w:rsidR="008B6F4E" w:rsidRPr="00C111E2">
        <w:rPr>
          <w:rFonts w:asciiTheme="majorHAnsi" w:hAnsiTheme="majorHAnsi"/>
          <w:sz w:val="21"/>
          <w:szCs w:val="21"/>
        </w:rPr>
        <w:t xml:space="preserve">lartësia </w:t>
      </w:r>
      <w:r w:rsidR="000D6CE5" w:rsidRPr="00C111E2">
        <w:rPr>
          <w:rFonts w:asciiTheme="majorHAnsi" w:hAnsiTheme="majorHAnsi"/>
          <w:sz w:val="21"/>
          <w:szCs w:val="21"/>
        </w:rPr>
        <w:t>e të cilit përcaktohet në bazë të formulës për alokimin e grantit</w:t>
      </w:r>
      <w:r w:rsidR="008B6F4E" w:rsidRPr="00C111E2">
        <w:rPr>
          <w:rFonts w:asciiTheme="majorHAnsi" w:hAnsiTheme="majorHAnsi"/>
          <w:sz w:val="21"/>
          <w:szCs w:val="21"/>
        </w:rPr>
        <w:t xml:space="preserve"> </w:t>
      </w:r>
      <w:r w:rsidR="000D6CE5" w:rsidRPr="00C111E2">
        <w:rPr>
          <w:rFonts w:asciiTheme="majorHAnsi" w:hAnsiTheme="majorHAnsi"/>
          <w:sz w:val="21"/>
          <w:szCs w:val="21"/>
        </w:rPr>
        <w:t>me variabla</w:t>
      </w:r>
      <w:r w:rsidR="002518ED" w:rsidRPr="00C111E2">
        <w:rPr>
          <w:rFonts w:asciiTheme="majorHAnsi" w:hAnsiTheme="majorHAnsi"/>
          <w:sz w:val="21"/>
          <w:szCs w:val="21"/>
        </w:rPr>
        <w:t>,</w:t>
      </w:r>
      <w:r w:rsidR="000D6CE5" w:rsidRPr="00C111E2">
        <w:rPr>
          <w:rFonts w:asciiTheme="majorHAnsi" w:hAnsiTheme="majorHAnsi"/>
          <w:sz w:val="21"/>
          <w:szCs w:val="21"/>
        </w:rPr>
        <w:t xml:space="preserve"> si</w:t>
      </w:r>
      <w:r w:rsidR="002518ED" w:rsidRPr="00C111E2">
        <w:rPr>
          <w:rFonts w:asciiTheme="majorHAnsi" w:hAnsiTheme="majorHAnsi"/>
          <w:sz w:val="21"/>
          <w:szCs w:val="21"/>
        </w:rPr>
        <w:t>:</w:t>
      </w:r>
      <w:r w:rsidR="000D6CE5" w:rsidRPr="00C111E2">
        <w:rPr>
          <w:rFonts w:asciiTheme="majorHAnsi" w:hAnsiTheme="majorHAnsi"/>
          <w:sz w:val="21"/>
          <w:szCs w:val="21"/>
        </w:rPr>
        <w:t xml:space="preserve"> madhësia e popullsisë</w:t>
      </w:r>
      <w:r w:rsidR="00F24CFD">
        <w:rPr>
          <w:rFonts w:asciiTheme="majorHAnsi" w:hAnsiTheme="majorHAnsi"/>
          <w:sz w:val="21"/>
          <w:szCs w:val="21"/>
        </w:rPr>
        <w:t>, madh</w:t>
      </w:r>
      <w:r w:rsidR="00BB1193">
        <w:rPr>
          <w:rFonts w:asciiTheme="majorHAnsi" w:hAnsiTheme="majorHAnsi"/>
          <w:sz w:val="21"/>
          <w:szCs w:val="21"/>
        </w:rPr>
        <w:t>ë</w:t>
      </w:r>
      <w:r w:rsidR="00F24CFD">
        <w:rPr>
          <w:rFonts w:asciiTheme="majorHAnsi" w:hAnsiTheme="majorHAnsi"/>
          <w:sz w:val="21"/>
          <w:szCs w:val="21"/>
        </w:rPr>
        <w:t xml:space="preserve">sia gjeografike, </w:t>
      </w:r>
      <w:r w:rsidR="000D6CE5" w:rsidRPr="00C111E2">
        <w:rPr>
          <w:rFonts w:asciiTheme="majorHAnsi" w:hAnsiTheme="majorHAnsi"/>
          <w:sz w:val="21"/>
          <w:szCs w:val="21"/>
        </w:rPr>
        <w:t>përbërja etnike që llogariten mbi shumën fikse bazë</w:t>
      </w:r>
      <w:r w:rsidR="000D6CE5" w:rsidRPr="00C111E2">
        <w:rPr>
          <w:rFonts w:asciiTheme="majorHAnsi" w:hAnsiTheme="majorHAnsi"/>
          <w:sz w:val="20"/>
          <w:vertAlign w:val="superscript"/>
        </w:rPr>
        <w:footnoteReference w:id="2"/>
      </w:r>
      <w:r w:rsidR="003448B1">
        <w:rPr>
          <w:rFonts w:asciiTheme="majorHAnsi" w:hAnsiTheme="majorHAnsi"/>
          <w:sz w:val="21"/>
          <w:szCs w:val="21"/>
        </w:rPr>
        <w:t>, si dhe pik</w:t>
      </w:r>
      <w:r w:rsidR="00C87181">
        <w:rPr>
          <w:rFonts w:asciiTheme="majorHAnsi" w:hAnsiTheme="majorHAnsi"/>
          <w:sz w:val="21"/>
          <w:szCs w:val="21"/>
        </w:rPr>
        <w:t>ë</w:t>
      </w:r>
      <w:r w:rsidR="003448B1">
        <w:rPr>
          <w:rFonts w:asciiTheme="majorHAnsi" w:hAnsiTheme="majorHAnsi"/>
          <w:sz w:val="21"/>
          <w:szCs w:val="21"/>
        </w:rPr>
        <w:t>t e performanc</w:t>
      </w:r>
      <w:r w:rsidR="00C87181">
        <w:rPr>
          <w:rFonts w:asciiTheme="majorHAnsi" w:hAnsiTheme="majorHAnsi"/>
          <w:sz w:val="21"/>
          <w:szCs w:val="21"/>
        </w:rPr>
        <w:t>ë</w:t>
      </w:r>
      <w:r w:rsidR="003448B1">
        <w:rPr>
          <w:rFonts w:asciiTheme="majorHAnsi" w:hAnsiTheme="majorHAnsi"/>
          <w:sz w:val="21"/>
          <w:szCs w:val="21"/>
        </w:rPr>
        <w:t>s</w:t>
      </w:r>
      <w:r w:rsidR="000D6CE5" w:rsidRPr="00C111E2">
        <w:rPr>
          <w:rFonts w:asciiTheme="majorHAnsi" w:hAnsiTheme="majorHAnsi"/>
          <w:sz w:val="18"/>
          <w:szCs w:val="21"/>
        </w:rPr>
        <w:t>.</w:t>
      </w:r>
      <w:r w:rsidR="0027588A">
        <w:rPr>
          <w:rFonts w:asciiTheme="majorHAnsi" w:hAnsiTheme="majorHAnsi"/>
          <w:sz w:val="18"/>
          <w:szCs w:val="21"/>
        </w:rPr>
        <w:t xml:space="preserve"> </w:t>
      </w:r>
    </w:p>
    <w:p w14:paraId="00927F61" w14:textId="0B88ED4D"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C111E2">
        <w:rPr>
          <w:rFonts w:asciiTheme="majorHAnsi" w:hAnsiTheme="majorHAnsi"/>
          <w:sz w:val="21"/>
          <w:szCs w:val="21"/>
        </w:rPr>
        <w:t xml:space="preserve">Për shpenzimin e </w:t>
      </w:r>
      <w:r w:rsidR="009C5600">
        <w:rPr>
          <w:rFonts w:asciiTheme="majorHAnsi" w:hAnsiTheme="majorHAnsi"/>
          <w:sz w:val="21"/>
          <w:szCs w:val="21"/>
        </w:rPr>
        <w:t>G</w:t>
      </w:r>
      <w:r w:rsidRPr="00C111E2">
        <w:rPr>
          <w:rFonts w:asciiTheme="majorHAnsi" w:hAnsiTheme="majorHAnsi"/>
          <w:sz w:val="21"/>
          <w:szCs w:val="21"/>
        </w:rPr>
        <w:t xml:space="preserve">rantit të </w:t>
      </w:r>
      <w:r w:rsidR="009C5600">
        <w:rPr>
          <w:rFonts w:asciiTheme="majorHAnsi" w:hAnsiTheme="majorHAnsi"/>
          <w:sz w:val="21"/>
          <w:szCs w:val="21"/>
        </w:rPr>
        <w:t>P</w:t>
      </w:r>
      <w:r w:rsidRPr="00C111E2">
        <w:rPr>
          <w:rFonts w:asciiTheme="majorHAnsi" w:hAnsiTheme="majorHAnsi"/>
          <w:sz w:val="21"/>
          <w:szCs w:val="21"/>
        </w:rPr>
        <w:t>erformancë</w:t>
      </w:r>
      <w:r w:rsidR="00DB3BD7" w:rsidRPr="00C111E2">
        <w:rPr>
          <w:rFonts w:asciiTheme="majorHAnsi" w:hAnsiTheme="majorHAnsi"/>
          <w:sz w:val="21"/>
          <w:szCs w:val="21"/>
        </w:rPr>
        <w:t>s</w:t>
      </w:r>
      <w:r w:rsidR="005D35C0">
        <w:rPr>
          <w:rFonts w:asciiTheme="majorHAnsi" w:hAnsiTheme="majorHAnsi"/>
          <w:sz w:val="21"/>
          <w:szCs w:val="21"/>
        </w:rPr>
        <w:t xml:space="preserve"> </w:t>
      </w:r>
      <w:r w:rsidR="009C5600">
        <w:rPr>
          <w:rFonts w:asciiTheme="majorHAnsi" w:hAnsiTheme="majorHAnsi"/>
          <w:sz w:val="21"/>
          <w:szCs w:val="21"/>
        </w:rPr>
        <w:t>K</w:t>
      </w:r>
      <w:r w:rsidR="005D35C0">
        <w:rPr>
          <w:rFonts w:asciiTheme="majorHAnsi" w:hAnsiTheme="majorHAnsi"/>
          <w:sz w:val="21"/>
          <w:szCs w:val="21"/>
        </w:rPr>
        <w:t>omunale</w:t>
      </w:r>
      <w:r w:rsidRPr="00C111E2">
        <w:rPr>
          <w:rFonts w:asciiTheme="majorHAnsi" w:hAnsiTheme="majorHAnsi"/>
          <w:sz w:val="21"/>
          <w:szCs w:val="21"/>
        </w:rPr>
        <w:t xml:space="preserve">, zbatohen të gjitha rregullat ekzistuese të </w:t>
      </w:r>
      <w:r w:rsidR="00B7551C">
        <w:rPr>
          <w:rFonts w:asciiTheme="majorHAnsi" w:hAnsiTheme="majorHAnsi"/>
          <w:sz w:val="21"/>
          <w:szCs w:val="21"/>
        </w:rPr>
        <w:t>Q</w:t>
      </w:r>
      <w:r w:rsidRPr="00C111E2">
        <w:rPr>
          <w:rFonts w:asciiTheme="majorHAnsi" w:hAnsiTheme="majorHAnsi"/>
          <w:sz w:val="21"/>
          <w:szCs w:val="21"/>
        </w:rPr>
        <w:t>everisë (të cilat zbatohen për investimet kapitale në kuadër të grantit të përgjithshëm) në aspektin e përdorimit të grantit, planifikimit të grantit, si dhe të raportimit dhe llogaridhënies.</w:t>
      </w:r>
      <w:r w:rsidR="00DB3BD7" w:rsidRPr="00C111E2">
        <w:rPr>
          <w:rFonts w:asciiTheme="majorHAnsi" w:hAnsiTheme="majorHAnsi"/>
          <w:sz w:val="21"/>
          <w:szCs w:val="21"/>
        </w:rPr>
        <w:t xml:space="preserve"> </w:t>
      </w:r>
      <w:r w:rsidRPr="00C111E2">
        <w:rPr>
          <w:rFonts w:asciiTheme="majorHAnsi" w:hAnsiTheme="majorHAnsi"/>
          <w:sz w:val="21"/>
          <w:szCs w:val="21"/>
        </w:rPr>
        <w:t xml:space="preserve">Kjo nënkupton që komunat mund të përdorin procedurat </w:t>
      </w:r>
      <w:r w:rsidR="00632330">
        <w:rPr>
          <w:rFonts w:asciiTheme="majorHAnsi" w:hAnsiTheme="majorHAnsi"/>
          <w:sz w:val="21"/>
          <w:szCs w:val="21"/>
        </w:rPr>
        <w:t xml:space="preserve">e tyre </w:t>
      </w:r>
      <w:r w:rsidR="006648F4">
        <w:rPr>
          <w:rFonts w:asciiTheme="majorHAnsi" w:hAnsiTheme="majorHAnsi"/>
          <w:sz w:val="21"/>
          <w:szCs w:val="21"/>
        </w:rPr>
        <w:t xml:space="preserve">ligjore </w:t>
      </w:r>
      <w:r w:rsidRPr="00C111E2">
        <w:rPr>
          <w:rFonts w:asciiTheme="majorHAnsi" w:hAnsiTheme="majorHAnsi"/>
          <w:sz w:val="21"/>
          <w:szCs w:val="21"/>
        </w:rPr>
        <w:t xml:space="preserve">të tenderimit, kontraktimit dhe pranimit teknik. </w:t>
      </w:r>
      <w:r w:rsidR="002518ED">
        <w:rPr>
          <w:rFonts w:asciiTheme="majorHAnsi" w:hAnsiTheme="majorHAnsi"/>
          <w:sz w:val="21"/>
          <w:szCs w:val="21"/>
        </w:rPr>
        <w:t>Granti</w:t>
      </w:r>
      <w:r w:rsidR="00C111E2">
        <w:rPr>
          <w:rFonts w:asciiTheme="majorHAnsi" w:hAnsiTheme="majorHAnsi"/>
          <w:sz w:val="21"/>
          <w:szCs w:val="21"/>
        </w:rPr>
        <w:t xml:space="preserve"> </w:t>
      </w:r>
      <w:r w:rsidR="0060371E">
        <w:rPr>
          <w:rFonts w:asciiTheme="majorHAnsi" w:hAnsiTheme="majorHAnsi"/>
          <w:sz w:val="21"/>
          <w:szCs w:val="21"/>
        </w:rPr>
        <w:t xml:space="preserve">mund të </w:t>
      </w:r>
      <w:r w:rsidRPr="004D2E1C">
        <w:rPr>
          <w:rFonts w:asciiTheme="majorHAnsi" w:hAnsiTheme="majorHAnsi"/>
          <w:sz w:val="21"/>
          <w:szCs w:val="21"/>
        </w:rPr>
        <w:t>përfshihet në auditimin</w:t>
      </w:r>
      <w:r w:rsidR="00DB3BD7" w:rsidRPr="004D2E1C">
        <w:rPr>
          <w:rFonts w:asciiTheme="majorHAnsi" w:hAnsiTheme="majorHAnsi"/>
          <w:sz w:val="21"/>
          <w:szCs w:val="21"/>
        </w:rPr>
        <w:t xml:space="preserve"> </w:t>
      </w:r>
      <w:r w:rsidR="0060371E">
        <w:rPr>
          <w:rFonts w:asciiTheme="majorHAnsi" w:hAnsiTheme="majorHAnsi"/>
          <w:sz w:val="21"/>
          <w:szCs w:val="21"/>
        </w:rPr>
        <w:t xml:space="preserve">e rregullt të </w:t>
      </w:r>
      <w:r w:rsidR="00DB3BD7" w:rsidRPr="004D2E1C">
        <w:rPr>
          <w:rFonts w:asciiTheme="majorHAnsi" w:hAnsiTheme="majorHAnsi"/>
          <w:sz w:val="21"/>
          <w:szCs w:val="21"/>
        </w:rPr>
        <w:t>Zyr</w:t>
      </w:r>
      <w:r w:rsidR="0060371E">
        <w:rPr>
          <w:rFonts w:asciiTheme="majorHAnsi" w:hAnsiTheme="majorHAnsi"/>
          <w:sz w:val="21"/>
          <w:szCs w:val="21"/>
        </w:rPr>
        <w:t>ës</w:t>
      </w:r>
      <w:r w:rsidRPr="004D2E1C">
        <w:rPr>
          <w:rFonts w:asciiTheme="majorHAnsi" w:hAnsiTheme="majorHAnsi"/>
          <w:sz w:val="21"/>
          <w:szCs w:val="21"/>
        </w:rPr>
        <w:t xml:space="preserve"> </w:t>
      </w:r>
      <w:r w:rsidR="00DB3BD7" w:rsidRPr="004D2E1C">
        <w:rPr>
          <w:rFonts w:asciiTheme="majorHAnsi" w:hAnsiTheme="majorHAnsi"/>
          <w:sz w:val="21"/>
          <w:szCs w:val="21"/>
        </w:rPr>
        <w:t xml:space="preserve">Kombëtare </w:t>
      </w:r>
      <w:r w:rsidR="0060371E">
        <w:rPr>
          <w:rFonts w:asciiTheme="majorHAnsi" w:hAnsiTheme="majorHAnsi"/>
          <w:sz w:val="21"/>
          <w:szCs w:val="21"/>
        </w:rPr>
        <w:t>të</w:t>
      </w:r>
      <w:r w:rsidR="00DB3BD7" w:rsidRPr="004D2E1C">
        <w:rPr>
          <w:rFonts w:asciiTheme="majorHAnsi" w:hAnsiTheme="majorHAnsi"/>
          <w:sz w:val="21"/>
          <w:szCs w:val="21"/>
        </w:rPr>
        <w:t xml:space="preserve"> Auditimit</w:t>
      </w:r>
      <w:r w:rsidRPr="004D2E1C">
        <w:rPr>
          <w:rFonts w:asciiTheme="majorHAnsi" w:hAnsiTheme="majorHAnsi"/>
          <w:sz w:val="21"/>
          <w:szCs w:val="21"/>
        </w:rPr>
        <w:t xml:space="preserve">. Pra, </w:t>
      </w:r>
      <w:r w:rsidR="00D700DB">
        <w:rPr>
          <w:rFonts w:asciiTheme="majorHAnsi" w:hAnsiTheme="majorHAnsi"/>
          <w:sz w:val="21"/>
          <w:szCs w:val="21"/>
        </w:rPr>
        <w:t>GPK</w:t>
      </w:r>
      <w:r w:rsidR="005D35C0">
        <w:rPr>
          <w:rFonts w:asciiTheme="majorHAnsi" w:hAnsiTheme="majorHAnsi"/>
          <w:sz w:val="21"/>
          <w:szCs w:val="21"/>
        </w:rPr>
        <w:t xml:space="preserve"> </w:t>
      </w:r>
      <w:r w:rsidR="00C111E2">
        <w:rPr>
          <w:rFonts w:asciiTheme="majorHAnsi" w:hAnsiTheme="majorHAnsi"/>
          <w:sz w:val="21"/>
          <w:szCs w:val="21"/>
        </w:rPr>
        <w:t xml:space="preserve">administrohet si </w:t>
      </w:r>
      <w:r w:rsidRPr="004D2E1C">
        <w:rPr>
          <w:rFonts w:asciiTheme="majorHAnsi" w:hAnsiTheme="majorHAnsi"/>
          <w:sz w:val="21"/>
          <w:szCs w:val="21"/>
        </w:rPr>
        <w:t>grant qeveritar</w:t>
      </w:r>
      <w:r w:rsidR="00C111E2">
        <w:rPr>
          <w:rFonts w:asciiTheme="majorHAnsi" w:hAnsiTheme="majorHAnsi"/>
          <w:sz w:val="21"/>
          <w:szCs w:val="21"/>
        </w:rPr>
        <w:t xml:space="preserve"> p</w:t>
      </w:r>
      <w:r w:rsidR="00210D4C">
        <w:rPr>
          <w:rFonts w:asciiTheme="majorHAnsi" w:hAnsiTheme="majorHAnsi"/>
          <w:sz w:val="21"/>
          <w:szCs w:val="21"/>
        </w:rPr>
        <w:t>ë</w:t>
      </w:r>
      <w:r w:rsidR="00C111E2">
        <w:rPr>
          <w:rFonts w:asciiTheme="majorHAnsi" w:hAnsiTheme="majorHAnsi"/>
          <w:sz w:val="21"/>
          <w:szCs w:val="21"/>
        </w:rPr>
        <w:t>r komunat</w:t>
      </w:r>
      <w:r w:rsidRPr="004D2E1C">
        <w:rPr>
          <w:rFonts w:asciiTheme="majorHAnsi" w:hAnsiTheme="majorHAnsi"/>
          <w:sz w:val="21"/>
          <w:szCs w:val="21"/>
        </w:rPr>
        <w:t>. Veçoritë</w:t>
      </w:r>
      <w:r w:rsidR="00DB3BD7" w:rsidRPr="004D2E1C">
        <w:rPr>
          <w:rFonts w:asciiTheme="majorHAnsi" w:hAnsiTheme="majorHAnsi"/>
          <w:sz w:val="21"/>
          <w:szCs w:val="21"/>
        </w:rPr>
        <w:t>/k</w:t>
      </w:r>
      <w:r w:rsidR="00C111E2">
        <w:rPr>
          <w:rFonts w:asciiTheme="majorHAnsi" w:hAnsiTheme="majorHAnsi"/>
          <w:sz w:val="21"/>
          <w:szCs w:val="21"/>
        </w:rPr>
        <w:t xml:space="preserve">arakteristikat </w:t>
      </w:r>
      <w:r w:rsidR="00DB3BD7" w:rsidRPr="004D2E1C">
        <w:rPr>
          <w:rFonts w:asciiTheme="majorHAnsi" w:hAnsiTheme="majorHAnsi"/>
          <w:sz w:val="21"/>
          <w:szCs w:val="21"/>
        </w:rPr>
        <w:t xml:space="preserve">e </w:t>
      </w:r>
      <w:r w:rsidRPr="004D2E1C">
        <w:rPr>
          <w:rFonts w:asciiTheme="majorHAnsi" w:hAnsiTheme="majorHAnsi"/>
          <w:sz w:val="21"/>
          <w:szCs w:val="21"/>
        </w:rPr>
        <w:t>vetme që shtohe</w:t>
      </w:r>
      <w:r w:rsidR="00DB3BD7" w:rsidRPr="004D2E1C">
        <w:rPr>
          <w:rFonts w:asciiTheme="majorHAnsi" w:hAnsiTheme="majorHAnsi"/>
          <w:sz w:val="21"/>
          <w:szCs w:val="21"/>
        </w:rPr>
        <w:t xml:space="preserve">n këtu </w:t>
      </w:r>
      <w:r w:rsidRPr="004D2E1C">
        <w:rPr>
          <w:rFonts w:asciiTheme="majorHAnsi" w:hAnsiTheme="majorHAnsi"/>
          <w:sz w:val="21"/>
          <w:szCs w:val="21"/>
        </w:rPr>
        <w:t xml:space="preserve">janë kushtet minimale dhe treguesit e performancës. </w:t>
      </w:r>
    </w:p>
    <w:p w14:paraId="5CCBC97C" w14:textId="77777777"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 xml:space="preserve">Meqenëse plani është që </w:t>
      </w:r>
      <w:r w:rsidR="00D700DB">
        <w:rPr>
          <w:rFonts w:asciiTheme="majorHAnsi" w:hAnsiTheme="majorHAnsi"/>
          <w:sz w:val="21"/>
          <w:szCs w:val="21"/>
        </w:rPr>
        <w:t>GPK</w:t>
      </w:r>
      <w:r w:rsidRPr="004D2E1C">
        <w:rPr>
          <w:rFonts w:asciiTheme="majorHAnsi" w:hAnsiTheme="majorHAnsi"/>
          <w:sz w:val="21"/>
          <w:szCs w:val="21"/>
        </w:rPr>
        <w:t xml:space="preserve"> të</w:t>
      </w:r>
      <w:r w:rsidR="00AF2E39" w:rsidRPr="004D2E1C">
        <w:rPr>
          <w:rFonts w:asciiTheme="majorHAnsi" w:hAnsiTheme="majorHAnsi"/>
          <w:sz w:val="21"/>
          <w:szCs w:val="21"/>
        </w:rPr>
        <w:t xml:space="preserve"> bëhet pjesë e kornizë</w:t>
      </w:r>
      <w:r w:rsidR="002518ED">
        <w:rPr>
          <w:rFonts w:asciiTheme="majorHAnsi" w:hAnsiTheme="majorHAnsi"/>
          <w:sz w:val="21"/>
          <w:szCs w:val="21"/>
        </w:rPr>
        <w:t>s</w:t>
      </w:r>
      <w:r w:rsidR="00AF2E39" w:rsidRPr="004D2E1C">
        <w:rPr>
          <w:rFonts w:asciiTheme="majorHAnsi" w:hAnsiTheme="majorHAnsi"/>
          <w:sz w:val="21"/>
          <w:szCs w:val="21"/>
        </w:rPr>
        <w:t xml:space="preserve"> ligjore </w:t>
      </w:r>
      <w:r w:rsidRPr="004D2E1C">
        <w:rPr>
          <w:rFonts w:asciiTheme="majorHAnsi" w:hAnsiTheme="majorHAnsi"/>
          <w:sz w:val="21"/>
          <w:szCs w:val="21"/>
        </w:rPr>
        <w:t xml:space="preserve">për </w:t>
      </w:r>
      <w:r w:rsidR="006648F4">
        <w:rPr>
          <w:rFonts w:asciiTheme="majorHAnsi" w:hAnsiTheme="majorHAnsi"/>
          <w:sz w:val="21"/>
          <w:szCs w:val="21"/>
        </w:rPr>
        <w:t xml:space="preserve">financat lokale </w:t>
      </w:r>
      <w:r w:rsidRPr="004D2E1C">
        <w:rPr>
          <w:rFonts w:asciiTheme="majorHAnsi" w:hAnsiTheme="majorHAnsi"/>
          <w:sz w:val="21"/>
          <w:szCs w:val="21"/>
        </w:rPr>
        <w:t>në vitet e ardhshme</w:t>
      </w:r>
      <w:r w:rsidR="006648F4">
        <w:rPr>
          <w:rFonts w:asciiTheme="majorHAnsi" w:hAnsiTheme="majorHAnsi"/>
          <w:sz w:val="21"/>
          <w:szCs w:val="21"/>
        </w:rPr>
        <w:t xml:space="preserve"> si dhe ligjit t</w:t>
      </w:r>
      <w:r w:rsidR="00C87181">
        <w:rPr>
          <w:rFonts w:asciiTheme="majorHAnsi" w:hAnsiTheme="majorHAnsi"/>
          <w:sz w:val="21"/>
          <w:szCs w:val="21"/>
        </w:rPr>
        <w:t>ë</w:t>
      </w:r>
      <w:r w:rsidR="006648F4">
        <w:rPr>
          <w:rFonts w:asciiTheme="majorHAnsi" w:hAnsiTheme="majorHAnsi"/>
          <w:sz w:val="21"/>
          <w:szCs w:val="21"/>
        </w:rPr>
        <w:t xml:space="preserve"> veçant</w:t>
      </w:r>
      <w:r w:rsidR="00C87181">
        <w:rPr>
          <w:rFonts w:asciiTheme="majorHAnsi" w:hAnsiTheme="majorHAnsi"/>
          <w:sz w:val="21"/>
          <w:szCs w:val="21"/>
        </w:rPr>
        <w:t>ë</w:t>
      </w:r>
      <w:r w:rsidR="006648F4">
        <w:rPr>
          <w:rFonts w:asciiTheme="majorHAnsi" w:hAnsiTheme="majorHAnsi"/>
          <w:sz w:val="21"/>
          <w:szCs w:val="21"/>
        </w:rPr>
        <w:t xml:space="preserve"> p</w:t>
      </w:r>
      <w:r w:rsidR="00C87181">
        <w:rPr>
          <w:rFonts w:asciiTheme="majorHAnsi" w:hAnsiTheme="majorHAnsi"/>
          <w:sz w:val="21"/>
          <w:szCs w:val="21"/>
        </w:rPr>
        <w:t>ë</w:t>
      </w:r>
      <w:r w:rsidR="006648F4">
        <w:rPr>
          <w:rFonts w:asciiTheme="majorHAnsi" w:hAnsiTheme="majorHAnsi"/>
          <w:sz w:val="21"/>
          <w:szCs w:val="21"/>
        </w:rPr>
        <w:t>r performanc</w:t>
      </w:r>
      <w:r w:rsidR="00C87181">
        <w:rPr>
          <w:rFonts w:asciiTheme="majorHAnsi" w:hAnsiTheme="majorHAnsi"/>
          <w:sz w:val="21"/>
          <w:szCs w:val="21"/>
        </w:rPr>
        <w:t>ë</w:t>
      </w:r>
      <w:r w:rsidR="006648F4">
        <w:rPr>
          <w:rFonts w:asciiTheme="majorHAnsi" w:hAnsiTheme="majorHAnsi"/>
          <w:sz w:val="21"/>
          <w:szCs w:val="21"/>
        </w:rPr>
        <w:t xml:space="preserve"> komunale dhe grant t</w:t>
      </w:r>
      <w:r w:rsidR="00C87181">
        <w:rPr>
          <w:rFonts w:asciiTheme="majorHAnsi" w:hAnsiTheme="majorHAnsi"/>
          <w:sz w:val="21"/>
          <w:szCs w:val="21"/>
        </w:rPr>
        <w:t>ë</w:t>
      </w:r>
      <w:r w:rsidR="006648F4">
        <w:rPr>
          <w:rFonts w:asciiTheme="majorHAnsi" w:hAnsiTheme="majorHAnsi"/>
          <w:sz w:val="21"/>
          <w:szCs w:val="21"/>
        </w:rPr>
        <w:t xml:space="preserve"> performanc</w:t>
      </w:r>
      <w:r w:rsidR="00C87181">
        <w:rPr>
          <w:rFonts w:asciiTheme="majorHAnsi" w:hAnsiTheme="majorHAnsi"/>
          <w:sz w:val="21"/>
          <w:szCs w:val="21"/>
        </w:rPr>
        <w:t>ë</w:t>
      </w:r>
      <w:r w:rsidR="006648F4">
        <w:rPr>
          <w:rFonts w:asciiTheme="majorHAnsi" w:hAnsiTheme="majorHAnsi"/>
          <w:sz w:val="21"/>
          <w:szCs w:val="21"/>
        </w:rPr>
        <w:t>s</w:t>
      </w:r>
      <w:r w:rsidRPr="004D2E1C">
        <w:rPr>
          <w:rFonts w:asciiTheme="majorHAnsi" w:hAnsiTheme="majorHAnsi"/>
          <w:sz w:val="21"/>
          <w:szCs w:val="21"/>
        </w:rPr>
        <w:t xml:space="preserve">, </w:t>
      </w:r>
      <w:r w:rsidR="00F24CFD">
        <w:rPr>
          <w:rFonts w:asciiTheme="majorHAnsi" w:hAnsiTheme="majorHAnsi"/>
          <w:sz w:val="21"/>
          <w:szCs w:val="21"/>
        </w:rPr>
        <w:t>i nj</w:t>
      </w:r>
      <w:r w:rsidR="00BB1193">
        <w:rPr>
          <w:rFonts w:asciiTheme="majorHAnsi" w:hAnsiTheme="majorHAnsi"/>
          <w:sz w:val="21"/>
          <w:szCs w:val="21"/>
        </w:rPr>
        <w:t>ë</w:t>
      </w:r>
      <w:r w:rsidR="00F24CFD">
        <w:rPr>
          <w:rFonts w:asciiTheme="majorHAnsi" w:hAnsiTheme="majorHAnsi"/>
          <w:sz w:val="21"/>
          <w:szCs w:val="21"/>
        </w:rPr>
        <w:t xml:space="preserve">jti </w:t>
      </w:r>
      <w:r w:rsidRPr="004D2E1C">
        <w:rPr>
          <w:rFonts w:asciiTheme="majorHAnsi" w:hAnsiTheme="majorHAnsi"/>
          <w:sz w:val="21"/>
          <w:szCs w:val="21"/>
        </w:rPr>
        <w:t xml:space="preserve">duhet të harmonizohet sa më </w:t>
      </w:r>
      <w:r w:rsidR="00E90233">
        <w:rPr>
          <w:rFonts w:asciiTheme="majorHAnsi" w:hAnsiTheme="majorHAnsi"/>
          <w:sz w:val="21"/>
          <w:szCs w:val="21"/>
        </w:rPr>
        <w:t>shumë</w:t>
      </w:r>
      <w:r w:rsidR="00E90233" w:rsidRPr="004D2E1C">
        <w:rPr>
          <w:rFonts w:asciiTheme="majorHAnsi" w:hAnsiTheme="majorHAnsi"/>
          <w:sz w:val="21"/>
          <w:szCs w:val="21"/>
        </w:rPr>
        <w:t xml:space="preserve"> </w:t>
      </w:r>
      <w:r w:rsidRPr="004D2E1C">
        <w:rPr>
          <w:rFonts w:asciiTheme="majorHAnsi" w:hAnsiTheme="majorHAnsi"/>
          <w:sz w:val="21"/>
          <w:szCs w:val="21"/>
        </w:rPr>
        <w:t xml:space="preserve">që është e mundur me sistemet qeveritare dhe procedurat administrative aktuale të Kosovës. </w:t>
      </w:r>
    </w:p>
    <w:p w14:paraId="10FD8C0E" w14:textId="08CA2243"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 xml:space="preserve">Ministritë e linjës </w:t>
      </w:r>
      <w:r w:rsidR="00BA644E">
        <w:rPr>
          <w:rFonts w:asciiTheme="majorHAnsi" w:hAnsiTheme="majorHAnsi"/>
          <w:sz w:val="21"/>
          <w:szCs w:val="21"/>
        </w:rPr>
        <w:t xml:space="preserve">dhe </w:t>
      </w:r>
      <w:r w:rsidR="00B754CA">
        <w:rPr>
          <w:rFonts w:asciiTheme="majorHAnsi" w:hAnsiTheme="majorHAnsi"/>
          <w:sz w:val="21"/>
          <w:szCs w:val="21"/>
        </w:rPr>
        <w:t>kontributdhënësit</w:t>
      </w:r>
      <w:r w:rsidR="00BA644E">
        <w:rPr>
          <w:rFonts w:asciiTheme="majorHAnsi" w:hAnsiTheme="majorHAnsi"/>
          <w:sz w:val="21"/>
          <w:szCs w:val="21"/>
        </w:rPr>
        <w:t xml:space="preserve"> </w:t>
      </w:r>
      <w:r w:rsidRPr="004D2E1C">
        <w:rPr>
          <w:rFonts w:asciiTheme="majorHAnsi" w:hAnsiTheme="majorHAnsi"/>
          <w:sz w:val="21"/>
          <w:szCs w:val="21"/>
        </w:rPr>
        <w:t>që dëshirojnë t’</w:t>
      </w:r>
      <w:r w:rsidR="00CE2438">
        <w:rPr>
          <w:rFonts w:asciiTheme="majorHAnsi" w:hAnsiTheme="majorHAnsi"/>
          <w:sz w:val="21"/>
          <w:szCs w:val="21"/>
        </w:rPr>
        <w:t>i</w:t>
      </w:r>
      <w:r w:rsidRPr="004D2E1C">
        <w:rPr>
          <w:rFonts w:asciiTheme="majorHAnsi" w:hAnsiTheme="majorHAnsi"/>
          <w:sz w:val="21"/>
          <w:szCs w:val="21"/>
        </w:rPr>
        <w:t>u delegojnë përgjegjësi</w:t>
      </w:r>
      <w:r w:rsidR="00BA644E">
        <w:rPr>
          <w:rFonts w:asciiTheme="majorHAnsi" w:hAnsiTheme="majorHAnsi"/>
          <w:sz w:val="21"/>
          <w:szCs w:val="21"/>
        </w:rPr>
        <w:t>t</w:t>
      </w:r>
      <w:r w:rsidR="00210D4C">
        <w:rPr>
          <w:rFonts w:asciiTheme="majorHAnsi" w:hAnsiTheme="majorHAnsi"/>
          <w:sz w:val="21"/>
          <w:szCs w:val="21"/>
        </w:rPr>
        <w:t>ë</w:t>
      </w:r>
      <w:r w:rsidR="00BA644E">
        <w:rPr>
          <w:rFonts w:asciiTheme="majorHAnsi" w:hAnsiTheme="majorHAnsi"/>
          <w:sz w:val="21"/>
          <w:szCs w:val="21"/>
        </w:rPr>
        <w:t xml:space="preserve"> </w:t>
      </w:r>
      <w:r w:rsidRPr="004D2E1C">
        <w:rPr>
          <w:rFonts w:asciiTheme="majorHAnsi" w:hAnsiTheme="majorHAnsi"/>
          <w:sz w:val="21"/>
          <w:szCs w:val="21"/>
        </w:rPr>
        <w:t>dhe fonde</w:t>
      </w:r>
      <w:r w:rsidR="00BA644E">
        <w:rPr>
          <w:rFonts w:asciiTheme="majorHAnsi" w:hAnsiTheme="majorHAnsi"/>
          <w:sz w:val="21"/>
          <w:szCs w:val="21"/>
        </w:rPr>
        <w:t>t e nd</w:t>
      </w:r>
      <w:r w:rsidR="00210D4C">
        <w:rPr>
          <w:rFonts w:asciiTheme="majorHAnsi" w:hAnsiTheme="majorHAnsi"/>
          <w:sz w:val="21"/>
          <w:szCs w:val="21"/>
        </w:rPr>
        <w:t>ë</w:t>
      </w:r>
      <w:r w:rsidR="00BA644E">
        <w:rPr>
          <w:rFonts w:asciiTheme="majorHAnsi" w:hAnsiTheme="majorHAnsi"/>
          <w:sz w:val="21"/>
          <w:szCs w:val="21"/>
        </w:rPr>
        <w:t xml:space="preserve">rlidhura </w:t>
      </w:r>
      <w:r w:rsidRPr="004D2E1C">
        <w:rPr>
          <w:rFonts w:asciiTheme="majorHAnsi" w:hAnsiTheme="majorHAnsi"/>
          <w:sz w:val="21"/>
          <w:szCs w:val="21"/>
        </w:rPr>
        <w:t xml:space="preserve">qeverive lokale do të inkurajohen t’i </w:t>
      </w:r>
      <w:r w:rsidR="00D61923">
        <w:rPr>
          <w:rFonts w:asciiTheme="majorHAnsi" w:hAnsiTheme="majorHAnsi"/>
          <w:sz w:val="21"/>
          <w:szCs w:val="21"/>
        </w:rPr>
        <w:t>harmonizojn</w:t>
      </w:r>
      <w:r w:rsidR="00210D4C">
        <w:rPr>
          <w:rFonts w:asciiTheme="majorHAnsi" w:hAnsiTheme="majorHAnsi"/>
          <w:sz w:val="21"/>
          <w:szCs w:val="21"/>
        </w:rPr>
        <w:t>ë</w:t>
      </w:r>
      <w:r w:rsidR="00D61923">
        <w:rPr>
          <w:rFonts w:asciiTheme="majorHAnsi" w:hAnsiTheme="majorHAnsi"/>
          <w:sz w:val="21"/>
          <w:szCs w:val="21"/>
        </w:rPr>
        <w:t xml:space="preserve"> grantet e tyre me dispozitat p</w:t>
      </w:r>
      <w:r w:rsidR="00210D4C">
        <w:rPr>
          <w:rFonts w:asciiTheme="majorHAnsi" w:hAnsiTheme="majorHAnsi"/>
          <w:sz w:val="21"/>
          <w:szCs w:val="21"/>
        </w:rPr>
        <w:t>ë</w:t>
      </w:r>
      <w:r w:rsidR="00D61923">
        <w:rPr>
          <w:rFonts w:asciiTheme="majorHAnsi" w:hAnsiTheme="majorHAnsi"/>
          <w:sz w:val="21"/>
          <w:szCs w:val="21"/>
        </w:rPr>
        <w:t xml:space="preserve">r </w:t>
      </w:r>
      <w:r w:rsidR="00D700DB">
        <w:rPr>
          <w:rFonts w:asciiTheme="majorHAnsi" w:hAnsiTheme="majorHAnsi"/>
          <w:sz w:val="21"/>
          <w:szCs w:val="21"/>
        </w:rPr>
        <w:t>GPK</w:t>
      </w:r>
      <w:r w:rsidR="00CE2438">
        <w:rPr>
          <w:rFonts w:asciiTheme="majorHAnsi" w:hAnsiTheme="majorHAnsi"/>
          <w:sz w:val="21"/>
          <w:szCs w:val="21"/>
        </w:rPr>
        <w:t>-s</w:t>
      </w:r>
      <w:r w:rsidR="00BB1193">
        <w:rPr>
          <w:rFonts w:asciiTheme="majorHAnsi" w:hAnsiTheme="majorHAnsi"/>
          <w:sz w:val="21"/>
          <w:szCs w:val="21"/>
        </w:rPr>
        <w:t>ë</w:t>
      </w:r>
      <w:r w:rsidR="00D61923">
        <w:rPr>
          <w:rFonts w:asciiTheme="majorHAnsi" w:hAnsiTheme="majorHAnsi"/>
          <w:sz w:val="21"/>
          <w:szCs w:val="21"/>
        </w:rPr>
        <w:t>, t</w:t>
      </w:r>
      <w:r w:rsidR="00210D4C">
        <w:rPr>
          <w:rFonts w:asciiTheme="majorHAnsi" w:hAnsiTheme="majorHAnsi"/>
          <w:sz w:val="21"/>
          <w:szCs w:val="21"/>
        </w:rPr>
        <w:t>ë</w:t>
      </w:r>
      <w:r w:rsidR="00D61923">
        <w:rPr>
          <w:rFonts w:asciiTheme="majorHAnsi" w:hAnsiTheme="majorHAnsi"/>
          <w:sz w:val="21"/>
          <w:szCs w:val="21"/>
        </w:rPr>
        <w:t xml:space="preserve"> cilat bazohen n</w:t>
      </w:r>
      <w:r w:rsidR="00210D4C">
        <w:rPr>
          <w:rFonts w:asciiTheme="majorHAnsi" w:hAnsiTheme="majorHAnsi"/>
          <w:sz w:val="21"/>
          <w:szCs w:val="21"/>
        </w:rPr>
        <w:t>ë</w:t>
      </w:r>
      <w:r w:rsidR="00D61923">
        <w:rPr>
          <w:rFonts w:asciiTheme="majorHAnsi" w:hAnsiTheme="majorHAnsi"/>
          <w:sz w:val="21"/>
          <w:szCs w:val="21"/>
        </w:rPr>
        <w:t xml:space="preserve"> matjen e qeverisjes s</w:t>
      </w:r>
      <w:r w:rsidR="00210D4C">
        <w:rPr>
          <w:rFonts w:asciiTheme="majorHAnsi" w:hAnsiTheme="majorHAnsi"/>
          <w:sz w:val="21"/>
          <w:szCs w:val="21"/>
        </w:rPr>
        <w:t>ë</w:t>
      </w:r>
      <w:r w:rsidR="00D61923">
        <w:rPr>
          <w:rFonts w:asciiTheme="majorHAnsi" w:hAnsiTheme="majorHAnsi"/>
          <w:sz w:val="21"/>
          <w:szCs w:val="21"/>
        </w:rPr>
        <w:t xml:space="preserve"> mir</w:t>
      </w:r>
      <w:r w:rsidR="00210D4C">
        <w:rPr>
          <w:rFonts w:asciiTheme="majorHAnsi" w:hAnsiTheme="majorHAnsi"/>
          <w:sz w:val="21"/>
          <w:szCs w:val="21"/>
        </w:rPr>
        <w:t>ë</w:t>
      </w:r>
      <w:r w:rsidRPr="004D2E1C">
        <w:rPr>
          <w:rFonts w:asciiTheme="majorHAnsi" w:hAnsiTheme="majorHAnsi"/>
          <w:sz w:val="21"/>
          <w:szCs w:val="21"/>
        </w:rPr>
        <w:t xml:space="preserve">. </w:t>
      </w:r>
      <w:r w:rsidR="00317B93">
        <w:rPr>
          <w:rFonts w:asciiTheme="majorHAnsi" w:hAnsiTheme="majorHAnsi"/>
          <w:sz w:val="21"/>
          <w:szCs w:val="21"/>
        </w:rPr>
        <w:t xml:space="preserve">Kjo </w:t>
      </w:r>
      <w:r w:rsidR="00317B93" w:rsidRPr="00317B93">
        <w:rPr>
          <w:rFonts w:asciiTheme="majorHAnsi" w:hAnsiTheme="majorHAnsi"/>
          <w:sz w:val="21"/>
          <w:szCs w:val="21"/>
        </w:rPr>
        <w:t xml:space="preserve">do të </w:t>
      </w:r>
      <w:r w:rsidR="00016F84">
        <w:rPr>
          <w:rFonts w:asciiTheme="majorHAnsi" w:hAnsiTheme="majorHAnsi"/>
          <w:sz w:val="21"/>
          <w:szCs w:val="21"/>
        </w:rPr>
        <w:t xml:space="preserve">krijonte </w:t>
      </w:r>
      <w:r w:rsidR="00810C0B">
        <w:rPr>
          <w:rFonts w:asciiTheme="majorHAnsi" w:hAnsiTheme="majorHAnsi"/>
          <w:sz w:val="21"/>
          <w:szCs w:val="21"/>
        </w:rPr>
        <w:t xml:space="preserve">avantazh </w:t>
      </w:r>
      <w:r w:rsidR="00317B93" w:rsidRPr="00317B93">
        <w:rPr>
          <w:rFonts w:asciiTheme="majorHAnsi" w:hAnsiTheme="majorHAnsi"/>
          <w:sz w:val="21"/>
          <w:szCs w:val="21"/>
        </w:rPr>
        <w:t xml:space="preserve">edhe </w:t>
      </w:r>
      <w:r w:rsidR="00016F84">
        <w:rPr>
          <w:rFonts w:asciiTheme="majorHAnsi" w:hAnsiTheme="majorHAnsi"/>
          <w:sz w:val="21"/>
          <w:szCs w:val="21"/>
        </w:rPr>
        <w:t>p</w:t>
      </w:r>
      <w:r w:rsidR="00210D4C">
        <w:rPr>
          <w:rFonts w:asciiTheme="majorHAnsi" w:hAnsiTheme="majorHAnsi"/>
          <w:sz w:val="21"/>
          <w:szCs w:val="21"/>
        </w:rPr>
        <w:t>ë</w:t>
      </w:r>
      <w:r w:rsidR="00016F84">
        <w:rPr>
          <w:rFonts w:asciiTheme="majorHAnsi" w:hAnsiTheme="majorHAnsi"/>
          <w:sz w:val="21"/>
          <w:szCs w:val="21"/>
        </w:rPr>
        <w:t xml:space="preserve">r </w:t>
      </w:r>
      <w:r w:rsidR="00317B93" w:rsidRPr="00317B93">
        <w:rPr>
          <w:rFonts w:asciiTheme="majorHAnsi" w:hAnsiTheme="majorHAnsi"/>
          <w:sz w:val="21"/>
          <w:szCs w:val="21"/>
        </w:rPr>
        <w:t>grant</w:t>
      </w:r>
      <w:r w:rsidR="00317B93">
        <w:rPr>
          <w:rFonts w:asciiTheme="majorHAnsi" w:hAnsiTheme="majorHAnsi"/>
          <w:sz w:val="21"/>
          <w:szCs w:val="21"/>
        </w:rPr>
        <w:t xml:space="preserve">in </w:t>
      </w:r>
      <w:r w:rsidR="00317B93" w:rsidRPr="00317B93">
        <w:rPr>
          <w:rFonts w:asciiTheme="majorHAnsi" w:hAnsiTheme="majorHAnsi"/>
          <w:sz w:val="21"/>
          <w:szCs w:val="21"/>
        </w:rPr>
        <w:t xml:space="preserve">e tyre (sektorial) dhe </w:t>
      </w:r>
      <w:r w:rsidR="00D700DB">
        <w:rPr>
          <w:rFonts w:asciiTheme="majorHAnsi" w:hAnsiTheme="majorHAnsi"/>
          <w:sz w:val="21"/>
          <w:szCs w:val="21"/>
        </w:rPr>
        <w:t>GPK</w:t>
      </w:r>
      <w:r w:rsidR="00317B93" w:rsidRPr="00317B93">
        <w:rPr>
          <w:rFonts w:asciiTheme="majorHAnsi" w:hAnsiTheme="majorHAnsi"/>
          <w:sz w:val="21"/>
          <w:szCs w:val="21"/>
        </w:rPr>
        <w:t xml:space="preserve">. Për shembull, </w:t>
      </w:r>
      <w:r w:rsidR="00317B93">
        <w:rPr>
          <w:rFonts w:asciiTheme="majorHAnsi" w:hAnsiTheme="majorHAnsi"/>
          <w:sz w:val="21"/>
          <w:szCs w:val="21"/>
        </w:rPr>
        <w:t>mund t</w:t>
      </w:r>
      <w:r w:rsidR="00210D4C">
        <w:rPr>
          <w:rFonts w:asciiTheme="majorHAnsi" w:hAnsiTheme="majorHAnsi"/>
          <w:sz w:val="21"/>
          <w:szCs w:val="21"/>
        </w:rPr>
        <w:t>ë</w:t>
      </w:r>
      <w:r w:rsidR="00317B93">
        <w:rPr>
          <w:rFonts w:asciiTheme="majorHAnsi" w:hAnsiTheme="majorHAnsi"/>
          <w:sz w:val="21"/>
          <w:szCs w:val="21"/>
        </w:rPr>
        <w:t xml:space="preserve"> p</w:t>
      </w:r>
      <w:r w:rsidR="00210D4C">
        <w:rPr>
          <w:rFonts w:asciiTheme="majorHAnsi" w:hAnsiTheme="majorHAnsi"/>
          <w:sz w:val="21"/>
          <w:szCs w:val="21"/>
        </w:rPr>
        <w:t>ë</w:t>
      </w:r>
      <w:r w:rsidR="00317B93">
        <w:rPr>
          <w:rFonts w:asciiTheme="majorHAnsi" w:hAnsiTheme="majorHAnsi"/>
          <w:sz w:val="21"/>
          <w:szCs w:val="21"/>
        </w:rPr>
        <w:t xml:space="preserve">rdoren </w:t>
      </w:r>
      <w:r w:rsidR="00317B93" w:rsidRPr="00317B93">
        <w:rPr>
          <w:rFonts w:asciiTheme="majorHAnsi" w:hAnsiTheme="majorHAnsi"/>
          <w:sz w:val="21"/>
          <w:szCs w:val="21"/>
        </w:rPr>
        <w:t xml:space="preserve">të njëjtat kushte minimale, ndoshta në kombinim me një përqindje minimale të </w:t>
      </w:r>
      <w:r w:rsidR="00317B93">
        <w:rPr>
          <w:rFonts w:asciiTheme="majorHAnsi" w:hAnsiTheme="majorHAnsi"/>
          <w:sz w:val="21"/>
          <w:szCs w:val="21"/>
        </w:rPr>
        <w:t>pik</w:t>
      </w:r>
      <w:r w:rsidR="00210D4C">
        <w:rPr>
          <w:rFonts w:asciiTheme="majorHAnsi" w:hAnsiTheme="majorHAnsi"/>
          <w:sz w:val="21"/>
          <w:szCs w:val="21"/>
        </w:rPr>
        <w:t>ë</w:t>
      </w:r>
      <w:r w:rsidR="00317B93">
        <w:rPr>
          <w:rFonts w:asciiTheme="majorHAnsi" w:hAnsiTheme="majorHAnsi"/>
          <w:sz w:val="21"/>
          <w:szCs w:val="21"/>
        </w:rPr>
        <w:t>ve (</w:t>
      </w:r>
      <w:r w:rsidR="00317B93" w:rsidRPr="00317B93">
        <w:rPr>
          <w:rFonts w:asciiTheme="majorHAnsi" w:hAnsiTheme="majorHAnsi"/>
          <w:sz w:val="21"/>
          <w:szCs w:val="21"/>
        </w:rPr>
        <w:t>rezultatit</w:t>
      </w:r>
      <w:r w:rsidR="00317B93">
        <w:rPr>
          <w:rFonts w:asciiTheme="majorHAnsi" w:hAnsiTheme="majorHAnsi"/>
          <w:sz w:val="21"/>
          <w:szCs w:val="21"/>
        </w:rPr>
        <w:t>)</w:t>
      </w:r>
      <w:r w:rsidR="00317B93" w:rsidRPr="00317B93">
        <w:rPr>
          <w:rFonts w:asciiTheme="majorHAnsi" w:hAnsiTheme="majorHAnsi"/>
          <w:sz w:val="21"/>
          <w:szCs w:val="21"/>
        </w:rPr>
        <w:t xml:space="preserve"> të performancës. </w:t>
      </w:r>
      <w:r w:rsidR="00B754CA">
        <w:rPr>
          <w:rFonts w:asciiTheme="majorHAnsi" w:hAnsiTheme="majorHAnsi"/>
          <w:sz w:val="21"/>
          <w:szCs w:val="21"/>
        </w:rPr>
        <w:t>Kontributdhënësit</w:t>
      </w:r>
      <w:r w:rsidR="008B6F4E">
        <w:rPr>
          <w:rFonts w:asciiTheme="majorHAnsi" w:hAnsiTheme="majorHAnsi"/>
          <w:sz w:val="21"/>
          <w:szCs w:val="21"/>
        </w:rPr>
        <w:t xml:space="preserve"> që dëshirojnë të investojnë në çështjet që kanë të bëjnë me qeverisje të mirë </w:t>
      </w:r>
      <w:r w:rsidR="000830C1">
        <w:rPr>
          <w:rFonts w:asciiTheme="majorHAnsi" w:hAnsiTheme="majorHAnsi"/>
          <w:sz w:val="21"/>
          <w:szCs w:val="21"/>
        </w:rPr>
        <w:t>do t</w:t>
      </w:r>
      <w:r w:rsidR="00210D4C">
        <w:rPr>
          <w:rFonts w:asciiTheme="majorHAnsi" w:hAnsiTheme="majorHAnsi"/>
          <w:sz w:val="21"/>
          <w:szCs w:val="21"/>
        </w:rPr>
        <w:t>ë</w:t>
      </w:r>
      <w:r w:rsidR="000830C1">
        <w:rPr>
          <w:rFonts w:asciiTheme="majorHAnsi" w:hAnsiTheme="majorHAnsi"/>
          <w:sz w:val="21"/>
          <w:szCs w:val="21"/>
        </w:rPr>
        <w:t xml:space="preserve"> inkurajohen </w:t>
      </w:r>
      <w:r w:rsidR="008B6F4E">
        <w:rPr>
          <w:rFonts w:asciiTheme="majorHAnsi" w:hAnsiTheme="majorHAnsi"/>
          <w:sz w:val="21"/>
          <w:szCs w:val="21"/>
        </w:rPr>
        <w:t>t’i kanalizojnë fondet e tyre drejtpërdrejt në fondin e përbashkët</w:t>
      </w:r>
      <w:r w:rsidR="008507DD">
        <w:rPr>
          <w:rFonts w:asciiTheme="majorHAnsi" w:hAnsiTheme="majorHAnsi"/>
          <w:sz w:val="21"/>
          <w:szCs w:val="21"/>
        </w:rPr>
        <w:t xml:space="preserve"> </w:t>
      </w:r>
      <w:r w:rsidR="008B6F4E">
        <w:rPr>
          <w:rFonts w:asciiTheme="majorHAnsi" w:hAnsiTheme="majorHAnsi"/>
          <w:sz w:val="21"/>
          <w:szCs w:val="21"/>
        </w:rPr>
        <w:t xml:space="preserve">për </w:t>
      </w:r>
      <w:r w:rsidR="00F30E9F">
        <w:rPr>
          <w:rFonts w:asciiTheme="majorHAnsi" w:hAnsiTheme="majorHAnsi"/>
          <w:sz w:val="21"/>
          <w:szCs w:val="21"/>
        </w:rPr>
        <w:t>GPK</w:t>
      </w:r>
      <w:r w:rsidR="008B6F4E">
        <w:rPr>
          <w:rFonts w:asciiTheme="majorHAnsi" w:hAnsiTheme="majorHAnsi"/>
          <w:sz w:val="21"/>
          <w:szCs w:val="21"/>
        </w:rPr>
        <w:t xml:space="preserve">. </w:t>
      </w:r>
    </w:p>
    <w:p w14:paraId="69F2A364" w14:textId="2CD99F7E" w:rsidR="000D6CE5" w:rsidRPr="003B5AB6" w:rsidRDefault="000D6CE5" w:rsidP="003B5AB6">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2"/>
          <w:szCs w:val="12"/>
        </w:rPr>
      </w:pPr>
    </w:p>
    <w:p w14:paraId="1C7316E9" w14:textId="197D910B" w:rsidR="000D6CE5" w:rsidRPr="004D2E1C" w:rsidRDefault="000D6CE5" w:rsidP="07D96137">
      <w:pPr>
        <w:pStyle w:val="Heading1"/>
        <w:numPr>
          <w:ilvl w:val="1"/>
          <w:numId w:val="3"/>
        </w:numPr>
        <w:tabs>
          <w:tab w:val="left" w:pos="540"/>
        </w:tabs>
        <w:ind w:left="1134" w:hanging="1134"/>
        <w:rPr>
          <w:rFonts w:asciiTheme="majorHAnsi" w:hAnsiTheme="majorHAnsi"/>
          <w:color w:val="C0504D" w:themeColor="accent2"/>
          <w:lang w:val="sq-AL"/>
        </w:rPr>
      </w:pPr>
      <w:bookmarkStart w:id="28" w:name="_Toc61062518"/>
      <w:r w:rsidRPr="07D96137">
        <w:rPr>
          <w:rFonts w:asciiTheme="majorHAnsi" w:hAnsiTheme="majorHAnsi"/>
          <w:color w:val="C0504D" w:themeColor="accent2"/>
          <w:lang w:val="sq-AL"/>
        </w:rPr>
        <w:t xml:space="preserve">Struktura </w:t>
      </w:r>
      <w:r w:rsidR="2CA84054" w:rsidRPr="07D96137">
        <w:rPr>
          <w:rFonts w:asciiTheme="majorHAnsi" w:hAnsiTheme="majorHAnsi"/>
          <w:color w:val="C0504D" w:themeColor="accent2"/>
          <w:lang w:val="sq-AL"/>
        </w:rPr>
        <w:t xml:space="preserve">e rregullave </w:t>
      </w:r>
      <w:r w:rsidRPr="07D96137">
        <w:rPr>
          <w:rFonts w:asciiTheme="majorHAnsi" w:hAnsiTheme="majorHAnsi"/>
          <w:color w:val="C0504D" w:themeColor="accent2"/>
          <w:lang w:val="sq-AL"/>
        </w:rPr>
        <w:t>dhe audienca e synuar</w:t>
      </w:r>
      <w:bookmarkEnd w:id="28"/>
    </w:p>
    <w:p w14:paraId="0642AB7C" w14:textId="77777777" w:rsidR="00771A0E" w:rsidRPr="00771A0E" w:rsidRDefault="00771A0E"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4"/>
          <w:szCs w:val="14"/>
        </w:rPr>
      </w:pPr>
    </w:p>
    <w:p w14:paraId="46B9686C" w14:textId="77777777"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rPr>
      </w:pPr>
      <w:r w:rsidRPr="004D2E1C">
        <w:rPr>
          <w:rFonts w:asciiTheme="majorHAnsi" w:hAnsiTheme="majorHAnsi"/>
          <w:sz w:val="21"/>
          <w:szCs w:val="21"/>
        </w:rPr>
        <w:t xml:space="preserve">Ky dokument shpjegon </w:t>
      </w:r>
      <w:r w:rsidR="006C11C1">
        <w:rPr>
          <w:rFonts w:asciiTheme="majorHAnsi" w:hAnsiTheme="majorHAnsi"/>
          <w:sz w:val="21"/>
          <w:szCs w:val="21"/>
        </w:rPr>
        <w:t>kriteret, rregullat dhe procedurat p</w:t>
      </w:r>
      <w:r w:rsidR="00C87181">
        <w:rPr>
          <w:rFonts w:asciiTheme="majorHAnsi" w:hAnsiTheme="majorHAnsi"/>
          <w:sz w:val="21"/>
          <w:szCs w:val="21"/>
        </w:rPr>
        <w:t>ë</w:t>
      </w:r>
      <w:r w:rsidR="006C11C1">
        <w:rPr>
          <w:rFonts w:asciiTheme="majorHAnsi" w:hAnsiTheme="majorHAnsi"/>
          <w:sz w:val="21"/>
          <w:szCs w:val="21"/>
        </w:rPr>
        <w:t>r menaxhimin e Grantit t</w:t>
      </w:r>
      <w:r w:rsidR="00C87181">
        <w:rPr>
          <w:rFonts w:asciiTheme="majorHAnsi" w:hAnsiTheme="majorHAnsi"/>
          <w:sz w:val="21"/>
          <w:szCs w:val="21"/>
        </w:rPr>
        <w:t>ë</w:t>
      </w:r>
      <w:r w:rsidR="006C11C1">
        <w:rPr>
          <w:rFonts w:asciiTheme="majorHAnsi" w:hAnsiTheme="majorHAnsi"/>
          <w:sz w:val="21"/>
          <w:szCs w:val="21"/>
        </w:rPr>
        <w:t xml:space="preserve"> Performanc</w:t>
      </w:r>
      <w:r w:rsidR="00C87181">
        <w:rPr>
          <w:rFonts w:asciiTheme="majorHAnsi" w:hAnsiTheme="majorHAnsi"/>
          <w:sz w:val="21"/>
          <w:szCs w:val="21"/>
        </w:rPr>
        <w:t>ë</w:t>
      </w:r>
      <w:r w:rsidR="006C11C1">
        <w:rPr>
          <w:rFonts w:asciiTheme="majorHAnsi" w:hAnsiTheme="majorHAnsi"/>
          <w:sz w:val="21"/>
          <w:szCs w:val="21"/>
        </w:rPr>
        <w:t xml:space="preserve">s Komunale: </w:t>
      </w:r>
    </w:p>
    <w:p w14:paraId="51E7CFCD" w14:textId="77777777" w:rsidR="00771A0E" w:rsidRDefault="000D6CE5" w:rsidP="00771A0E">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04D2E1C">
        <w:rPr>
          <w:rFonts w:asciiTheme="majorHAnsi" w:hAnsiTheme="majorHAnsi"/>
          <w:sz w:val="21"/>
          <w:szCs w:val="21"/>
        </w:rPr>
        <w:t>Kapitulli 1</w:t>
      </w:r>
      <w:r w:rsidR="00E90233">
        <w:rPr>
          <w:rFonts w:asciiTheme="majorHAnsi" w:hAnsiTheme="majorHAnsi"/>
          <w:sz w:val="21"/>
          <w:szCs w:val="21"/>
        </w:rPr>
        <w:t xml:space="preserve"> </w:t>
      </w:r>
      <w:r w:rsidR="00EB166A">
        <w:rPr>
          <w:rFonts w:asciiTheme="majorHAnsi" w:hAnsiTheme="majorHAnsi"/>
          <w:sz w:val="21"/>
          <w:szCs w:val="21"/>
        </w:rPr>
        <w:t>–</w:t>
      </w:r>
      <w:r w:rsidRPr="004D2E1C">
        <w:rPr>
          <w:rFonts w:asciiTheme="majorHAnsi" w:hAnsiTheme="majorHAnsi"/>
          <w:sz w:val="21"/>
          <w:szCs w:val="21"/>
        </w:rPr>
        <w:t xml:space="preserve"> </w:t>
      </w:r>
      <w:r w:rsidR="009651B0">
        <w:rPr>
          <w:rFonts w:asciiTheme="majorHAnsi" w:hAnsiTheme="majorHAnsi"/>
          <w:sz w:val="21"/>
          <w:szCs w:val="21"/>
        </w:rPr>
        <w:t>ofron</w:t>
      </w:r>
      <w:r w:rsidR="00EB166A">
        <w:rPr>
          <w:rFonts w:asciiTheme="majorHAnsi" w:hAnsiTheme="majorHAnsi"/>
          <w:sz w:val="21"/>
          <w:szCs w:val="21"/>
        </w:rPr>
        <w:t xml:space="preserve"> </w:t>
      </w:r>
      <w:r w:rsidRPr="004D2E1C">
        <w:rPr>
          <w:rFonts w:asciiTheme="majorHAnsi" w:hAnsiTheme="majorHAnsi"/>
          <w:sz w:val="21"/>
          <w:szCs w:val="21"/>
        </w:rPr>
        <w:t xml:space="preserve">një përmbledhje të shkurtër të justifikimit të </w:t>
      </w:r>
      <w:r w:rsidR="00D700DB">
        <w:rPr>
          <w:rFonts w:asciiTheme="majorHAnsi" w:hAnsiTheme="majorHAnsi"/>
          <w:sz w:val="21"/>
          <w:szCs w:val="21"/>
        </w:rPr>
        <w:t>GPK</w:t>
      </w:r>
      <w:r w:rsidRPr="004D2E1C">
        <w:rPr>
          <w:rFonts w:asciiTheme="majorHAnsi" w:hAnsiTheme="majorHAnsi"/>
          <w:sz w:val="21"/>
          <w:szCs w:val="21"/>
        </w:rPr>
        <w:t xml:space="preserve"> dhe fusha</w:t>
      </w:r>
      <w:r w:rsidR="00EB166A">
        <w:rPr>
          <w:rFonts w:asciiTheme="majorHAnsi" w:hAnsiTheme="majorHAnsi"/>
          <w:sz w:val="21"/>
          <w:szCs w:val="21"/>
        </w:rPr>
        <w:t>ve</w:t>
      </w:r>
      <w:r w:rsidRPr="004D2E1C">
        <w:rPr>
          <w:rFonts w:asciiTheme="majorHAnsi" w:hAnsiTheme="majorHAnsi"/>
          <w:sz w:val="21"/>
          <w:szCs w:val="21"/>
        </w:rPr>
        <w:t xml:space="preserve"> ku përqendrohet</w:t>
      </w:r>
      <w:r w:rsidR="008507DD">
        <w:rPr>
          <w:rFonts w:asciiTheme="majorHAnsi" w:hAnsiTheme="majorHAnsi"/>
          <w:sz w:val="21"/>
          <w:szCs w:val="21"/>
        </w:rPr>
        <w:t>;</w:t>
      </w:r>
      <w:r w:rsidRPr="004D2E1C">
        <w:rPr>
          <w:rFonts w:asciiTheme="majorHAnsi" w:hAnsiTheme="majorHAnsi"/>
          <w:sz w:val="21"/>
          <w:szCs w:val="21"/>
        </w:rPr>
        <w:t xml:space="preserve"> </w:t>
      </w:r>
    </w:p>
    <w:p w14:paraId="451BB9C6" w14:textId="77777777" w:rsidR="006C11C1" w:rsidRDefault="000D6CE5" w:rsidP="00771A0E">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04D2E1C">
        <w:rPr>
          <w:rFonts w:asciiTheme="majorHAnsi" w:hAnsiTheme="majorHAnsi"/>
          <w:sz w:val="21"/>
          <w:szCs w:val="21"/>
        </w:rPr>
        <w:t>Kapitulli 2</w:t>
      </w:r>
      <w:r w:rsidR="00E90233">
        <w:rPr>
          <w:rFonts w:asciiTheme="majorHAnsi" w:hAnsiTheme="majorHAnsi"/>
          <w:sz w:val="21"/>
          <w:szCs w:val="21"/>
        </w:rPr>
        <w:t xml:space="preserve"> -</w:t>
      </w:r>
      <w:r w:rsidRPr="004D2E1C">
        <w:rPr>
          <w:rFonts w:asciiTheme="majorHAnsi" w:hAnsiTheme="majorHAnsi"/>
          <w:sz w:val="21"/>
          <w:szCs w:val="21"/>
        </w:rPr>
        <w:t xml:space="preserve"> </w:t>
      </w:r>
      <w:r w:rsidR="00E90233">
        <w:rPr>
          <w:rFonts w:asciiTheme="majorHAnsi" w:hAnsiTheme="majorHAnsi"/>
          <w:sz w:val="21"/>
          <w:szCs w:val="21"/>
        </w:rPr>
        <w:t>përkufizon</w:t>
      </w:r>
      <w:r w:rsidR="00E90233" w:rsidRPr="004D2E1C">
        <w:rPr>
          <w:rFonts w:asciiTheme="majorHAnsi" w:hAnsiTheme="majorHAnsi"/>
          <w:sz w:val="21"/>
          <w:szCs w:val="21"/>
        </w:rPr>
        <w:t xml:space="preserve"> </w:t>
      </w:r>
      <w:r w:rsidRPr="004D2E1C">
        <w:rPr>
          <w:rFonts w:asciiTheme="majorHAnsi" w:hAnsiTheme="majorHAnsi"/>
          <w:sz w:val="21"/>
          <w:szCs w:val="21"/>
        </w:rPr>
        <w:t xml:space="preserve">kushtet minimale, treguesit e performancës, si dhe parimet për </w:t>
      </w:r>
      <w:r w:rsidR="00EB166A">
        <w:rPr>
          <w:rFonts w:asciiTheme="majorHAnsi" w:hAnsiTheme="majorHAnsi"/>
          <w:sz w:val="21"/>
          <w:szCs w:val="21"/>
        </w:rPr>
        <w:t xml:space="preserve">ndarjen e grantit </w:t>
      </w:r>
      <w:r w:rsidRPr="004D2E1C">
        <w:rPr>
          <w:rFonts w:asciiTheme="majorHAnsi" w:hAnsiTheme="majorHAnsi"/>
          <w:sz w:val="21"/>
          <w:szCs w:val="21"/>
        </w:rPr>
        <w:t xml:space="preserve">dhe auditimin </w:t>
      </w:r>
      <w:r w:rsidR="009147BB" w:rsidRPr="004D2E1C">
        <w:rPr>
          <w:rFonts w:asciiTheme="majorHAnsi" w:hAnsiTheme="majorHAnsi"/>
          <w:sz w:val="21"/>
          <w:szCs w:val="21"/>
        </w:rPr>
        <w:t xml:space="preserve">e </w:t>
      </w:r>
      <w:r w:rsidR="00D700DB">
        <w:rPr>
          <w:rFonts w:asciiTheme="majorHAnsi" w:hAnsiTheme="majorHAnsi"/>
          <w:sz w:val="21"/>
          <w:szCs w:val="21"/>
        </w:rPr>
        <w:t>GPK</w:t>
      </w:r>
      <w:r w:rsidR="008507DD">
        <w:rPr>
          <w:rFonts w:asciiTheme="majorHAnsi" w:hAnsiTheme="majorHAnsi"/>
          <w:sz w:val="21"/>
          <w:szCs w:val="21"/>
        </w:rPr>
        <w:t>;</w:t>
      </w:r>
      <w:r w:rsidRPr="004D2E1C">
        <w:rPr>
          <w:rFonts w:asciiTheme="majorHAnsi" w:hAnsiTheme="majorHAnsi"/>
          <w:sz w:val="21"/>
          <w:szCs w:val="21"/>
        </w:rPr>
        <w:t xml:space="preserve"> </w:t>
      </w:r>
    </w:p>
    <w:p w14:paraId="53B2B3A6" w14:textId="3DFAE2DA" w:rsidR="006C11C1" w:rsidRDefault="000D6CE5" w:rsidP="00771A0E">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04D2E1C">
        <w:rPr>
          <w:rFonts w:asciiTheme="majorHAnsi" w:hAnsiTheme="majorHAnsi"/>
          <w:sz w:val="21"/>
          <w:szCs w:val="21"/>
        </w:rPr>
        <w:t>Kapitulli 3</w:t>
      </w:r>
      <w:r w:rsidR="00E90233">
        <w:rPr>
          <w:rFonts w:asciiTheme="majorHAnsi" w:hAnsiTheme="majorHAnsi"/>
          <w:sz w:val="21"/>
          <w:szCs w:val="21"/>
        </w:rPr>
        <w:t xml:space="preserve"> -</w:t>
      </w:r>
      <w:r w:rsidRPr="004D2E1C">
        <w:rPr>
          <w:rFonts w:asciiTheme="majorHAnsi" w:hAnsiTheme="majorHAnsi"/>
          <w:sz w:val="21"/>
          <w:szCs w:val="21"/>
        </w:rPr>
        <w:t xml:space="preserve"> prezanton procesi</w:t>
      </w:r>
      <w:r w:rsidR="009147BB" w:rsidRPr="004D2E1C">
        <w:rPr>
          <w:rFonts w:asciiTheme="majorHAnsi" w:hAnsiTheme="majorHAnsi"/>
          <w:sz w:val="21"/>
          <w:szCs w:val="21"/>
        </w:rPr>
        <w:t>n</w:t>
      </w:r>
      <w:r w:rsidRPr="004D2E1C">
        <w:rPr>
          <w:rFonts w:asciiTheme="majorHAnsi" w:hAnsiTheme="majorHAnsi"/>
          <w:sz w:val="21"/>
          <w:szCs w:val="21"/>
        </w:rPr>
        <w:t xml:space="preserve"> e vlerësimit të performancës komunale nga mbledhja e të dhënave e deri te </w:t>
      </w:r>
      <w:r w:rsidR="009147BB" w:rsidRPr="004D2E1C">
        <w:rPr>
          <w:rFonts w:asciiTheme="majorHAnsi" w:hAnsiTheme="majorHAnsi"/>
          <w:sz w:val="21"/>
          <w:szCs w:val="21"/>
        </w:rPr>
        <w:t>ndarja</w:t>
      </w:r>
      <w:r w:rsidRPr="004D2E1C">
        <w:rPr>
          <w:rFonts w:asciiTheme="majorHAnsi" w:hAnsiTheme="majorHAnsi"/>
          <w:sz w:val="21"/>
          <w:szCs w:val="21"/>
        </w:rPr>
        <w:t xml:space="preserve"> </w:t>
      </w:r>
      <w:r w:rsidR="00E90233">
        <w:rPr>
          <w:rFonts w:asciiTheme="majorHAnsi" w:hAnsiTheme="majorHAnsi"/>
          <w:sz w:val="21"/>
          <w:szCs w:val="21"/>
        </w:rPr>
        <w:t xml:space="preserve">e </w:t>
      </w:r>
      <w:r w:rsidRPr="004D2E1C">
        <w:rPr>
          <w:rFonts w:asciiTheme="majorHAnsi" w:hAnsiTheme="majorHAnsi"/>
          <w:sz w:val="21"/>
          <w:szCs w:val="21"/>
        </w:rPr>
        <w:t>grantit</w:t>
      </w:r>
      <w:r w:rsidR="00632330">
        <w:rPr>
          <w:rFonts w:asciiTheme="majorHAnsi" w:hAnsiTheme="majorHAnsi"/>
          <w:sz w:val="21"/>
          <w:szCs w:val="21"/>
        </w:rPr>
        <w:t>.</w:t>
      </w:r>
    </w:p>
    <w:p w14:paraId="46E656F0" w14:textId="3EC72239" w:rsidR="000D6CE5" w:rsidRDefault="000D6CE5"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7D96137">
        <w:rPr>
          <w:rFonts w:asciiTheme="majorHAnsi" w:hAnsiTheme="majorHAnsi"/>
          <w:sz w:val="21"/>
          <w:szCs w:val="21"/>
        </w:rPr>
        <w:t>Shtojcat japin udhëzime më të hollësishme të vlerësimit</w:t>
      </w:r>
      <w:r w:rsidR="00991A00" w:rsidRPr="07D96137">
        <w:rPr>
          <w:rFonts w:asciiTheme="majorHAnsi" w:hAnsiTheme="majorHAnsi"/>
          <w:sz w:val="21"/>
          <w:szCs w:val="21"/>
        </w:rPr>
        <w:t xml:space="preserve"> (dh</w:t>
      </w:r>
      <w:r w:rsidR="00210D4C" w:rsidRPr="07D96137">
        <w:rPr>
          <w:rFonts w:asciiTheme="majorHAnsi" w:hAnsiTheme="majorHAnsi"/>
          <w:sz w:val="21"/>
          <w:szCs w:val="21"/>
        </w:rPr>
        <w:t>ë</w:t>
      </w:r>
      <w:r w:rsidR="00991A00" w:rsidRPr="07D96137">
        <w:rPr>
          <w:rFonts w:asciiTheme="majorHAnsi" w:hAnsiTheme="majorHAnsi"/>
          <w:sz w:val="21"/>
          <w:szCs w:val="21"/>
        </w:rPr>
        <w:t>nies</w:t>
      </w:r>
      <w:r w:rsidR="002A053F" w:rsidRPr="07D96137">
        <w:rPr>
          <w:rFonts w:asciiTheme="majorHAnsi" w:hAnsiTheme="majorHAnsi"/>
          <w:sz w:val="21"/>
          <w:szCs w:val="21"/>
        </w:rPr>
        <w:t xml:space="preserve"> </w:t>
      </w:r>
      <w:r w:rsidR="00991A00" w:rsidRPr="07D96137">
        <w:rPr>
          <w:rFonts w:asciiTheme="majorHAnsi" w:hAnsiTheme="majorHAnsi"/>
          <w:sz w:val="21"/>
          <w:szCs w:val="21"/>
        </w:rPr>
        <w:t>s</w:t>
      </w:r>
      <w:r w:rsidR="00210D4C" w:rsidRPr="07D96137">
        <w:rPr>
          <w:rFonts w:asciiTheme="majorHAnsi" w:hAnsiTheme="majorHAnsi"/>
          <w:sz w:val="21"/>
          <w:szCs w:val="21"/>
        </w:rPr>
        <w:t>ë</w:t>
      </w:r>
      <w:r w:rsidR="00991A00" w:rsidRPr="07D96137">
        <w:rPr>
          <w:rFonts w:asciiTheme="majorHAnsi" w:hAnsiTheme="majorHAnsi"/>
          <w:sz w:val="21"/>
          <w:szCs w:val="21"/>
        </w:rPr>
        <w:t xml:space="preserve"> pik</w:t>
      </w:r>
      <w:r w:rsidR="00210D4C" w:rsidRPr="07D96137">
        <w:rPr>
          <w:rFonts w:asciiTheme="majorHAnsi" w:hAnsiTheme="majorHAnsi"/>
          <w:sz w:val="21"/>
          <w:szCs w:val="21"/>
        </w:rPr>
        <w:t>ë</w:t>
      </w:r>
      <w:r w:rsidR="00991A00" w:rsidRPr="07D96137">
        <w:rPr>
          <w:rFonts w:asciiTheme="majorHAnsi" w:hAnsiTheme="majorHAnsi"/>
          <w:sz w:val="21"/>
          <w:szCs w:val="21"/>
        </w:rPr>
        <w:t>ve)</w:t>
      </w:r>
      <w:r w:rsidRPr="07D96137">
        <w:rPr>
          <w:rFonts w:asciiTheme="majorHAnsi" w:hAnsiTheme="majorHAnsi"/>
          <w:sz w:val="21"/>
          <w:szCs w:val="21"/>
        </w:rPr>
        <w:t xml:space="preserve"> për kushtet minimale (shtojca 1) dhe për treguesit e performancës (shtojca 2), </w:t>
      </w:r>
      <w:r w:rsidR="009147BB" w:rsidRPr="07D96137">
        <w:rPr>
          <w:rFonts w:asciiTheme="majorHAnsi" w:hAnsiTheme="majorHAnsi"/>
          <w:sz w:val="21"/>
          <w:szCs w:val="21"/>
        </w:rPr>
        <w:t xml:space="preserve">ku jepen përkufizimet e asaj </w:t>
      </w:r>
      <w:r w:rsidRPr="07D96137">
        <w:rPr>
          <w:rFonts w:asciiTheme="majorHAnsi" w:hAnsiTheme="majorHAnsi"/>
          <w:sz w:val="21"/>
          <w:szCs w:val="21"/>
        </w:rPr>
        <w:t>që matet, nga vijnë të dhënat</w:t>
      </w:r>
      <w:r w:rsidR="00250BE5">
        <w:rPr>
          <w:rFonts w:asciiTheme="majorHAnsi" w:hAnsiTheme="majorHAnsi"/>
          <w:sz w:val="21"/>
          <w:szCs w:val="21"/>
        </w:rPr>
        <w:t xml:space="preserve"> dhe</w:t>
      </w:r>
      <w:r w:rsidRPr="07D96137">
        <w:rPr>
          <w:rFonts w:asciiTheme="majorHAnsi" w:hAnsiTheme="majorHAnsi"/>
          <w:sz w:val="21"/>
          <w:szCs w:val="21"/>
        </w:rPr>
        <w:t xml:space="preserve"> si maten</w:t>
      </w:r>
      <w:r w:rsidR="00250BE5">
        <w:rPr>
          <w:rFonts w:asciiTheme="majorHAnsi" w:hAnsiTheme="majorHAnsi"/>
          <w:sz w:val="21"/>
          <w:szCs w:val="21"/>
        </w:rPr>
        <w:t xml:space="preserve">. </w:t>
      </w:r>
      <w:r w:rsidRPr="07D96137">
        <w:rPr>
          <w:rFonts w:asciiTheme="majorHAnsi" w:hAnsiTheme="majorHAnsi"/>
          <w:sz w:val="21"/>
          <w:szCs w:val="21"/>
        </w:rPr>
        <w:t xml:space="preserve"> Shtojca 3</w:t>
      </w:r>
      <w:r w:rsidR="00E90233" w:rsidRPr="07D96137">
        <w:rPr>
          <w:rFonts w:asciiTheme="majorHAnsi" w:hAnsiTheme="majorHAnsi"/>
          <w:sz w:val="21"/>
          <w:szCs w:val="21"/>
        </w:rPr>
        <w:t xml:space="preserve"> - </w:t>
      </w:r>
      <w:r w:rsidRPr="07D96137">
        <w:rPr>
          <w:rFonts w:asciiTheme="majorHAnsi" w:hAnsiTheme="majorHAnsi"/>
          <w:sz w:val="21"/>
          <w:szCs w:val="21"/>
        </w:rPr>
        <w:t xml:space="preserve">jep shabllonin për </w:t>
      </w:r>
      <w:r w:rsidR="00E90233" w:rsidRPr="07D96137">
        <w:rPr>
          <w:rFonts w:asciiTheme="majorHAnsi" w:hAnsiTheme="majorHAnsi"/>
          <w:sz w:val="21"/>
          <w:szCs w:val="21"/>
        </w:rPr>
        <w:t>fletëvlerësim</w:t>
      </w:r>
      <w:r w:rsidR="00991A00" w:rsidRPr="07D96137">
        <w:rPr>
          <w:rFonts w:asciiTheme="majorHAnsi" w:hAnsiTheme="majorHAnsi"/>
          <w:sz w:val="21"/>
          <w:szCs w:val="21"/>
        </w:rPr>
        <w:t>in</w:t>
      </w:r>
      <w:r w:rsidR="00E90233" w:rsidRPr="07D96137">
        <w:rPr>
          <w:rFonts w:asciiTheme="majorHAnsi" w:hAnsiTheme="majorHAnsi"/>
          <w:sz w:val="21"/>
          <w:szCs w:val="21"/>
        </w:rPr>
        <w:t xml:space="preserve"> </w:t>
      </w:r>
      <w:r w:rsidR="00250BE5" w:rsidRPr="07D96137">
        <w:rPr>
          <w:rFonts w:asciiTheme="majorHAnsi" w:hAnsiTheme="majorHAnsi"/>
          <w:sz w:val="21"/>
          <w:szCs w:val="21"/>
        </w:rPr>
        <w:t>dhe</w:t>
      </w:r>
      <w:r w:rsidR="00250BE5">
        <w:rPr>
          <w:rFonts w:asciiTheme="majorHAnsi" w:hAnsiTheme="majorHAnsi"/>
          <w:sz w:val="21"/>
          <w:szCs w:val="21"/>
        </w:rPr>
        <w:t xml:space="preserve"> tregon</w:t>
      </w:r>
      <w:r w:rsidR="00250BE5" w:rsidRPr="07D96137">
        <w:rPr>
          <w:rFonts w:asciiTheme="majorHAnsi" w:hAnsiTheme="majorHAnsi"/>
          <w:sz w:val="21"/>
          <w:szCs w:val="21"/>
        </w:rPr>
        <w:t xml:space="preserve"> si caktohen pikët e performancës </w:t>
      </w:r>
      <w:r w:rsidRPr="07D96137">
        <w:rPr>
          <w:rFonts w:asciiTheme="majorHAnsi" w:hAnsiTheme="majorHAnsi"/>
          <w:sz w:val="21"/>
          <w:szCs w:val="21"/>
        </w:rPr>
        <w:t>që do të përdoret për komunik</w:t>
      </w:r>
      <w:r w:rsidR="009147BB" w:rsidRPr="07D96137">
        <w:rPr>
          <w:rFonts w:asciiTheme="majorHAnsi" w:hAnsiTheme="majorHAnsi"/>
          <w:sz w:val="21"/>
          <w:szCs w:val="21"/>
        </w:rPr>
        <w:t xml:space="preserve">imin e </w:t>
      </w:r>
      <w:r w:rsidRPr="07D96137">
        <w:rPr>
          <w:rFonts w:asciiTheme="majorHAnsi" w:hAnsiTheme="majorHAnsi"/>
          <w:sz w:val="21"/>
          <w:szCs w:val="21"/>
        </w:rPr>
        <w:t>pikë</w:t>
      </w:r>
      <w:r w:rsidR="00E90233" w:rsidRPr="07D96137">
        <w:rPr>
          <w:rFonts w:asciiTheme="majorHAnsi" w:hAnsiTheme="majorHAnsi"/>
          <w:sz w:val="21"/>
          <w:szCs w:val="21"/>
        </w:rPr>
        <w:t>ve</w:t>
      </w:r>
      <w:r w:rsidR="00991A00" w:rsidRPr="07D96137">
        <w:rPr>
          <w:rFonts w:asciiTheme="majorHAnsi" w:hAnsiTheme="majorHAnsi"/>
          <w:sz w:val="21"/>
          <w:szCs w:val="21"/>
        </w:rPr>
        <w:t xml:space="preserve"> (rezultatit)</w:t>
      </w:r>
      <w:r w:rsidRPr="07D96137">
        <w:rPr>
          <w:rFonts w:asciiTheme="majorHAnsi" w:hAnsiTheme="majorHAnsi"/>
          <w:sz w:val="21"/>
          <w:szCs w:val="21"/>
        </w:rPr>
        <w:t xml:space="preserve"> </w:t>
      </w:r>
      <w:r w:rsidR="00E90233" w:rsidRPr="07D96137">
        <w:rPr>
          <w:rFonts w:asciiTheme="majorHAnsi" w:hAnsiTheme="majorHAnsi"/>
          <w:sz w:val="21"/>
          <w:szCs w:val="21"/>
        </w:rPr>
        <w:t>të</w:t>
      </w:r>
      <w:r w:rsidRPr="07D96137">
        <w:rPr>
          <w:rFonts w:asciiTheme="majorHAnsi" w:hAnsiTheme="majorHAnsi"/>
          <w:sz w:val="21"/>
          <w:szCs w:val="21"/>
        </w:rPr>
        <w:t xml:space="preserve"> performancës</w:t>
      </w:r>
      <w:r w:rsidR="009147BB" w:rsidRPr="07D96137">
        <w:rPr>
          <w:rFonts w:asciiTheme="majorHAnsi" w:hAnsiTheme="majorHAnsi"/>
          <w:sz w:val="21"/>
          <w:szCs w:val="21"/>
        </w:rPr>
        <w:t xml:space="preserve"> për komunat</w:t>
      </w:r>
      <w:r w:rsidRPr="07D96137">
        <w:rPr>
          <w:rFonts w:asciiTheme="majorHAnsi" w:hAnsiTheme="majorHAnsi"/>
          <w:sz w:val="21"/>
          <w:szCs w:val="21"/>
        </w:rPr>
        <w:t xml:space="preserve">. Shtojca 4 </w:t>
      </w:r>
      <w:r w:rsidR="00E90233" w:rsidRPr="07D96137">
        <w:rPr>
          <w:rFonts w:asciiTheme="majorHAnsi" w:hAnsiTheme="majorHAnsi"/>
          <w:sz w:val="21"/>
          <w:szCs w:val="21"/>
        </w:rPr>
        <w:t xml:space="preserve">- </w:t>
      </w:r>
      <w:r w:rsidRPr="07D96137">
        <w:rPr>
          <w:rFonts w:asciiTheme="majorHAnsi" w:hAnsiTheme="majorHAnsi"/>
          <w:sz w:val="21"/>
          <w:szCs w:val="21"/>
        </w:rPr>
        <w:t>përshkruan hollësisht se si përllogariten shumat e grantit për secilën komunë pasi të dihen pikët e performancës. Shtojca</w:t>
      </w:r>
      <w:r w:rsidR="00991A00" w:rsidRPr="07D96137">
        <w:rPr>
          <w:rFonts w:asciiTheme="majorHAnsi" w:hAnsiTheme="majorHAnsi"/>
          <w:sz w:val="21"/>
          <w:szCs w:val="21"/>
        </w:rPr>
        <w:t>t</w:t>
      </w:r>
      <w:r w:rsidR="008B6F4E" w:rsidRPr="07D96137">
        <w:rPr>
          <w:rFonts w:asciiTheme="majorHAnsi" w:hAnsiTheme="majorHAnsi"/>
          <w:sz w:val="21"/>
          <w:szCs w:val="21"/>
        </w:rPr>
        <w:t xml:space="preserve"> 5</w:t>
      </w:r>
      <w:r w:rsidR="008507DD" w:rsidRPr="07D96137">
        <w:rPr>
          <w:rFonts w:asciiTheme="majorHAnsi" w:hAnsiTheme="majorHAnsi"/>
          <w:sz w:val="21"/>
          <w:szCs w:val="21"/>
        </w:rPr>
        <w:t>,</w:t>
      </w:r>
      <w:r w:rsidR="00991A00" w:rsidRPr="07D96137">
        <w:rPr>
          <w:rFonts w:asciiTheme="majorHAnsi" w:hAnsiTheme="majorHAnsi"/>
          <w:sz w:val="21"/>
          <w:szCs w:val="21"/>
        </w:rPr>
        <w:t xml:space="preserve"> 6</w:t>
      </w:r>
      <w:r w:rsidR="008507DD" w:rsidRPr="07D96137">
        <w:rPr>
          <w:rFonts w:asciiTheme="majorHAnsi" w:hAnsiTheme="majorHAnsi"/>
          <w:sz w:val="21"/>
          <w:szCs w:val="21"/>
        </w:rPr>
        <w:t>, 7 dhe 8</w:t>
      </w:r>
      <w:r w:rsidR="00991A00" w:rsidRPr="07D96137">
        <w:rPr>
          <w:rFonts w:asciiTheme="majorHAnsi" w:hAnsiTheme="majorHAnsi"/>
          <w:sz w:val="21"/>
          <w:szCs w:val="21"/>
        </w:rPr>
        <w:t xml:space="preserve"> përshkruajnë T</w:t>
      </w:r>
      <w:r w:rsidR="00810C0B" w:rsidRPr="07D96137">
        <w:rPr>
          <w:rFonts w:asciiTheme="majorHAnsi" w:hAnsiTheme="majorHAnsi"/>
          <w:sz w:val="21"/>
          <w:szCs w:val="21"/>
        </w:rPr>
        <w:t xml:space="preserve">ermat </w:t>
      </w:r>
      <w:r w:rsidR="00991A00" w:rsidRPr="07D96137">
        <w:rPr>
          <w:rFonts w:asciiTheme="majorHAnsi" w:hAnsiTheme="majorHAnsi"/>
          <w:sz w:val="21"/>
          <w:szCs w:val="21"/>
        </w:rPr>
        <w:t>e</w:t>
      </w:r>
      <w:r w:rsidR="00810C0B" w:rsidRPr="07D96137">
        <w:rPr>
          <w:rFonts w:asciiTheme="majorHAnsi" w:hAnsiTheme="majorHAnsi"/>
          <w:sz w:val="21"/>
          <w:szCs w:val="21"/>
        </w:rPr>
        <w:t xml:space="preserve"> </w:t>
      </w:r>
      <w:r w:rsidR="00991A00" w:rsidRPr="07D96137">
        <w:rPr>
          <w:rFonts w:asciiTheme="majorHAnsi" w:hAnsiTheme="majorHAnsi"/>
          <w:sz w:val="21"/>
          <w:szCs w:val="21"/>
        </w:rPr>
        <w:t>R</w:t>
      </w:r>
      <w:r w:rsidR="00810C0B" w:rsidRPr="07D96137">
        <w:rPr>
          <w:rFonts w:asciiTheme="majorHAnsi" w:hAnsiTheme="majorHAnsi"/>
          <w:sz w:val="21"/>
          <w:szCs w:val="21"/>
        </w:rPr>
        <w:t>eferencës</w:t>
      </w:r>
      <w:r w:rsidR="00991A00" w:rsidRPr="07D96137">
        <w:rPr>
          <w:rFonts w:asciiTheme="majorHAnsi" w:hAnsiTheme="majorHAnsi"/>
          <w:sz w:val="21"/>
          <w:szCs w:val="21"/>
        </w:rPr>
        <w:t xml:space="preserve"> t</w:t>
      </w:r>
      <w:r w:rsidR="00210D4C" w:rsidRPr="07D96137">
        <w:rPr>
          <w:rFonts w:asciiTheme="majorHAnsi" w:hAnsiTheme="majorHAnsi"/>
          <w:sz w:val="21"/>
          <w:szCs w:val="21"/>
        </w:rPr>
        <w:t>ë</w:t>
      </w:r>
      <w:r w:rsidR="00991A00" w:rsidRPr="07D96137">
        <w:rPr>
          <w:rFonts w:asciiTheme="majorHAnsi" w:hAnsiTheme="majorHAnsi"/>
          <w:sz w:val="21"/>
          <w:szCs w:val="21"/>
        </w:rPr>
        <w:t xml:space="preserve"> </w:t>
      </w:r>
      <w:r w:rsidR="00033F2E">
        <w:rPr>
          <w:rFonts w:asciiTheme="majorHAnsi" w:hAnsiTheme="majorHAnsi"/>
          <w:sz w:val="21"/>
          <w:szCs w:val="21"/>
        </w:rPr>
        <w:t>k</w:t>
      </w:r>
      <w:r w:rsidR="008507DD" w:rsidRPr="07D96137">
        <w:rPr>
          <w:rFonts w:asciiTheme="majorHAnsi" w:hAnsiTheme="majorHAnsi"/>
          <w:sz w:val="21"/>
          <w:szCs w:val="21"/>
        </w:rPr>
        <w:t xml:space="preserve">omisionit të GPK-së,  </w:t>
      </w:r>
      <w:r w:rsidR="00991A00" w:rsidRPr="07D96137">
        <w:rPr>
          <w:rFonts w:asciiTheme="majorHAnsi" w:hAnsiTheme="majorHAnsi"/>
          <w:sz w:val="21"/>
          <w:szCs w:val="21"/>
        </w:rPr>
        <w:t>grupit teknik</w:t>
      </w:r>
      <w:r w:rsidR="00250BE5">
        <w:rPr>
          <w:rFonts w:asciiTheme="majorHAnsi" w:hAnsiTheme="majorHAnsi"/>
          <w:sz w:val="21"/>
          <w:szCs w:val="21"/>
        </w:rPr>
        <w:t xml:space="preserve"> për vlerësim të grantit</w:t>
      </w:r>
      <w:r w:rsidR="008507DD" w:rsidRPr="07D96137">
        <w:rPr>
          <w:rFonts w:asciiTheme="majorHAnsi" w:hAnsiTheme="majorHAnsi"/>
          <w:sz w:val="21"/>
          <w:szCs w:val="21"/>
        </w:rPr>
        <w:t>, komisionit të ankesave dhe komisionit</w:t>
      </w:r>
      <w:r w:rsidR="00792B62" w:rsidRPr="07D96137">
        <w:rPr>
          <w:rFonts w:asciiTheme="majorHAnsi" w:hAnsiTheme="majorHAnsi"/>
          <w:sz w:val="21"/>
          <w:szCs w:val="21"/>
        </w:rPr>
        <w:t xml:space="preserve"> </w:t>
      </w:r>
      <w:r w:rsidR="008507DD" w:rsidRPr="07D96137">
        <w:rPr>
          <w:rFonts w:asciiTheme="majorHAnsi" w:hAnsiTheme="majorHAnsi"/>
          <w:sz w:val="21"/>
          <w:szCs w:val="21"/>
        </w:rPr>
        <w:t xml:space="preserve">për hartimin e rregullave te GPK-së. </w:t>
      </w:r>
      <w:r w:rsidR="00991A00" w:rsidRPr="07D96137">
        <w:rPr>
          <w:rFonts w:asciiTheme="majorHAnsi" w:hAnsiTheme="majorHAnsi"/>
          <w:sz w:val="21"/>
          <w:szCs w:val="21"/>
        </w:rPr>
        <w:t xml:space="preserve">Shtojca </w:t>
      </w:r>
      <w:r w:rsidR="00250BE5">
        <w:rPr>
          <w:rFonts w:asciiTheme="majorHAnsi" w:hAnsiTheme="majorHAnsi"/>
          <w:sz w:val="21"/>
          <w:szCs w:val="21"/>
        </w:rPr>
        <w:t>9</w:t>
      </w:r>
      <w:r w:rsidR="00991A00" w:rsidRPr="07D96137">
        <w:rPr>
          <w:rFonts w:asciiTheme="majorHAnsi" w:hAnsiTheme="majorHAnsi"/>
          <w:sz w:val="21"/>
          <w:szCs w:val="21"/>
        </w:rPr>
        <w:t xml:space="preserve"> </w:t>
      </w:r>
      <w:r w:rsidR="00207934" w:rsidRPr="07D96137">
        <w:rPr>
          <w:rFonts w:asciiTheme="majorHAnsi" w:hAnsiTheme="majorHAnsi"/>
          <w:sz w:val="21"/>
          <w:szCs w:val="21"/>
        </w:rPr>
        <w:t>jep t</w:t>
      </w:r>
      <w:r w:rsidR="00210D4C" w:rsidRPr="07D96137">
        <w:rPr>
          <w:rFonts w:asciiTheme="majorHAnsi" w:hAnsiTheme="majorHAnsi"/>
          <w:sz w:val="21"/>
          <w:szCs w:val="21"/>
        </w:rPr>
        <w:t>ë</w:t>
      </w:r>
      <w:r w:rsidR="00207934" w:rsidRPr="07D96137">
        <w:rPr>
          <w:rFonts w:asciiTheme="majorHAnsi" w:hAnsiTheme="majorHAnsi"/>
          <w:sz w:val="21"/>
          <w:szCs w:val="21"/>
        </w:rPr>
        <w:t xml:space="preserve"> dh</w:t>
      </w:r>
      <w:r w:rsidR="00210D4C" w:rsidRPr="07D96137">
        <w:rPr>
          <w:rFonts w:asciiTheme="majorHAnsi" w:hAnsiTheme="majorHAnsi"/>
          <w:sz w:val="21"/>
          <w:szCs w:val="21"/>
        </w:rPr>
        <w:t>ë</w:t>
      </w:r>
      <w:r w:rsidR="00207934" w:rsidRPr="07D96137">
        <w:rPr>
          <w:rFonts w:asciiTheme="majorHAnsi" w:hAnsiTheme="majorHAnsi"/>
          <w:sz w:val="21"/>
          <w:szCs w:val="21"/>
        </w:rPr>
        <w:t>nat kontaktuese</w:t>
      </w:r>
      <w:r w:rsidR="008B6F4E" w:rsidRPr="07D96137">
        <w:rPr>
          <w:rFonts w:asciiTheme="majorHAnsi" w:hAnsiTheme="majorHAnsi"/>
          <w:sz w:val="21"/>
          <w:szCs w:val="21"/>
        </w:rPr>
        <w:t xml:space="preserve">. </w:t>
      </w:r>
    </w:p>
    <w:p w14:paraId="7878CAAE" w14:textId="77777777" w:rsidR="00CD55EA" w:rsidRPr="004D2E1C" w:rsidRDefault="00CD55EA"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p>
    <w:p w14:paraId="1BD4207A" w14:textId="50A4F19C" w:rsidR="006C11C1"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rPr>
      </w:pPr>
      <w:r w:rsidRPr="07D96137">
        <w:rPr>
          <w:rFonts w:asciiTheme="majorHAnsi" w:hAnsiTheme="majorHAnsi"/>
          <w:sz w:val="21"/>
          <w:szCs w:val="21"/>
        </w:rPr>
        <w:t xml:space="preserve">Ky dokument </w:t>
      </w:r>
      <w:r w:rsidR="009147BB" w:rsidRPr="07D96137">
        <w:rPr>
          <w:rFonts w:asciiTheme="majorHAnsi" w:hAnsiTheme="majorHAnsi"/>
          <w:sz w:val="21"/>
          <w:szCs w:val="21"/>
        </w:rPr>
        <w:t>synon të</w:t>
      </w:r>
      <w:r w:rsidRPr="07D96137">
        <w:rPr>
          <w:rFonts w:asciiTheme="majorHAnsi" w:hAnsiTheme="majorHAnsi"/>
          <w:sz w:val="21"/>
          <w:szCs w:val="21"/>
        </w:rPr>
        <w:t xml:space="preserve"> </w:t>
      </w:r>
      <w:r w:rsidR="00CE2438" w:rsidRPr="07D96137">
        <w:rPr>
          <w:rFonts w:asciiTheme="majorHAnsi" w:hAnsiTheme="majorHAnsi"/>
          <w:sz w:val="21"/>
          <w:szCs w:val="21"/>
        </w:rPr>
        <w:t>informoj t</w:t>
      </w:r>
      <w:r w:rsidR="00BB1193" w:rsidRPr="07D96137">
        <w:rPr>
          <w:rFonts w:asciiTheme="majorHAnsi" w:hAnsiTheme="majorHAnsi"/>
          <w:sz w:val="21"/>
          <w:szCs w:val="21"/>
        </w:rPr>
        <w:t>ë</w:t>
      </w:r>
      <w:r w:rsidR="00CE2438" w:rsidRPr="07D96137">
        <w:rPr>
          <w:rFonts w:asciiTheme="majorHAnsi" w:hAnsiTheme="majorHAnsi"/>
          <w:sz w:val="21"/>
          <w:szCs w:val="21"/>
        </w:rPr>
        <w:t xml:space="preserve"> </w:t>
      </w:r>
      <w:r w:rsidRPr="07D96137">
        <w:rPr>
          <w:rFonts w:asciiTheme="majorHAnsi" w:hAnsiTheme="majorHAnsi"/>
          <w:sz w:val="21"/>
          <w:szCs w:val="21"/>
        </w:rPr>
        <w:t xml:space="preserve">gjithë akterët </w:t>
      </w:r>
      <w:r w:rsidR="00CE2438" w:rsidRPr="07D96137">
        <w:rPr>
          <w:rFonts w:asciiTheme="majorHAnsi" w:hAnsiTheme="majorHAnsi"/>
          <w:sz w:val="21"/>
          <w:szCs w:val="21"/>
        </w:rPr>
        <w:t>e komunave t</w:t>
      </w:r>
      <w:r w:rsidR="00BB1193" w:rsidRPr="07D96137">
        <w:rPr>
          <w:rFonts w:asciiTheme="majorHAnsi" w:hAnsiTheme="majorHAnsi"/>
          <w:sz w:val="21"/>
          <w:szCs w:val="21"/>
        </w:rPr>
        <w:t>ë</w:t>
      </w:r>
      <w:r w:rsidR="00CE2438" w:rsidRPr="07D96137">
        <w:rPr>
          <w:rFonts w:asciiTheme="majorHAnsi" w:hAnsiTheme="majorHAnsi"/>
          <w:sz w:val="21"/>
          <w:szCs w:val="21"/>
        </w:rPr>
        <w:t xml:space="preserve"> </w:t>
      </w:r>
      <w:r w:rsidRPr="07D96137">
        <w:rPr>
          <w:rFonts w:asciiTheme="majorHAnsi" w:hAnsiTheme="majorHAnsi"/>
          <w:sz w:val="21"/>
          <w:szCs w:val="21"/>
        </w:rPr>
        <w:t xml:space="preserve">Kosovës, </w:t>
      </w:r>
      <w:r w:rsidR="00CE2438" w:rsidRPr="07D96137">
        <w:rPr>
          <w:rFonts w:asciiTheme="majorHAnsi" w:hAnsiTheme="majorHAnsi"/>
          <w:sz w:val="21"/>
          <w:szCs w:val="21"/>
        </w:rPr>
        <w:t>p</w:t>
      </w:r>
      <w:r w:rsidR="00BB1193" w:rsidRPr="07D96137">
        <w:rPr>
          <w:rFonts w:asciiTheme="majorHAnsi" w:hAnsiTheme="majorHAnsi"/>
          <w:sz w:val="21"/>
          <w:szCs w:val="21"/>
        </w:rPr>
        <w:t>ë</w:t>
      </w:r>
      <w:r w:rsidR="00CE2438" w:rsidRPr="07D96137">
        <w:rPr>
          <w:rFonts w:asciiTheme="majorHAnsi" w:hAnsiTheme="majorHAnsi"/>
          <w:sz w:val="21"/>
          <w:szCs w:val="21"/>
        </w:rPr>
        <w:t>rfshir</w:t>
      </w:r>
      <w:r w:rsidR="00BB1193" w:rsidRPr="07D96137">
        <w:rPr>
          <w:rFonts w:asciiTheme="majorHAnsi" w:hAnsiTheme="majorHAnsi"/>
          <w:sz w:val="21"/>
          <w:szCs w:val="21"/>
        </w:rPr>
        <w:t>ë</w:t>
      </w:r>
      <w:r w:rsidRPr="07D96137">
        <w:rPr>
          <w:rFonts w:asciiTheme="majorHAnsi" w:hAnsiTheme="majorHAnsi"/>
          <w:sz w:val="21"/>
          <w:szCs w:val="21"/>
        </w:rPr>
        <w:t xml:space="preserve"> kryetarët e komunave, drejtorët, udhëheqësit e lartë, koordinatorët e S</w:t>
      </w:r>
      <w:r w:rsidR="002A1D77" w:rsidRPr="07D96137">
        <w:rPr>
          <w:rFonts w:asciiTheme="majorHAnsi" w:hAnsiTheme="majorHAnsi"/>
          <w:sz w:val="21"/>
          <w:szCs w:val="21"/>
        </w:rPr>
        <w:t xml:space="preserve">istemit të </w:t>
      </w:r>
      <w:r w:rsidRPr="07D96137">
        <w:rPr>
          <w:rFonts w:asciiTheme="majorHAnsi" w:hAnsiTheme="majorHAnsi"/>
          <w:sz w:val="21"/>
          <w:szCs w:val="21"/>
        </w:rPr>
        <w:t>M</w:t>
      </w:r>
      <w:r w:rsidR="002A1D77" w:rsidRPr="07D96137">
        <w:rPr>
          <w:rFonts w:asciiTheme="majorHAnsi" w:hAnsiTheme="majorHAnsi"/>
          <w:sz w:val="21"/>
          <w:szCs w:val="21"/>
        </w:rPr>
        <w:t>en</w:t>
      </w:r>
      <w:r w:rsidR="1D8499AF" w:rsidRPr="07D96137">
        <w:rPr>
          <w:rFonts w:asciiTheme="majorHAnsi" w:hAnsiTheme="majorHAnsi"/>
          <w:sz w:val="21"/>
          <w:szCs w:val="21"/>
        </w:rPr>
        <w:t>a</w:t>
      </w:r>
      <w:r w:rsidR="002A1D77" w:rsidRPr="07D96137">
        <w:rPr>
          <w:rFonts w:asciiTheme="majorHAnsi" w:hAnsiTheme="majorHAnsi"/>
          <w:sz w:val="21"/>
          <w:szCs w:val="21"/>
        </w:rPr>
        <w:t xml:space="preserve">xhimit të </w:t>
      </w:r>
      <w:r w:rsidRPr="07D96137">
        <w:rPr>
          <w:rFonts w:asciiTheme="majorHAnsi" w:hAnsiTheme="majorHAnsi"/>
          <w:sz w:val="21"/>
          <w:szCs w:val="21"/>
        </w:rPr>
        <w:t>P</w:t>
      </w:r>
      <w:r w:rsidR="002A1D77" w:rsidRPr="07D96137">
        <w:rPr>
          <w:rFonts w:asciiTheme="majorHAnsi" w:hAnsiTheme="majorHAnsi"/>
          <w:sz w:val="21"/>
          <w:szCs w:val="21"/>
        </w:rPr>
        <w:t xml:space="preserve">erformancës </w:t>
      </w:r>
      <w:r w:rsidR="002D1597" w:rsidRPr="07D96137">
        <w:rPr>
          <w:rFonts w:asciiTheme="majorHAnsi" w:hAnsiTheme="majorHAnsi"/>
          <w:sz w:val="21"/>
          <w:szCs w:val="21"/>
        </w:rPr>
        <w:t>K</w:t>
      </w:r>
      <w:r w:rsidR="002A1D77" w:rsidRPr="07D96137">
        <w:rPr>
          <w:rFonts w:asciiTheme="majorHAnsi" w:hAnsiTheme="majorHAnsi"/>
          <w:sz w:val="21"/>
          <w:szCs w:val="21"/>
        </w:rPr>
        <w:t>omunale (SMPK)</w:t>
      </w:r>
      <w:r w:rsidRPr="07D96137">
        <w:rPr>
          <w:rFonts w:asciiTheme="majorHAnsi" w:hAnsiTheme="majorHAnsi"/>
          <w:sz w:val="21"/>
          <w:szCs w:val="21"/>
        </w:rPr>
        <w:t xml:space="preserve">, </w:t>
      </w:r>
      <w:r w:rsidR="00CE2438" w:rsidRPr="07D96137">
        <w:rPr>
          <w:rFonts w:asciiTheme="majorHAnsi" w:hAnsiTheme="majorHAnsi"/>
          <w:sz w:val="21"/>
          <w:szCs w:val="21"/>
        </w:rPr>
        <w:t>an</w:t>
      </w:r>
      <w:r w:rsidR="00BB1193" w:rsidRPr="07D96137">
        <w:rPr>
          <w:rFonts w:asciiTheme="majorHAnsi" w:hAnsiTheme="majorHAnsi"/>
          <w:sz w:val="21"/>
          <w:szCs w:val="21"/>
        </w:rPr>
        <w:t>ë</w:t>
      </w:r>
      <w:r w:rsidR="00CE2438" w:rsidRPr="07D96137">
        <w:rPr>
          <w:rFonts w:asciiTheme="majorHAnsi" w:hAnsiTheme="majorHAnsi"/>
          <w:sz w:val="21"/>
          <w:szCs w:val="21"/>
        </w:rPr>
        <w:t>tar</w:t>
      </w:r>
      <w:r w:rsidR="00BB1193" w:rsidRPr="07D96137">
        <w:rPr>
          <w:rFonts w:asciiTheme="majorHAnsi" w:hAnsiTheme="majorHAnsi"/>
          <w:sz w:val="21"/>
          <w:szCs w:val="21"/>
        </w:rPr>
        <w:t>ë</w:t>
      </w:r>
      <w:r w:rsidR="00CE2438" w:rsidRPr="07D96137">
        <w:rPr>
          <w:rFonts w:asciiTheme="majorHAnsi" w:hAnsiTheme="majorHAnsi"/>
          <w:sz w:val="21"/>
          <w:szCs w:val="21"/>
        </w:rPr>
        <w:t xml:space="preserve">t </w:t>
      </w:r>
      <w:r w:rsidR="009147BB" w:rsidRPr="07D96137">
        <w:rPr>
          <w:rFonts w:asciiTheme="majorHAnsi" w:hAnsiTheme="majorHAnsi"/>
          <w:sz w:val="21"/>
          <w:szCs w:val="21"/>
        </w:rPr>
        <w:t>e</w:t>
      </w:r>
      <w:r w:rsidRPr="07D96137">
        <w:rPr>
          <w:rFonts w:asciiTheme="majorHAnsi" w:hAnsiTheme="majorHAnsi"/>
          <w:sz w:val="21"/>
          <w:szCs w:val="21"/>
        </w:rPr>
        <w:t xml:space="preserve"> kuvendeve </w:t>
      </w:r>
      <w:r w:rsidR="00CE2438" w:rsidRPr="07D96137">
        <w:rPr>
          <w:rFonts w:asciiTheme="majorHAnsi" w:hAnsiTheme="majorHAnsi"/>
          <w:sz w:val="21"/>
          <w:szCs w:val="21"/>
        </w:rPr>
        <w:t>t</w:t>
      </w:r>
      <w:r w:rsidR="00BB1193" w:rsidRPr="07D96137">
        <w:rPr>
          <w:rFonts w:asciiTheme="majorHAnsi" w:hAnsiTheme="majorHAnsi"/>
          <w:sz w:val="21"/>
          <w:szCs w:val="21"/>
        </w:rPr>
        <w:t>ë</w:t>
      </w:r>
      <w:r w:rsidR="00CE2438" w:rsidRPr="07D96137">
        <w:rPr>
          <w:rFonts w:asciiTheme="majorHAnsi" w:hAnsiTheme="majorHAnsi"/>
          <w:sz w:val="21"/>
          <w:szCs w:val="21"/>
        </w:rPr>
        <w:t xml:space="preserve"> komunave, si dhe shoq</w:t>
      </w:r>
      <w:r w:rsidR="00BB1193" w:rsidRPr="07D96137">
        <w:rPr>
          <w:rFonts w:asciiTheme="majorHAnsi" w:hAnsiTheme="majorHAnsi"/>
          <w:sz w:val="21"/>
          <w:szCs w:val="21"/>
        </w:rPr>
        <w:t>ë</w:t>
      </w:r>
      <w:r w:rsidR="00CE2438" w:rsidRPr="07D96137">
        <w:rPr>
          <w:rFonts w:asciiTheme="majorHAnsi" w:hAnsiTheme="majorHAnsi"/>
          <w:sz w:val="21"/>
          <w:szCs w:val="21"/>
        </w:rPr>
        <w:t>rin</w:t>
      </w:r>
      <w:r w:rsidR="00BB1193" w:rsidRPr="07D96137">
        <w:rPr>
          <w:rFonts w:asciiTheme="majorHAnsi" w:hAnsiTheme="majorHAnsi"/>
          <w:sz w:val="21"/>
          <w:szCs w:val="21"/>
        </w:rPr>
        <w:t>ë</w:t>
      </w:r>
      <w:r w:rsidR="00CE2438" w:rsidRPr="07D96137">
        <w:rPr>
          <w:rFonts w:asciiTheme="majorHAnsi" w:hAnsiTheme="majorHAnsi"/>
          <w:sz w:val="21"/>
          <w:szCs w:val="21"/>
        </w:rPr>
        <w:t xml:space="preserve"> civile</w:t>
      </w:r>
      <w:r w:rsidRPr="07D96137">
        <w:rPr>
          <w:rFonts w:asciiTheme="majorHAnsi" w:hAnsiTheme="majorHAnsi"/>
          <w:sz w:val="21"/>
          <w:szCs w:val="21"/>
        </w:rPr>
        <w:t xml:space="preserve"> dhe qytetarët e interesuar. </w:t>
      </w:r>
    </w:p>
    <w:p w14:paraId="33EEB546" w14:textId="53A4A6E7" w:rsidR="000D6CE5" w:rsidRPr="004D2E1C" w:rsidRDefault="006C11C1"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rPr>
      </w:pPr>
      <w:r w:rsidRPr="07D96137">
        <w:rPr>
          <w:rFonts w:asciiTheme="majorHAnsi" w:hAnsiTheme="majorHAnsi"/>
          <w:sz w:val="21"/>
          <w:szCs w:val="21"/>
        </w:rPr>
        <w:t>R</w:t>
      </w:r>
      <w:r w:rsidR="5080ECF3" w:rsidRPr="07D96137">
        <w:rPr>
          <w:rFonts w:asciiTheme="majorHAnsi" w:hAnsiTheme="majorHAnsi"/>
          <w:sz w:val="21"/>
          <w:szCs w:val="21"/>
        </w:rPr>
        <w:t>r</w:t>
      </w:r>
      <w:r w:rsidR="000D6CE5" w:rsidRPr="07D96137">
        <w:rPr>
          <w:rFonts w:asciiTheme="majorHAnsi" w:hAnsiTheme="majorHAnsi"/>
          <w:sz w:val="21"/>
          <w:szCs w:val="21"/>
        </w:rPr>
        <w:t xml:space="preserve">egullat </w:t>
      </w:r>
      <w:r w:rsidRPr="07D96137">
        <w:rPr>
          <w:rFonts w:asciiTheme="majorHAnsi" w:hAnsiTheme="majorHAnsi"/>
          <w:sz w:val="21"/>
          <w:szCs w:val="21"/>
        </w:rPr>
        <w:t xml:space="preserve">e </w:t>
      </w:r>
      <w:r w:rsidR="00F30E9F" w:rsidRPr="07D96137">
        <w:rPr>
          <w:rFonts w:asciiTheme="majorHAnsi" w:hAnsiTheme="majorHAnsi"/>
          <w:sz w:val="21"/>
          <w:szCs w:val="21"/>
        </w:rPr>
        <w:t>GPK</w:t>
      </w:r>
      <w:r w:rsidR="00CE2438" w:rsidRPr="07D96137">
        <w:rPr>
          <w:rFonts w:asciiTheme="majorHAnsi" w:hAnsiTheme="majorHAnsi"/>
          <w:sz w:val="21"/>
          <w:szCs w:val="21"/>
        </w:rPr>
        <w:t>-s</w:t>
      </w:r>
      <w:r w:rsidR="00BB1193" w:rsidRPr="07D96137">
        <w:rPr>
          <w:rFonts w:asciiTheme="majorHAnsi" w:hAnsiTheme="majorHAnsi"/>
          <w:sz w:val="21"/>
          <w:szCs w:val="21"/>
        </w:rPr>
        <w:t>ë</w:t>
      </w:r>
      <w:r w:rsidR="000D6CE5" w:rsidRPr="07D96137">
        <w:rPr>
          <w:rFonts w:asciiTheme="majorHAnsi" w:hAnsiTheme="majorHAnsi"/>
          <w:sz w:val="21"/>
          <w:szCs w:val="21"/>
        </w:rPr>
        <w:t xml:space="preserve"> janë me interes për të gjitha ministritë që hartojnë politika për komunat, si dhe organizatat joqeveritare (OJQ) që </w:t>
      </w:r>
      <w:r w:rsidR="009147BB" w:rsidRPr="07D96137">
        <w:rPr>
          <w:rFonts w:asciiTheme="majorHAnsi" w:hAnsiTheme="majorHAnsi"/>
          <w:sz w:val="21"/>
          <w:szCs w:val="21"/>
        </w:rPr>
        <w:t>trajtojnë</w:t>
      </w:r>
      <w:r w:rsidR="000D6CE5" w:rsidRPr="07D96137">
        <w:rPr>
          <w:rFonts w:asciiTheme="majorHAnsi" w:hAnsiTheme="majorHAnsi"/>
          <w:sz w:val="21"/>
          <w:szCs w:val="21"/>
        </w:rPr>
        <w:t xml:space="preserve"> ofrimin e shërbimeve lokale dhe qeverisjen lokale. Ky dokument po</w:t>
      </w:r>
      <w:r w:rsidR="00CE2438" w:rsidRPr="07D96137">
        <w:rPr>
          <w:rFonts w:asciiTheme="majorHAnsi" w:hAnsiTheme="majorHAnsi"/>
          <w:sz w:val="21"/>
          <w:szCs w:val="21"/>
        </w:rPr>
        <w:t xml:space="preserve"> </w:t>
      </w:r>
      <w:r w:rsidR="000D6CE5" w:rsidRPr="07D96137">
        <w:rPr>
          <w:rFonts w:asciiTheme="majorHAnsi" w:hAnsiTheme="majorHAnsi"/>
          <w:sz w:val="21"/>
          <w:szCs w:val="21"/>
        </w:rPr>
        <w:t xml:space="preserve">ashtu mund të shërbejë si përmbledhje për partnerët zhvillimorë të cilët mendojnë t’i </w:t>
      </w:r>
      <w:r w:rsidR="009147BB" w:rsidRPr="07D96137">
        <w:rPr>
          <w:rFonts w:asciiTheme="majorHAnsi" w:hAnsiTheme="majorHAnsi"/>
          <w:sz w:val="21"/>
          <w:szCs w:val="21"/>
        </w:rPr>
        <w:t>bashkëngjiten</w:t>
      </w:r>
      <w:r w:rsidR="000D6CE5" w:rsidRPr="07D96137">
        <w:rPr>
          <w:rFonts w:asciiTheme="majorHAnsi" w:hAnsiTheme="majorHAnsi"/>
          <w:sz w:val="21"/>
          <w:szCs w:val="21"/>
        </w:rPr>
        <w:t xml:space="preserve"> grantit </w:t>
      </w:r>
      <w:r w:rsidR="00E90233" w:rsidRPr="07D96137">
        <w:rPr>
          <w:rFonts w:asciiTheme="majorHAnsi" w:hAnsiTheme="majorHAnsi"/>
          <w:sz w:val="21"/>
          <w:szCs w:val="21"/>
        </w:rPr>
        <w:t xml:space="preserve">të </w:t>
      </w:r>
      <w:r w:rsidR="005D35C0" w:rsidRPr="07D96137">
        <w:rPr>
          <w:rFonts w:asciiTheme="majorHAnsi" w:hAnsiTheme="majorHAnsi"/>
          <w:sz w:val="21"/>
          <w:szCs w:val="21"/>
        </w:rPr>
        <w:t>performancës komunale</w:t>
      </w:r>
      <w:r w:rsidR="000D6CE5" w:rsidRPr="07D96137">
        <w:rPr>
          <w:rFonts w:asciiTheme="majorHAnsi" w:hAnsiTheme="majorHAnsi"/>
          <w:sz w:val="21"/>
          <w:szCs w:val="21"/>
        </w:rPr>
        <w:t>.</w:t>
      </w:r>
      <w:bookmarkStart w:id="29" w:name="_Toc236632743"/>
      <w:bookmarkStart w:id="30" w:name="_Toc170004020"/>
      <w:bookmarkStart w:id="31" w:name="_Toc170432961"/>
      <w:bookmarkEnd w:id="27"/>
      <w:r w:rsidRPr="07D96137">
        <w:rPr>
          <w:rFonts w:asciiTheme="majorHAnsi" w:hAnsiTheme="majorHAnsi"/>
          <w:color w:val="FFFFFF" w:themeColor="background1"/>
          <w:sz w:val="32"/>
          <w:szCs w:val="32"/>
        </w:rPr>
        <w:br w:type="page"/>
      </w:r>
    </w:p>
    <w:p w14:paraId="67AD06CF" w14:textId="77777777" w:rsidR="000D6CE5" w:rsidRDefault="000D6CE5" w:rsidP="000D6CE5">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32" w:name="_Toc61062519"/>
      <w:r w:rsidRPr="004D2E1C">
        <w:rPr>
          <w:rFonts w:asciiTheme="majorHAnsi" w:hAnsiTheme="majorHAnsi"/>
          <w:color w:val="FFFFFF" w:themeColor="background1"/>
          <w:sz w:val="32"/>
          <w:szCs w:val="32"/>
          <w:lang w:val="sq-AL"/>
        </w:rPr>
        <w:lastRenderedPageBreak/>
        <w:t>Granti i performancë</w:t>
      </w:r>
      <w:r w:rsidR="00E90233">
        <w:rPr>
          <w:rFonts w:asciiTheme="majorHAnsi" w:hAnsiTheme="majorHAnsi"/>
          <w:color w:val="FFFFFF" w:themeColor="background1"/>
          <w:sz w:val="32"/>
          <w:szCs w:val="32"/>
          <w:lang w:val="sq-AL"/>
        </w:rPr>
        <w:t>s</w:t>
      </w:r>
      <w:r w:rsidRPr="004D2E1C">
        <w:rPr>
          <w:rFonts w:asciiTheme="majorHAnsi" w:hAnsiTheme="majorHAnsi"/>
          <w:color w:val="FFFFFF" w:themeColor="background1"/>
          <w:sz w:val="32"/>
          <w:szCs w:val="32"/>
          <w:lang w:val="sq-AL"/>
        </w:rPr>
        <w:t xml:space="preserve"> </w:t>
      </w:r>
      <w:r w:rsidR="00674C44">
        <w:rPr>
          <w:rFonts w:asciiTheme="majorHAnsi" w:hAnsiTheme="majorHAnsi"/>
          <w:color w:val="FFFFFF" w:themeColor="background1"/>
          <w:sz w:val="32"/>
          <w:szCs w:val="32"/>
          <w:lang w:val="sq-AL"/>
        </w:rPr>
        <w:t>komunale</w:t>
      </w:r>
      <w:r w:rsidRPr="004D2E1C">
        <w:rPr>
          <w:rFonts w:asciiTheme="majorHAnsi" w:hAnsiTheme="majorHAnsi"/>
          <w:color w:val="FFFFFF" w:themeColor="background1"/>
          <w:sz w:val="32"/>
          <w:szCs w:val="32"/>
          <w:lang w:val="sq-AL"/>
        </w:rPr>
        <w:t>– Parametrat dizajnues</w:t>
      </w:r>
      <w:bookmarkEnd w:id="29"/>
      <w:bookmarkEnd w:id="30"/>
      <w:bookmarkEnd w:id="31"/>
      <w:bookmarkEnd w:id="32"/>
    </w:p>
    <w:p w14:paraId="73EB1EDE" w14:textId="77777777" w:rsidR="00D812D8" w:rsidRPr="00D812D8" w:rsidRDefault="00D812D8" w:rsidP="00D812D8"/>
    <w:p w14:paraId="1E0C2B87" w14:textId="77777777" w:rsidR="000D6CE5" w:rsidRPr="004D2E1C" w:rsidRDefault="000D6CE5" w:rsidP="000D6CE5">
      <w:pPr>
        <w:pStyle w:val="Heading1"/>
        <w:numPr>
          <w:ilvl w:val="1"/>
          <w:numId w:val="6"/>
        </w:numPr>
        <w:tabs>
          <w:tab w:val="left" w:pos="540"/>
        </w:tabs>
        <w:ind w:hanging="1800"/>
        <w:rPr>
          <w:rFonts w:asciiTheme="majorHAnsi" w:hAnsiTheme="majorHAnsi"/>
          <w:color w:val="C0504D"/>
          <w:szCs w:val="28"/>
          <w:lang w:val="sq-AL"/>
        </w:rPr>
      </w:pPr>
      <w:bookmarkStart w:id="33" w:name="_Toc61062520"/>
      <w:r w:rsidRPr="004D2E1C">
        <w:rPr>
          <w:rFonts w:asciiTheme="majorHAnsi" w:hAnsiTheme="majorHAnsi"/>
          <w:color w:val="C0504D"/>
          <w:szCs w:val="28"/>
          <w:lang w:val="sq-AL"/>
        </w:rPr>
        <w:t>Parimet themelore</w:t>
      </w:r>
      <w:bookmarkEnd w:id="33"/>
    </w:p>
    <w:p w14:paraId="53EE9DB4" w14:textId="77777777" w:rsidR="000D6CE5" w:rsidRPr="004D2E1C" w:rsidRDefault="00D960C4" w:rsidP="00363711">
      <w:pPr>
        <w:spacing w:before="60" w:line="264" w:lineRule="auto"/>
        <w:jc w:val="both"/>
        <w:rPr>
          <w:rFonts w:asciiTheme="majorHAnsi" w:hAnsiTheme="majorHAnsi"/>
          <w:sz w:val="21"/>
          <w:szCs w:val="21"/>
        </w:rPr>
      </w:pPr>
      <w:r>
        <w:rPr>
          <w:rFonts w:asciiTheme="majorHAnsi" w:hAnsiTheme="majorHAnsi"/>
          <w:sz w:val="21"/>
          <w:szCs w:val="21"/>
        </w:rPr>
        <w:t>GPK</w:t>
      </w:r>
      <w:r w:rsidR="001137FE">
        <w:rPr>
          <w:rFonts w:asciiTheme="majorHAnsi" w:hAnsiTheme="majorHAnsi"/>
          <w:sz w:val="21"/>
          <w:szCs w:val="21"/>
        </w:rPr>
        <w:t xml:space="preserve"> </w:t>
      </w:r>
      <w:r w:rsidR="000D6CE5" w:rsidRPr="004D2E1C">
        <w:rPr>
          <w:rFonts w:asciiTheme="majorHAnsi" w:hAnsiTheme="majorHAnsi"/>
          <w:sz w:val="21"/>
          <w:szCs w:val="21"/>
        </w:rPr>
        <w:t>bazohet në parimet e mëposhtme:</w:t>
      </w:r>
    </w:p>
    <w:p w14:paraId="0424DD0F" w14:textId="77777777" w:rsidR="000D6CE5" w:rsidRPr="004D2E1C" w:rsidRDefault="000D6CE5" w:rsidP="009A3BEC">
      <w:pPr>
        <w:pStyle w:val="ListParagraph"/>
        <w:numPr>
          <w:ilvl w:val="0"/>
          <w:numId w:val="15"/>
        </w:numPr>
        <w:spacing w:before="20" w:after="0" w:line="264" w:lineRule="auto"/>
        <w:ind w:hanging="357"/>
        <w:jc w:val="both"/>
        <w:rPr>
          <w:rFonts w:asciiTheme="majorHAnsi" w:hAnsiTheme="majorHAnsi"/>
          <w:sz w:val="21"/>
          <w:szCs w:val="21"/>
        </w:rPr>
      </w:pPr>
      <w:r w:rsidRPr="004D2E1C">
        <w:rPr>
          <w:rFonts w:asciiTheme="majorHAnsi" w:hAnsiTheme="majorHAnsi"/>
          <w:sz w:val="21"/>
          <w:szCs w:val="21"/>
        </w:rPr>
        <w:t>Komunat duhet që</w:t>
      </w:r>
      <w:r w:rsidR="00CE2438">
        <w:rPr>
          <w:rFonts w:asciiTheme="majorHAnsi" w:hAnsiTheme="majorHAnsi"/>
          <w:sz w:val="21"/>
          <w:szCs w:val="21"/>
        </w:rPr>
        <w:t xml:space="preserve"> </w:t>
      </w:r>
      <w:r w:rsidRPr="004D2E1C">
        <w:rPr>
          <w:rFonts w:asciiTheme="majorHAnsi" w:hAnsiTheme="majorHAnsi"/>
          <w:sz w:val="21"/>
          <w:szCs w:val="21"/>
        </w:rPr>
        <w:t>për secilin vit</w:t>
      </w:r>
      <w:r w:rsidR="00CE2438">
        <w:rPr>
          <w:rFonts w:asciiTheme="majorHAnsi" w:hAnsiTheme="majorHAnsi"/>
          <w:sz w:val="21"/>
          <w:szCs w:val="21"/>
        </w:rPr>
        <w:t xml:space="preserve"> </w:t>
      </w:r>
      <w:r w:rsidRPr="004D2E1C">
        <w:rPr>
          <w:rFonts w:asciiTheme="majorHAnsi" w:hAnsiTheme="majorHAnsi"/>
          <w:sz w:val="21"/>
          <w:szCs w:val="21"/>
        </w:rPr>
        <w:t xml:space="preserve">të plotësojnë një numër </w:t>
      </w:r>
      <w:r w:rsidR="009147BB" w:rsidRPr="004D2E1C">
        <w:rPr>
          <w:rFonts w:asciiTheme="majorHAnsi" w:hAnsiTheme="majorHAnsi"/>
          <w:sz w:val="21"/>
          <w:szCs w:val="21"/>
        </w:rPr>
        <w:t xml:space="preserve">kushtesh minimale që të mund të kualifikohen për marrjen e </w:t>
      </w:r>
      <w:r w:rsidRPr="004D2E1C">
        <w:rPr>
          <w:rFonts w:asciiTheme="majorHAnsi" w:hAnsiTheme="majorHAnsi"/>
          <w:sz w:val="21"/>
          <w:szCs w:val="21"/>
        </w:rPr>
        <w:t>granti</w:t>
      </w:r>
      <w:r w:rsidR="009147BB" w:rsidRPr="004D2E1C">
        <w:rPr>
          <w:rFonts w:asciiTheme="majorHAnsi" w:hAnsiTheme="majorHAnsi"/>
          <w:sz w:val="21"/>
          <w:szCs w:val="21"/>
        </w:rPr>
        <w:t>t</w:t>
      </w:r>
      <w:r w:rsidRPr="004D2E1C">
        <w:rPr>
          <w:rFonts w:asciiTheme="majorHAnsi" w:hAnsiTheme="majorHAnsi"/>
          <w:sz w:val="21"/>
          <w:szCs w:val="21"/>
        </w:rPr>
        <w:t xml:space="preserve"> në baza vjetore</w:t>
      </w:r>
      <w:r w:rsidR="00617C9C">
        <w:rPr>
          <w:rFonts w:asciiTheme="majorHAnsi" w:hAnsiTheme="majorHAnsi"/>
          <w:sz w:val="21"/>
          <w:szCs w:val="21"/>
        </w:rPr>
        <w:t xml:space="preserve"> (</w:t>
      </w:r>
      <w:r w:rsidR="00CE70FD">
        <w:rPr>
          <w:rFonts w:asciiTheme="majorHAnsi" w:hAnsiTheme="majorHAnsi"/>
          <w:sz w:val="21"/>
          <w:szCs w:val="21"/>
        </w:rPr>
        <w:t>n</w:t>
      </w:r>
      <w:r w:rsidR="00DC0362">
        <w:rPr>
          <w:rFonts w:asciiTheme="majorHAnsi" w:hAnsiTheme="majorHAnsi"/>
          <w:sz w:val="21"/>
          <w:szCs w:val="21"/>
        </w:rPr>
        <w:t>ë</w:t>
      </w:r>
      <w:r w:rsidR="00CE70FD">
        <w:rPr>
          <w:rFonts w:asciiTheme="majorHAnsi" w:hAnsiTheme="majorHAnsi"/>
          <w:sz w:val="21"/>
          <w:szCs w:val="21"/>
        </w:rPr>
        <w:t xml:space="preserve"> pajtim me nenin 30.2 t</w:t>
      </w:r>
      <w:r w:rsidR="00DC0362">
        <w:rPr>
          <w:rFonts w:asciiTheme="majorHAnsi" w:hAnsiTheme="majorHAnsi"/>
          <w:sz w:val="21"/>
          <w:szCs w:val="21"/>
        </w:rPr>
        <w:t>ë</w:t>
      </w:r>
      <w:r w:rsidR="00CE70FD">
        <w:rPr>
          <w:rFonts w:asciiTheme="majorHAnsi" w:hAnsiTheme="majorHAnsi"/>
          <w:sz w:val="21"/>
          <w:szCs w:val="21"/>
        </w:rPr>
        <w:t xml:space="preserve"> Rregullores p</w:t>
      </w:r>
      <w:r w:rsidR="00DC0362">
        <w:rPr>
          <w:rFonts w:asciiTheme="majorHAnsi" w:hAnsiTheme="majorHAnsi"/>
          <w:sz w:val="21"/>
          <w:szCs w:val="21"/>
        </w:rPr>
        <w:t>ë</w:t>
      </w:r>
      <w:r w:rsidR="00CE70FD">
        <w:rPr>
          <w:rFonts w:asciiTheme="majorHAnsi" w:hAnsiTheme="majorHAnsi"/>
          <w:sz w:val="21"/>
          <w:szCs w:val="21"/>
        </w:rPr>
        <w:t>r SMPK dhe p</w:t>
      </w:r>
      <w:r w:rsidR="00DC0362">
        <w:rPr>
          <w:rFonts w:asciiTheme="majorHAnsi" w:hAnsiTheme="majorHAnsi"/>
          <w:sz w:val="21"/>
          <w:szCs w:val="21"/>
        </w:rPr>
        <w:t>ë</w:t>
      </w:r>
      <w:r w:rsidR="00CE70FD">
        <w:rPr>
          <w:rFonts w:asciiTheme="majorHAnsi" w:hAnsiTheme="majorHAnsi"/>
          <w:sz w:val="21"/>
          <w:szCs w:val="21"/>
        </w:rPr>
        <w:t>r skem</w:t>
      </w:r>
      <w:r w:rsidR="00DC0362">
        <w:rPr>
          <w:rFonts w:asciiTheme="majorHAnsi" w:hAnsiTheme="majorHAnsi"/>
          <w:sz w:val="21"/>
          <w:szCs w:val="21"/>
        </w:rPr>
        <w:t>ë</w:t>
      </w:r>
      <w:r w:rsidR="00CE70FD">
        <w:rPr>
          <w:rFonts w:asciiTheme="majorHAnsi" w:hAnsiTheme="majorHAnsi"/>
          <w:sz w:val="21"/>
          <w:szCs w:val="21"/>
        </w:rPr>
        <w:t>n e grantit p</w:t>
      </w:r>
      <w:r w:rsidR="00DC0362">
        <w:rPr>
          <w:rFonts w:asciiTheme="majorHAnsi" w:hAnsiTheme="majorHAnsi"/>
          <w:sz w:val="21"/>
          <w:szCs w:val="21"/>
        </w:rPr>
        <w:t>ë</w:t>
      </w:r>
      <w:r w:rsidR="00CE70FD">
        <w:rPr>
          <w:rFonts w:asciiTheme="majorHAnsi" w:hAnsiTheme="majorHAnsi"/>
          <w:sz w:val="21"/>
          <w:szCs w:val="21"/>
        </w:rPr>
        <w:t>r performanc</w:t>
      </w:r>
      <w:r w:rsidR="00DC0362">
        <w:rPr>
          <w:rFonts w:asciiTheme="majorHAnsi" w:hAnsiTheme="majorHAnsi"/>
          <w:sz w:val="21"/>
          <w:szCs w:val="21"/>
        </w:rPr>
        <w:t>ë</w:t>
      </w:r>
      <w:r w:rsidR="00CE70FD">
        <w:rPr>
          <w:rFonts w:asciiTheme="majorHAnsi" w:hAnsiTheme="majorHAnsi"/>
          <w:sz w:val="21"/>
          <w:szCs w:val="21"/>
        </w:rPr>
        <w:t xml:space="preserve"> komunale)</w:t>
      </w:r>
      <w:r w:rsidRPr="004D2E1C">
        <w:rPr>
          <w:rFonts w:asciiTheme="majorHAnsi" w:hAnsiTheme="majorHAnsi"/>
          <w:sz w:val="21"/>
          <w:szCs w:val="21"/>
        </w:rPr>
        <w:t xml:space="preserve">; </w:t>
      </w:r>
    </w:p>
    <w:p w14:paraId="154133B0" w14:textId="77777777" w:rsidR="000D6CE5" w:rsidRPr="004D2E1C" w:rsidRDefault="000D6CE5" w:rsidP="009A3BEC">
      <w:pPr>
        <w:pStyle w:val="ListParagraph"/>
        <w:numPr>
          <w:ilvl w:val="0"/>
          <w:numId w:val="15"/>
        </w:numPr>
        <w:spacing w:before="20" w:after="0" w:line="264" w:lineRule="auto"/>
        <w:ind w:hanging="357"/>
        <w:jc w:val="both"/>
        <w:rPr>
          <w:rFonts w:asciiTheme="majorHAnsi" w:hAnsiTheme="majorHAnsi"/>
          <w:sz w:val="21"/>
          <w:szCs w:val="21"/>
        </w:rPr>
      </w:pPr>
      <w:r w:rsidRPr="004D2E1C">
        <w:rPr>
          <w:rFonts w:asciiTheme="majorHAnsi" w:hAnsiTheme="majorHAnsi"/>
          <w:sz w:val="21"/>
          <w:szCs w:val="21"/>
        </w:rPr>
        <w:t xml:space="preserve">Për të gjitha komunat që </w:t>
      </w:r>
      <w:r w:rsidR="00BE4EAE" w:rsidRPr="004D2E1C">
        <w:rPr>
          <w:rFonts w:asciiTheme="majorHAnsi" w:hAnsiTheme="majorHAnsi"/>
          <w:sz w:val="21"/>
          <w:szCs w:val="21"/>
        </w:rPr>
        <w:t xml:space="preserve">kanë </w:t>
      </w:r>
      <w:r w:rsidRPr="004D2E1C">
        <w:rPr>
          <w:rFonts w:asciiTheme="majorHAnsi" w:hAnsiTheme="majorHAnsi"/>
          <w:sz w:val="21"/>
          <w:szCs w:val="21"/>
        </w:rPr>
        <w:t>plotës</w:t>
      </w:r>
      <w:r w:rsidR="00BE4EAE" w:rsidRPr="004D2E1C">
        <w:rPr>
          <w:rFonts w:asciiTheme="majorHAnsi" w:hAnsiTheme="majorHAnsi"/>
          <w:sz w:val="21"/>
          <w:szCs w:val="21"/>
        </w:rPr>
        <w:t>uar</w:t>
      </w:r>
      <w:r w:rsidRPr="004D2E1C">
        <w:rPr>
          <w:rFonts w:asciiTheme="majorHAnsi" w:hAnsiTheme="majorHAnsi"/>
          <w:sz w:val="21"/>
          <w:szCs w:val="21"/>
        </w:rPr>
        <w:t xml:space="preserve"> kushtet minimale, </w:t>
      </w:r>
      <w:r w:rsidR="0086396D">
        <w:rPr>
          <w:rFonts w:asciiTheme="majorHAnsi" w:hAnsiTheme="majorHAnsi"/>
          <w:sz w:val="21"/>
          <w:szCs w:val="21"/>
        </w:rPr>
        <w:t>granti shtesë</w:t>
      </w:r>
      <w:r w:rsidR="0086396D" w:rsidRPr="004D2E1C">
        <w:rPr>
          <w:rFonts w:asciiTheme="majorHAnsi" w:hAnsiTheme="majorHAnsi"/>
          <w:sz w:val="21"/>
          <w:szCs w:val="21"/>
        </w:rPr>
        <w:t xml:space="preserve"> </w:t>
      </w:r>
      <w:r w:rsidRPr="004D2E1C">
        <w:rPr>
          <w:rFonts w:asciiTheme="majorHAnsi" w:hAnsiTheme="majorHAnsi"/>
          <w:sz w:val="21"/>
          <w:szCs w:val="21"/>
        </w:rPr>
        <w:t xml:space="preserve">që merr secila komunë bazohet në pikët e saj relative </w:t>
      </w:r>
      <w:r w:rsidR="009147BB" w:rsidRPr="004D2E1C">
        <w:rPr>
          <w:rFonts w:asciiTheme="majorHAnsi" w:hAnsiTheme="majorHAnsi"/>
          <w:sz w:val="21"/>
          <w:szCs w:val="21"/>
        </w:rPr>
        <w:t xml:space="preserve">të arritura </w:t>
      </w:r>
      <w:r w:rsidR="000A3299">
        <w:rPr>
          <w:rFonts w:asciiTheme="majorHAnsi" w:hAnsiTheme="majorHAnsi"/>
          <w:sz w:val="21"/>
          <w:szCs w:val="21"/>
        </w:rPr>
        <w:t>në</w:t>
      </w:r>
      <w:r w:rsidRPr="004D2E1C">
        <w:rPr>
          <w:rFonts w:asciiTheme="majorHAnsi" w:hAnsiTheme="majorHAnsi"/>
          <w:sz w:val="21"/>
          <w:szCs w:val="21"/>
        </w:rPr>
        <w:t xml:space="preserve"> treguesit e </w:t>
      </w:r>
      <w:r w:rsidR="00674C44">
        <w:rPr>
          <w:rFonts w:asciiTheme="majorHAnsi" w:hAnsiTheme="majorHAnsi"/>
          <w:sz w:val="21"/>
          <w:szCs w:val="21"/>
        </w:rPr>
        <w:t>performancës komunale</w:t>
      </w:r>
      <w:r w:rsidRPr="004D2E1C">
        <w:rPr>
          <w:rFonts w:asciiTheme="majorHAnsi" w:hAnsiTheme="majorHAnsi"/>
          <w:sz w:val="21"/>
          <w:szCs w:val="21"/>
        </w:rPr>
        <w:t xml:space="preserve"> (pikët e saj në krahasim me ato të të gjitha komunave të tjera)</w:t>
      </w:r>
      <w:r w:rsidR="00BD7B9F">
        <w:rPr>
          <w:rFonts w:asciiTheme="majorHAnsi" w:hAnsiTheme="majorHAnsi"/>
          <w:sz w:val="21"/>
          <w:szCs w:val="21"/>
        </w:rPr>
        <w:t xml:space="preserve"> si dhe kritereve të tjera të formulës së alokimit, </w:t>
      </w:r>
      <w:r w:rsidR="00E233AF">
        <w:rPr>
          <w:rFonts w:asciiTheme="majorHAnsi" w:hAnsiTheme="majorHAnsi"/>
          <w:sz w:val="21"/>
          <w:szCs w:val="21"/>
        </w:rPr>
        <w:t>n</w:t>
      </w:r>
      <w:r w:rsidR="00DC0362">
        <w:rPr>
          <w:rFonts w:asciiTheme="majorHAnsi" w:hAnsiTheme="majorHAnsi"/>
          <w:sz w:val="21"/>
          <w:szCs w:val="21"/>
        </w:rPr>
        <w:t>ë</w:t>
      </w:r>
      <w:r w:rsidR="00E233AF">
        <w:rPr>
          <w:rFonts w:asciiTheme="majorHAnsi" w:hAnsiTheme="majorHAnsi"/>
          <w:sz w:val="21"/>
          <w:szCs w:val="21"/>
        </w:rPr>
        <w:t xml:space="preserve"> pajtim me nenin 30.3 t</w:t>
      </w:r>
      <w:r w:rsidR="00DC0362">
        <w:rPr>
          <w:rFonts w:asciiTheme="majorHAnsi" w:hAnsiTheme="majorHAnsi"/>
          <w:sz w:val="21"/>
          <w:szCs w:val="21"/>
        </w:rPr>
        <w:t>ë</w:t>
      </w:r>
      <w:r w:rsidR="00E233AF">
        <w:rPr>
          <w:rFonts w:asciiTheme="majorHAnsi" w:hAnsiTheme="majorHAnsi"/>
          <w:sz w:val="21"/>
          <w:szCs w:val="21"/>
        </w:rPr>
        <w:t xml:space="preserve"> Rregullores p</w:t>
      </w:r>
      <w:r w:rsidR="00DC0362">
        <w:rPr>
          <w:rFonts w:asciiTheme="majorHAnsi" w:hAnsiTheme="majorHAnsi"/>
          <w:sz w:val="21"/>
          <w:szCs w:val="21"/>
        </w:rPr>
        <w:t>ë</w:t>
      </w:r>
      <w:r w:rsidR="00E233AF">
        <w:rPr>
          <w:rFonts w:asciiTheme="majorHAnsi" w:hAnsiTheme="majorHAnsi"/>
          <w:sz w:val="21"/>
          <w:szCs w:val="21"/>
        </w:rPr>
        <w:t>r SMPK dhe p</w:t>
      </w:r>
      <w:r w:rsidR="00DC0362">
        <w:rPr>
          <w:rFonts w:asciiTheme="majorHAnsi" w:hAnsiTheme="majorHAnsi"/>
          <w:sz w:val="21"/>
          <w:szCs w:val="21"/>
        </w:rPr>
        <w:t>ë</w:t>
      </w:r>
      <w:r w:rsidR="00E233AF">
        <w:rPr>
          <w:rFonts w:asciiTheme="majorHAnsi" w:hAnsiTheme="majorHAnsi"/>
          <w:sz w:val="21"/>
          <w:szCs w:val="21"/>
        </w:rPr>
        <w:t>r skem</w:t>
      </w:r>
      <w:r w:rsidR="00DC0362">
        <w:rPr>
          <w:rFonts w:asciiTheme="majorHAnsi" w:hAnsiTheme="majorHAnsi"/>
          <w:sz w:val="21"/>
          <w:szCs w:val="21"/>
        </w:rPr>
        <w:t>ë</w:t>
      </w:r>
      <w:r w:rsidR="00E233AF">
        <w:rPr>
          <w:rFonts w:asciiTheme="majorHAnsi" w:hAnsiTheme="majorHAnsi"/>
          <w:sz w:val="21"/>
          <w:szCs w:val="21"/>
        </w:rPr>
        <w:t>n e grantit p</w:t>
      </w:r>
      <w:r w:rsidR="00DC0362">
        <w:rPr>
          <w:rFonts w:asciiTheme="majorHAnsi" w:hAnsiTheme="majorHAnsi"/>
          <w:sz w:val="21"/>
          <w:szCs w:val="21"/>
        </w:rPr>
        <w:t>ë</w:t>
      </w:r>
      <w:r w:rsidR="00E233AF">
        <w:rPr>
          <w:rFonts w:asciiTheme="majorHAnsi" w:hAnsiTheme="majorHAnsi"/>
          <w:sz w:val="21"/>
          <w:szCs w:val="21"/>
        </w:rPr>
        <w:t>r performanc</w:t>
      </w:r>
      <w:r w:rsidR="00DC0362">
        <w:rPr>
          <w:rFonts w:asciiTheme="majorHAnsi" w:hAnsiTheme="majorHAnsi"/>
          <w:sz w:val="21"/>
          <w:szCs w:val="21"/>
        </w:rPr>
        <w:t>ë</w:t>
      </w:r>
      <w:r w:rsidR="00E233AF">
        <w:rPr>
          <w:rFonts w:asciiTheme="majorHAnsi" w:hAnsiTheme="majorHAnsi"/>
          <w:sz w:val="21"/>
          <w:szCs w:val="21"/>
        </w:rPr>
        <w:t xml:space="preserve"> komunale.</w:t>
      </w:r>
    </w:p>
    <w:p w14:paraId="01689300" w14:textId="323EF925" w:rsidR="000D6CE5" w:rsidRPr="004D2E1C" w:rsidRDefault="000D6CE5" w:rsidP="07D96137">
      <w:pPr>
        <w:spacing w:before="60" w:line="264" w:lineRule="auto"/>
        <w:jc w:val="both"/>
        <w:rPr>
          <w:rFonts w:asciiTheme="majorHAnsi" w:hAnsiTheme="majorHAnsi"/>
          <w:sz w:val="21"/>
          <w:szCs w:val="21"/>
        </w:rPr>
      </w:pPr>
      <w:r w:rsidRPr="07D96137">
        <w:rPr>
          <w:rFonts w:asciiTheme="majorHAnsi" w:hAnsiTheme="majorHAnsi"/>
          <w:sz w:val="21"/>
          <w:szCs w:val="21"/>
        </w:rPr>
        <w:t>Kushtet minimale kanë për qëllim të sigurojnë që shuma në dispozicion t’</w:t>
      </w:r>
      <w:r w:rsidR="00CE2438" w:rsidRPr="07D96137">
        <w:rPr>
          <w:rFonts w:asciiTheme="majorHAnsi" w:hAnsiTheme="majorHAnsi"/>
          <w:sz w:val="21"/>
          <w:szCs w:val="21"/>
        </w:rPr>
        <w:t>i</w:t>
      </w:r>
      <w:r w:rsidRPr="07D96137">
        <w:rPr>
          <w:rFonts w:asciiTheme="majorHAnsi" w:hAnsiTheme="majorHAnsi"/>
          <w:sz w:val="21"/>
          <w:szCs w:val="21"/>
        </w:rPr>
        <w:t>u ndahet vetëm komunave që janë në gjendje t</w:t>
      </w:r>
      <w:r w:rsidR="00FC0188" w:rsidRPr="07D96137">
        <w:rPr>
          <w:rFonts w:asciiTheme="majorHAnsi" w:hAnsiTheme="majorHAnsi"/>
          <w:sz w:val="21"/>
          <w:szCs w:val="21"/>
        </w:rPr>
        <w:t>’i</w:t>
      </w:r>
      <w:r w:rsidRPr="07D96137">
        <w:rPr>
          <w:rFonts w:asciiTheme="majorHAnsi" w:hAnsiTheme="majorHAnsi"/>
          <w:sz w:val="21"/>
          <w:szCs w:val="21"/>
        </w:rPr>
        <w:t xml:space="preserve"> shfrytëzojnë </w:t>
      </w:r>
      <w:r w:rsidR="00CE2438" w:rsidRPr="07D96137">
        <w:rPr>
          <w:rFonts w:asciiTheme="majorHAnsi" w:hAnsiTheme="majorHAnsi"/>
          <w:sz w:val="21"/>
          <w:szCs w:val="21"/>
        </w:rPr>
        <w:t xml:space="preserve">me efikasitet, efektivitet dhe ekonomicitet </w:t>
      </w:r>
      <w:r w:rsidR="00FC0188" w:rsidRPr="07D96137">
        <w:rPr>
          <w:rFonts w:asciiTheme="majorHAnsi" w:hAnsiTheme="majorHAnsi"/>
          <w:sz w:val="21"/>
          <w:szCs w:val="21"/>
        </w:rPr>
        <w:t>mjetet financiare</w:t>
      </w:r>
      <w:r w:rsidR="009E0166" w:rsidRPr="07D96137">
        <w:rPr>
          <w:rFonts w:asciiTheme="majorHAnsi" w:hAnsiTheme="majorHAnsi"/>
          <w:sz w:val="21"/>
          <w:szCs w:val="21"/>
        </w:rPr>
        <w:t>; janë në gjendje</w:t>
      </w:r>
      <w:r w:rsidRPr="07D96137">
        <w:rPr>
          <w:rFonts w:asciiTheme="majorHAnsi" w:hAnsiTheme="majorHAnsi"/>
          <w:sz w:val="21"/>
          <w:szCs w:val="21"/>
        </w:rPr>
        <w:t xml:space="preserve"> t</w:t>
      </w:r>
      <w:r w:rsidR="00FC0188" w:rsidRPr="07D96137">
        <w:rPr>
          <w:rFonts w:asciiTheme="majorHAnsi" w:hAnsiTheme="majorHAnsi"/>
          <w:sz w:val="21"/>
          <w:szCs w:val="21"/>
        </w:rPr>
        <w:t>ë</w:t>
      </w:r>
      <w:r w:rsidRPr="07D96137">
        <w:rPr>
          <w:rFonts w:asciiTheme="majorHAnsi" w:hAnsiTheme="majorHAnsi"/>
          <w:sz w:val="21"/>
          <w:szCs w:val="21"/>
        </w:rPr>
        <w:t xml:space="preserve"> </w:t>
      </w:r>
      <w:r w:rsidR="00CA77D7" w:rsidRPr="07D96137">
        <w:rPr>
          <w:rFonts w:asciiTheme="majorHAnsi" w:hAnsiTheme="majorHAnsi"/>
          <w:sz w:val="21"/>
          <w:szCs w:val="21"/>
        </w:rPr>
        <w:t xml:space="preserve">absorbojnë fonde dhe </w:t>
      </w:r>
      <w:r w:rsidR="002A18DB" w:rsidRPr="07D96137">
        <w:rPr>
          <w:rFonts w:asciiTheme="majorHAnsi" w:hAnsiTheme="majorHAnsi"/>
          <w:sz w:val="21"/>
          <w:szCs w:val="21"/>
        </w:rPr>
        <w:t xml:space="preserve">t’i </w:t>
      </w:r>
      <w:r w:rsidRPr="07D96137">
        <w:rPr>
          <w:rFonts w:asciiTheme="majorHAnsi" w:hAnsiTheme="majorHAnsi"/>
          <w:sz w:val="21"/>
          <w:szCs w:val="21"/>
        </w:rPr>
        <w:t>shpenzojnë në mënyrë të përgjegjshme</w:t>
      </w:r>
      <w:r w:rsidR="009E0166" w:rsidRPr="07D96137">
        <w:rPr>
          <w:rFonts w:asciiTheme="majorHAnsi" w:hAnsiTheme="majorHAnsi"/>
          <w:sz w:val="21"/>
          <w:szCs w:val="21"/>
        </w:rPr>
        <w:t xml:space="preserve">; kanë rishikuar aktet </w:t>
      </w:r>
      <w:r w:rsidR="001137FE" w:rsidRPr="07D96137">
        <w:rPr>
          <w:rFonts w:asciiTheme="majorHAnsi" w:hAnsiTheme="majorHAnsi"/>
          <w:sz w:val="21"/>
          <w:szCs w:val="21"/>
        </w:rPr>
        <w:t>komunale</w:t>
      </w:r>
      <w:r w:rsidR="009E0166" w:rsidRPr="07D96137">
        <w:rPr>
          <w:rFonts w:asciiTheme="majorHAnsi" w:hAnsiTheme="majorHAnsi"/>
          <w:sz w:val="21"/>
          <w:szCs w:val="21"/>
        </w:rPr>
        <w:t xml:space="preserve"> </w:t>
      </w:r>
      <w:r w:rsidR="0010556E" w:rsidRPr="07D96137">
        <w:rPr>
          <w:rFonts w:asciiTheme="majorHAnsi" w:hAnsiTheme="majorHAnsi"/>
          <w:sz w:val="21"/>
          <w:szCs w:val="21"/>
        </w:rPr>
        <w:t xml:space="preserve">të vlerësuara të kundërligjshme nga </w:t>
      </w:r>
      <w:r w:rsidR="002A18DB" w:rsidRPr="07D96137">
        <w:rPr>
          <w:rFonts w:asciiTheme="majorHAnsi" w:hAnsiTheme="majorHAnsi"/>
          <w:sz w:val="21"/>
          <w:szCs w:val="21"/>
        </w:rPr>
        <w:t xml:space="preserve">autoriteti </w:t>
      </w:r>
      <w:r w:rsidR="0010556E" w:rsidRPr="07D96137">
        <w:rPr>
          <w:rFonts w:asciiTheme="majorHAnsi" w:hAnsiTheme="majorHAnsi"/>
          <w:sz w:val="21"/>
          <w:szCs w:val="21"/>
        </w:rPr>
        <w:t>mbikqyrës</w:t>
      </w:r>
      <w:r w:rsidR="4E15099E" w:rsidRPr="07D96137">
        <w:rPr>
          <w:rFonts w:asciiTheme="majorHAnsi" w:hAnsiTheme="majorHAnsi"/>
          <w:sz w:val="21"/>
          <w:szCs w:val="21"/>
        </w:rPr>
        <w:t xml:space="preserve"> dhe</w:t>
      </w:r>
      <w:r w:rsidR="00CE2438" w:rsidRPr="07D96137">
        <w:rPr>
          <w:rFonts w:asciiTheme="majorHAnsi" w:hAnsiTheme="majorHAnsi"/>
          <w:sz w:val="21"/>
          <w:szCs w:val="21"/>
        </w:rPr>
        <w:t xml:space="preserve"> </w:t>
      </w:r>
      <w:r w:rsidR="009E0166" w:rsidRPr="07D96137">
        <w:rPr>
          <w:rFonts w:asciiTheme="majorHAnsi" w:hAnsiTheme="majorHAnsi"/>
          <w:sz w:val="21"/>
          <w:szCs w:val="21"/>
        </w:rPr>
        <w:t>kan</w:t>
      </w:r>
      <w:r w:rsidR="00494E44" w:rsidRPr="07D96137">
        <w:rPr>
          <w:rFonts w:asciiTheme="majorHAnsi" w:hAnsiTheme="majorHAnsi"/>
          <w:sz w:val="21"/>
          <w:szCs w:val="21"/>
        </w:rPr>
        <w:t>ë</w:t>
      </w:r>
      <w:r w:rsidR="009E0166" w:rsidRPr="07D96137">
        <w:rPr>
          <w:rFonts w:asciiTheme="majorHAnsi" w:hAnsiTheme="majorHAnsi"/>
          <w:sz w:val="21"/>
          <w:szCs w:val="21"/>
        </w:rPr>
        <w:t xml:space="preserve"> raportuar </w:t>
      </w:r>
      <w:r w:rsidR="0010556E" w:rsidRPr="07D96137">
        <w:rPr>
          <w:rFonts w:asciiTheme="majorHAnsi" w:hAnsiTheme="majorHAnsi"/>
          <w:sz w:val="21"/>
          <w:szCs w:val="21"/>
        </w:rPr>
        <w:t xml:space="preserve">me kohë </w:t>
      </w:r>
      <w:r w:rsidR="009E0166" w:rsidRPr="07D96137">
        <w:rPr>
          <w:rFonts w:asciiTheme="majorHAnsi" w:hAnsiTheme="majorHAnsi"/>
          <w:sz w:val="21"/>
          <w:szCs w:val="21"/>
        </w:rPr>
        <w:t>n</w:t>
      </w:r>
      <w:r w:rsidR="00494E44" w:rsidRPr="07D96137">
        <w:rPr>
          <w:rFonts w:asciiTheme="majorHAnsi" w:hAnsiTheme="majorHAnsi"/>
          <w:sz w:val="21"/>
          <w:szCs w:val="21"/>
        </w:rPr>
        <w:t>ë</w:t>
      </w:r>
      <w:r w:rsidR="009E0166" w:rsidRPr="07D96137">
        <w:rPr>
          <w:rFonts w:asciiTheme="majorHAnsi" w:hAnsiTheme="majorHAnsi"/>
          <w:sz w:val="21"/>
          <w:szCs w:val="21"/>
        </w:rPr>
        <w:t xml:space="preserve"> SMPK</w:t>
      </w:r>
      <w:r w:rsidR="7A63A27D" w:rsidRPr="07D96137">
        <w:rPr>
          <w:rFonts w:asciiTheme="majorHAnsi" w:hAnsiTheme="majorHAnsi"/>
          <w:sz w:val="21"/>
          <w:szCs w:val="21"/>
        </w:rPr>
        <w:t>.</w:t>
      </w:r>
      <w:r w:rsidR="0002610E" w:rsidRPr="07D96137">
        <w:rPr>
          <w:rFonts w:asciiTheme="majorHAnsi" w:hAnsiTheme="majorHAnsi"/>
          <w:sz w:val="21"/>
          <w:szCs w:val="21"/>
        </w:rPr>
        <w:t xml:space="preserve"> </w:t>
      </w:r>
    </w:p>
    <w:p w14:paraId="23DC12FC" w14:textId="77777777" w:rsidR="000D6CE5" w:rsidRDefault="000D6CE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Treguesit e </w:t>
      </w:r>
      <w:r w:rsidR="00674C44">
        <w:rPr>
          <w:rFonts w:asciiTheme="majorHAnsi" w:hAnsiTheme="majorHAnsi"/>
          <w:sz w:val="21"/>
          <w:szCs w:val="21"/>
        </w:rPr>
        <w:t>performancës komunale</w:t>
      </w:r>
      <w:r w:rsidRPr="004D2E1C">
        <w:rPr>
          <w:rFonts w:asciiTheme="majorHAnsi" w:hAnsiTheme="majorHAnsi"/>
          <w:sz w:val="21"/>
          <w:szCs w:val="21"/>
        </w:rPr>
        <w:t xml:space="preserve"> (dhe pikët relative) kanë për qëllim të nxisin konkurrencën ndërmjet komunave për </w:t>
      </w:r>
      <w:r w:rsidR="002A18DB">
        <w:rPr>
          <w:rFonts w:asciiTheme="majorHAnsi" w:hAnsiTheme="majorHAnsi"/>
          <w:sz w:val="21"/>
          <w:szCs w:val="21"/>
        </w:rPr>
        <w:t>t</w:t>
      </w:r>
      <w:r w:rsidR="00C87181">
        <w:rPr>
          <w:rFonts w:asciiTheme="majorHAnsi" w:hAnsiTheme="majorHAnsi"/>
          <w:sz w:val="21"/>
          <w:szCs w:val="21"/>
        </w:rPr>
        <w:t>ë</w:t>
      </w:r>
      <w:r w:rsidR="002A18DB">
        <w:rPr>
          <w:rFonts w:asciiTheme="majorHAnsi" w:hAnsiTheme="majorHAnsi"/>
          <w:sz w:val="21"/>
          <w:szCs w:val="21"/>
        </w:rPr>
        <w:t xml:space="preserve"> siguruar </w:t>
      </w:r>
      <w:r w:rsidRPr="004D2E1C">
        <w:rPr>
          <w:rFonts w:asciiTheme="majorHAnsi" w:hAnsiTheme="majorHAnsi"/>
          <w:sz w:val="21"/>
          <w:szCs w:val="21"/>
        </w:rPr>
        <w:t xml:space="preserve">burime financiare shtesë, por edhe </w:t>
      </w:r>
      <w:r w:rsidR="002A18DB">
        <w:rPr>
          <w:rFonts w:asciiTheme="majorHAnsi" w:hAnsiTheme="majorHAnsi"/>
          <w:sz w:val="21"/>
          <w:szCs w:val="21"/>
        </w:rPr>
        <w:t xml:space="preserve">synimin </w:t>
      </w:r>
      <w:r w:rsidRPr="004D2E1C">
        <w:rPr>
          <w:rFonts w:asciiTheme="majorHAnsi" w:hAnsiTheme="majorHAnsi"/>
          <w:sz w:val="21"/>
          <w:szCs w:val="21"/>
        </w:rPr>
        <w:t xml:space="preserve">e të qenit ndër komunat me pikët më të larta në fushat </w:t>
      </w:r>
      <w:r w:rsidR="00FC0188">
        <w:rPr>
          <w:rFonts w:asciiTheme="majorHAnsi" w:hAnsiTheme="majorHAnsi"/>
          <w:sz w:val="21"/>
          <w:szCs w:val="21"/>
        </w:rPr>
        <w:t>kyçe</w:t>
      </w:r>
      <w:r w:rsidR="00FC0188" w:rsidRPr="004D2E1C">
        <w:rPr>
          <w:rFonts w:asciiTheme="majorHAnsi" w:hAnsiTheme="majorHAnsi"/>
          <w:sz w:val="21"/>
          <w:szCs w:val="21"/>
        </w:rPr>
        <w:t xml:space="preserve"> </w:t>
      </w:r>
      <w:r w:rsidRPr="004D2E1C">
        <w:rPr>
          <w:rFonts w:asciiTheme="majorHAnsi" w:hAnsiTheme="majorHAnsi"/>
          <w:sz w:val="21"/>
          <w:szCs w:val="21"/>
        </w:rPr>
        <w:t xml:space="preserve">të performancës. Publikimi i rezultateve të vlerësimit (dhe diskutimi publik lidhur me analizën e rezultateve të vlerësimit) është një aspekt i rëndësishëm i </w:t>
      </w:r>
      <w:r w:rsidR="00F30E9F">
        <w:rPr>
          <w:rFonts w:asciiTheme="majorHAnsi" w:hAnsiTheme="majorHAnsi"/>
          <w:sz w:val="21"/>
          <w:szCs w:val="21"/>
        </w:rPr>
        <w:t>GPK</w:t>
      </w:r>
      <w:r w:rsidR="00196040">
        <w:rPr>
          <w:rFonts w:asciiTheme="majorHAnsi" w:hAnsiTheme="majorHAnsi"/>
          <w:sz w:val="21"/>
          <w:szCs w:val="21"/>
        </w:rPr>
        <w:t>-së</w:t>
      </w:r>
      <w:r w:rsidRPr="004D2E1C">
        <w:rPr>
          <w:rFonts w:asciiTheme="majorHAnsi" w:hAnsiTheme="majorHAnsi"/>
          <w:sz w:val="21"/>
          <w:szCs w:val="21"/>
        </w:rPr>
        <w:t>.</w:t>
      </w:r>
    </w:p>
    <w:p w14:paraId="4CD118ED" w14:textId="77777777" w:rsidR="000D6CE5" w:rsidRPr="00A05BAE" w:rsidRDefault="000D6CE5" w:rsidP="00A05BAE"/>
    <w:p w14:paraId="0CB6171A" w14:textId="4A4AA844" w:rsidR="000D6CE5" w:rsidRPr="004D2E1C" w:rsidRDefault="000D6CE5" w:rsidP="000D6CE5">
      <w:pPr>
        <w:pStyle w:val="Heading1"/>
        <w:numPr>
          <w:ilvl w:val="1"/>
          <w:numId w:val="6"/>
        </w:numPr>
        <w:tabs>
          <w:tab w:val="left" w:pos="540"/>
        </w:tabs>
        <w:ind w:hanging="1800"/>
        <w:rPr>
          <w:rFonts w:asciiTheme="majorHAnsi" w:hAnsiTheme="majorHAnsi"/>
          <w:color w:val="C0504D"/>
          <w:lang w:val="sq-AL"/>
        </w:rPr>
      </w:pPr>
      <w:bookmarkStart w:id="34" w:name="_Toc61062521"/>
      <w:r w:rsidRPr="7D684930">
        <w:rPr>
          <w:rFonts w:asciiTheme="majorHAnsi" w:hAnsiTheme="majorHAnsi"/>
          <w:color w:val="C0504D" w:themeColor="accent2"/>
          <w:lang w:val="sq-AL"/>
        </w:rPr>
        <w:t>Kushtet minimale</w:t>
      </w:r>
      <w:bookmarkEnd w:id="34"/>
    </w:p>
    <w:p w14:paraId="40A0F7E4" w14:textId="77777777" w:rsidR="006F25FC" w:rsidRPr="006F25FC" w:rsidRDefault="006F25FC" w:rsidP="00363711">
      <w:pPr>
        <w:spacing w:before="60" w:line="264" w:lineRule="auto"/>
        <w:jc w:val="both"/>
        <w:rPr>
          <w:rFonts w:asciiTheme="majorHAnsi" w:hAnsiTheme="majorHAnsi"/>
          <w:sz w:val="6"/>
          <w:szCs w:val="6"/>
        </w:rPr>
      </w:pPr>
    </w:p>
    <w:p w14:paraId="7A52CF8C" w14:textId="516466F7" w:rsidR="000D6CE5" w:rsidRPr="004D2E1C" w:rsidRDefault="002B14EB" w:rsidP="00363711">
      <w:pPr>
        <w:spacing w:before="60" w:line="264" w:lineRule="auto"/>
        <w:jc w:val="both"/>
        <w:rPr>
          <w:rFonts w:asciiTheme="majorHAnsi" w:hAnsiTheme="majorHAnsi"/>
          <w:sz w:val="21"/>
          <w:szCs w:val="21"/>
        </w:rPr>
      </w:pPr>
      <w:r>
        <w:rPr>
          <w:rFonts w:asciiTheme="majorHAnsi" w:hAnsiTheme="majorHAnsi"/>
          <w:sz w:val="21"/>
          <w:szCs w:val="21"/>
        </w:rPr>
        <w:t xml:space="preserve">GPK </w:t>
      </w:r>
      <w:r w:rsidR="00DE401B">
        <w:rPr>
          <w:rFonts w:asciiTheme="majorHAnsi" w:hAnsiTheme="majorHAnsi"/>
          <w:sz w:val="21"/>
          <w:szCs w:val="21"/>
        </w:rPr>
        <w:t>p</w:t>
      </w:r>
      <w:r w:rsidR="007B7428">
        <w:rPr>
          <w:rFonts w:asciiTheme="majorHAnsi" w:hAnsiTheme="majorHAnsi"/>
          <w:sz w:val="21"/>
          <w:szCs w:val="21"/>
        </w:rPr>
        <w:t>ë</w:t>
      </w:r>
      <w:r w:rsidR="00DE401B">
        <w:rPr>
          <w:rFonts w:asciiTheme="majorHAnsi" w:hAnsiTheme="majorHAnsi"/>
          <w:sz w:val="21"/>
          <w:szCs w:val="21"/>
        </w:rPr>
        <w:t>r vitin 202</w:t>
      </w:r>
      <w:r w:rsidR="004A40F6">
        <w:rPr>
          <w:rFonts w:asciiTheme="majorHAnsi" w:hAnsiTheme="majorHAnsi"/>
          <w:sz w:val="21"/>
          <w:szCs w:val="21"/>
        </w:rPr>
        <w:t>3</w:t>
      </w:r>
      <w:r w:rsidR="00DE401B">
        <w:rPr>
          <w:rFonts w:asciiTheme="majorHAnsi" w:hAnsiTheme="majorHAnsi"/>
          <w:sz w:val="21"/>
          <w:szCs w:val="21"/>
        </w:rPr>
        <w:t xml:space="preserve"> </w:t>
      </w:r>
      <w:r>
        <w:rPr>
          <w:rFonts w:asciiTheme="majorHAnsi" w:hAnsiTheme="majorHAnsi"/>
          <w:sz w:val="21"/>
          <w:szCs w:val="21"/>
        </w:rPr>
        <w:t>p</w:t>
      </w:r>
      <w:r w:rsidRPr="004D2E1C">
        <w:rPr>
          <w:rFonts w:asciiTheme="majorHAnsi" w:hAnsiTheme="majorHAnsi"/>
          <w:sz w:val="21"/>
          <w:szCs w:val="21"/>
        </w:rPr>
        <w:t>ë</w:t>
      </w:r>
      <w:r>
        <w:rPr>
          <w:rFonts w:asciiTheme="majorHAnsi" w:hAnsiTheme="majorHAnsi"/>
          <w:sz w:val="21"/>
          <w:szCs w:val="21"/>
        </w:rPr>
        <w:t xml:space="preserve">rcakton </w:t>
      </w:r>
      <w:r w:rsidR="004A40F6">
        <w:rPr>
          <w:rFonts w:asciiTheme="majorHAnsi" w:hAnsiTheme="majorHAnsi"/>
          <w:sz w:val="21"/>
          <w:szCs w:val="21"/>
        </w:rPr>
        <w:t>kat</w:t>
      </w:r>
      <w:r w:rsidR="004A40F6" w:rsidRPr="003C6F3D">
        <w:rPr>
          <w:rFonts w:asciiTheme="majorHAnsi" w:hAnsiTheme="majorHAnsi"/>
          <w:sz w:val="21"/>
          <w:szCs w:val="21"/>
        </w:rPr>
        <w:t>ë</w:t>
      </w:r>
      <w:r w:rsidR="004A40F6">
        <w:rPr>
          <w:rFonts w:asciiTheme="majorHAnsi" w:hAnsiTheme="majorHAnsi"/>
          <w:sz w:val="21"/>
          <w:szCs w:val="21"/>
        </w:rPr>
        <w:t xml:space="preserve">r </w:t>
      </w:r>
      <w:r w:rsidR="000D6CE5" w:rsidRPr="004D2E1C">
        <w:rPr>
          <w:rFonts w:asciiTheme="majorHAnsi" w:hAnsiTheme="majorHAnsi"/>
          <w:sz w:val="21"/>
          <w:szCs w:val="21"/>
        </w:rPr>
        <w:t xml:space="preserve">kushte minimale </w:t>
      </w:r>
      <w:r w:rsidR="003C7ED2">
        <w:rPr>
          <w:rFonts w:asciiTheme="majorHAnsi" w:hAnsiTheme="majorHAnsi"/>
          <w:sz w:val="21"/>
          <w:szCs w:val="21"/>
        </w:rPr>
        <w:t>si vijon</w:t>
      </w:r>
      <w:r w:rsidR="000D6CE5" w:rsidRPr="004D2E1C">
        <w:rPr>
          <w:rFonts w:asciiTheme="majorHAnsi" w:hAnsiTheme="majorHAnsi"/>
          <w:sz w:val="21"/>
          <w:szCs w:val="21"/>
        </w:rPr>
        <w:t xml:space="preserve">: </w:t>
      </w:r>
    </w:p>
    <w:p w14:paraId="55F13960" w14:textId="5B93AFB2" w:rsidR="003C6F3D" w:rsidRDefault="003C6F3D" w:rsidP="009A3BEC">
      <w:pPr>
        <w:pStyle w:val="ListParagraph"/>
        <w:numPr>
          <w:ilvl w:val="1"/>
          <w:numId w:val="31"/>
        </w:numPr>
        <w:spacing w:after="0"/>
        <w:rPr>
          <w:rFonts w:asciiTheme="majorHAnsi" w:hAnsiTheme="majorHAnsi"/>
          <w:sz w:val="21"/>
          <w:szCs w:val="21"/>
          <w:lang w:eastAsia="en-US"/>
        </w:rPr>
      </w:pPr>
      <w:r w:rsidRPr="003C6F3D">
        <w:rPr>
          <w:rFonts w:asciiTheme="majorHAnsi" w:hAnsiTheme="majorHAnsi"/>
          <w:sz w:val="21"/>
          <w:szCs w:val="21"/>
          <w:lang w:eastAsia="en-US"/>
        </w:rPr>
        <w:t>Komunat duhet të kenë raportuar t</w:t>
      </w:r>
      <w:r w:rsidR="00C87181">
        <w:rPr>
          <w:rFonts w:asciiTheme="majorHAnsi" w:hAnsiTheme="majorHAnsi"/>
          <w:sz w:val="21"/>
          <w:szCs w:val="21"/>
          <w:lang w:eastAsia="en-US"/>
        </w:rPr>
        <w:t>ë</w:t>
      </w:r>
      <w:r w:rsidRPr="003C6F3D">
        <w:rPr>
          <w:rFonts w:asciiTheme="majorHAnsi" w:hAnsiTheme="majorHAnsi"/>
          <w:sz w:val="21"/>
          <w:szCs w:val="21"/>
          <w:lang w:eastAsia="en-US"/>
        </w:rPr>
        <w:t xml:space="preserve"> dh</w:t>
      </w:r>
      <w:r w:rsidR="00C87181">
        <w:rPr>
          <w:rFonts w:asciiTheme="majorHAnsi" w:hAnsiTheme="majorHAnsi"/>
          <w:sz w:val="21"/>
          <w:szCs w:val="21"/>
          <w:lang w:eastAsia="en-US"/>
        </w:rPr>
        <w:t>ë</w:t>
      </w:r>
      <w:r w:rsidRPr="003C6F3D">
        <w:rPr>
          <w:rFonts w:asciiTheme="majorHAnsi" w:hAnsiTheme="majorHAnsi"/>
          <w:sz w:val="21"/>
          <w:szCs w:val="21"/>
          <w:lang w:eastAsia="en-US"/>
        </w:rPr>
        <w:t xml:space="preserve">nat </w:t>
      </w:r>
      <w:r>
        <w:rPr>
          <w:rFonts w:asciiTheme="majorHAnsi" w:hAnsiTheme="majorHAnsi"/>
          <w:sz w:val="21"/>
          <w:szCs w:val="21"/>
          <w:lang w:eastAsia="en-US"/>
        </w:rPr>
        <w:t>n</w:t>
      </w:r>
      <w:r w:rsidR="00C87181">
        <w:rPr>
          <w:rFonts w:asciiTheme="majorHAnsi" w:hAnsiTheme="majorHAnsi"/>
          <w:sz w:val="21"/>
          <w:szCs w:val="21"/>
          <w:lang w:eastAsia="en-US"/>
        </w:rPr>
        <w:t>ë</w:t>
      </w:r>
      <w:r>
        <w:rPr>
          <w:rFonts w:asciiTheme="majorHAnsi" w:hAnsiTheme="majorHAnsi"/>
          <w:sz w:val="21"/>
          <w:szCs w:val="21"/>
          <w:lang w:eastAsia="en-US"/>
        </w:rPr>
        <w:t xml:space="preserve"> SMPK</w:t>
      </w:r>
      <w:r w:rsidR="00CE2438">
        <w:rPr>
          <w:rFonts w:asciiTheme="majorHAnsi" w:hAnsiTheme="majorHAnsi"/>
          <w:sz w:val="21"/>
          <w:szCs w:val="21"/>
          <w:lang w:eastAsia="en-US"/>
        </w:rPr>
        <w:t xml:space="preserve"> sipas </w:t>
      </w:r>
      <w:r w:rsidR="00CE2438" w:rsidRPr="003C6F3D">
        <w:rPr>
          <w:rFonts w:asciiTheme="majorHAnsi" w:hAnsiTheme="majorHAnsi"/>
          <w:sz w:val="21"/>
          <w:szCs w:val="21"/>
          <w:lang w:eastAsia="en-US"/>
        </w:rPr>
        <w:t>afat</w:t>
      </w:r>
      <w:r w:rsidR="00CE2438">
        <w:rPr>
          <w:rFonts w:asciiTheme="majorHAnsi" w:hAnsiTheme="majorHAnsi"/>
          <w:sz w:val="21"/>
          <w:szCs w:val="21"/>
          <w:lang w:eastAsia="en-US"/>
        </w:rPr>
        <w:t>it</w:t>
      </w:r>
      <w:r w:rsidR="00CE2438">
        <w:rPr>
          <w:rFonts w:asciiTheme="majorHAnsi" w:hAnsiTheme="majorHAnsi"/>
          <w:b/>
          <w:sz w:val="21"/>
          <w:szCs w:val="21"/>
          <w:lang w:eastAsia="en-US"/>
        </w:rPr>
        <w:t xml:space="preserve"> </w:t>
      </w:r>
      <w:r w:rsidR="00CE2438" w:rsidRPr="00D812D8">
        <w:rPr>
          <w:rFonts w:asciiTheme="majorHAnsi" w:hAnsiTheme="majorHAnsi"/>
          <w:sz w:val="21"/>
          <w:szCs w:val="21"/>
          <w:lang w:eastAsia="en-US"/>
        </w:rPr>
        <w:t>t</w:t>
      </w:r>
      <w:r w:rsidR="00BB1193">
        <w:rPr>
          <w:rFonts w:asciiTheme="majorHAnsi" w:hAnsiTheme="majorHAnsi"/>
          <w:sz w:val="21"/>
          <w:szCs w:val="21"/>
          <w:lang w:eastAsia="en-US"/>
        </w:rPr>
        <w:t>ë</w:t>
      </w:r>
      <w:r w:rsidR="00CE2438" w:rsidRPr="00D812D8">
        <w:rPr>
          <w:rFonts w:asciiTheme="majorHAnsi" w:hAnsiTheme="majorHAnsi"/>
          <w:sz w:val="21"/>
          <w:szCs w:val="21"/>
          <w:lang w:eastAsia="en-US"/>
        </w:rPr>
        <w:t xml:space="preserve"> p</w:t>
      </w:r>
      <w:r w:rsidR="00BB1193">
        <w:rPr>
          <w:rFonts w:asciiTheme="majorHAnsi" w:hAnsiTheme="majorHAnsi"/>
          <w:sz w:val="21"/>
          <w:szCs w:val="21"/>
          <w:lang w:eastAsia="en-US"/>
        </w:rPr>
        <w:t>ë</w:t>
      </w:r>
      <w:r w:rsidR="00CE2438" w:rsidRPr="00D812D8">
        <w:rPr>
          <w:rFonts w:asciiTheme="majorHAnsi" w:hAnsiTheme="majorHAnsi"/>
          <w:sz w:val="21"/>
          <w:szCs w:val="21"/>
          <w:lang w:eastAsia="en-US"/>
        </w:rPr>
        <w:t>rcaktuar</w:t>
      </w:r>
      <w:r w:rsidR="00A62F59">
        <w:rPr>
          <w:rFonts w:asciiTheme="majorHAnsi" w:hAnsiTheme="majorHAnsi"/>
          <w:sz w:val="21"/>
          <w:szCs w:val="21"/>
          <w:lang w:eastAsia="en-US"/>
        </w:rPr>
        <w:t xml:space="preserve"> n</w:t>
      </w:r>
      <w:r w:rsidR="006518E3">
        <w:rPr>
          <w:rFonts w:asciiTheme="majorHAnsi" w:hAnsiTheme="majorHAnsi"/>
          <w:sz w:val="21"/>
          <w:szCs w:val="21"/>
          <w:lang w:eastAsia="en-US"/>
        </w:rPr>
        <w:t>ë</w:t>
      </w:r>
      <w:r w:rsidR="00A62F59">
        <w:rPr>
          <w:rFonts w:asciiTheme="majorHAnsi" w:hAnsiTheme="majorHAnsi"/>
          <w:sz w:val="21"/>
          <w:szCs w:val="21"/>
          <w:lang w:eastAsia="en-US"/>
        </w:rPr>
        <w:t xml:space="preserve"> nenin 13 t</w:t>
      </w:r>
      <w:r w:rsidR="006518E3">
        <w:rPr>
          <w:rFonts w:asciiTheme="majorHAnsi" w:hAnsiTheme="majorHAnsi"/>
          <w:sz w:val="21"/>
          <w:szCs w:val="21"/>
          <w:lang w:eastAsia="en-US"/>
        </w:rPr>
        <w:t>ë</w:t>
      </w:r>
      <w:r w:rsidR="00A62F59">
        <w:rPr>
          <w:rFonts w:asciiTheme="majorHAnsi" w:hAnsiTheme="majorHAnsi"/>
          <w:sz w:val="21"/>
          <w:szCs w:val="21"/>
          <w:lang w:eastAsia="en-US"/>
        </w:rPr>
        <w:t xml:space="preserve"> Rregullores s</w:t>
      </w:r>
      <w:r w:rsidR="006518E3">
        <w:rPr>
          <w:rFonts w:asciiTheme="majorHAnsi" w:hAnsiTheme="majorHAnsi"/>
          <w:sz w:val="21"/>
          <w:szCs w:val="21"/>
          <w:lang w:eastAsia="en-US"/>
        </w:rPr>
        <w:t>ë</w:t>
      </w:r>
      <w:r w:rsidR="00A62F59">
        <w:rPr>
          <w:rFonts w:asciiTheme="majorHAnsi" w:hAnsiTheme="majorHAnsi"/>
          <w:sz w:val="21"/>
          <w:szCs w:val="21"/>
          <w:lang w:eastAsia="en-US"/>
        </w:rPr>
        <w:t xml:space="preserve"> SMPK/GPK</w:t>
      </w:r>
      <w:r w:rsidR="00A90813">
        <w:rPr>
          <w:rStyle w:val="FootnoteReference"/>
          <w:rFonts w:asciiTheme="majorHAnsi" w:hAnsiTheme="majorHAnsi"/>
          <w:sz w:val="21"/>
          <w:szCs w:val="21"/>
          <w:lang w:eastAsia="en-US"/>
        </w:rPr>
        <w:footnoteReference w:id="3"/>
      </w:r>
      <w:r w:rsidR="00A62F59">
        <w:rPr>
          <w:rFonts w:asciiTheme="majorHAnsi" w:hAnsiTheme="majorHAnsi"/>
          <w:sz w:val="21"/>
          <w:szCs w:val="21"/>
          <w:lang w:eastAsia="en-US"/>
        </w:rPr>
        <w:t>;</w:t>
      </w:r>
    </w:p>
    <w:p w14:paraId="7F044B63" w14:textId="00A2222A" w:rsidR="003B754E" w:rsidRPr="003C6F3D" w:rsidRDefault="003B754E" w:rsidP="009A3BEC">
      <w:pPr>
        <w:pStyle w:val="ListParagraph"/>
        <w:numPr>
          <w:ilvl w:val="1"/>
          <w:numId w:val="31"/>
        </w:numPr>
        <w:spacing w:after="0"/>
        <w:rPr>
          <w:rFonts w:asciiTheme="majorHAnsi" w:hAnsiTheme="majorHAnsi"/>
          <w:sz w:val="21"/>
          <w:szCs w:val="21"/>
          <w:lang w:eastAsia="en-US"/>
        </w:rPr>
      </w:pPr>
      <w:r w:rsidRPr="003B754E">
        <w:rPr>
          <w:rFonts w:asciiTheme="majorHAnsi" w:hAnsiTheme="majorHAnsi"/>
          <w:sz w:val="21"/>
          <w:szCs w:val="21"/>
          <w:lang w:eastAsia="en-US"/>
        </w:rPr>
        <w:t>Komunat duhet të kenë respektuar obligimin ligjor për të rishqyrtuar aktet komunale të vlerësuara si të kundërligjshme nga autoriteti mbikëqyrës</w:t>
      </w:r>
      <w:r w:rsidRPr="003B754E">
        <w:rPr>
          <w:rFonts w:asciiTheme="majorHAnsi" w:hAnsiTheme="majorHAnsi"/>
          <w:sz w:val="21"/>
          <w:szCs w:val="21"/>
          <w:vertAlign w:val="superscript"/>
          <w:lang w:eastAsia="en-US"/>
        </w:rPr>
        <w:footnoteReference w:id="4"/>
      </w:r>
      <w:r w:rsidRPr="003B754E">
        <w:rPr>
          <w:rFonts w:asciiTheme="majorHAnsi" w:hAnsiTheme="majorHAnsi"/>
          <w:sz w:val="21"/>
          <w:szCs w:val="21"/>
          <w:lang w:eastAsia="en-US"/>
        </w:rPr>
        <w:t>;</w:t>
      </w:r>
    </w:p>
    <w:p w14:paraId="18B1BCAC" w14:textId="518F29AD" w:rsidR="000D6CE5" w:rsidRPr="004D2E1C" w:rsidRDefault="000D6CE5" w:rsidP="07D96137">
      <w:pPr>
        <w:numPr>
          <w:ilvl w:val="1"/>
          <w:numId w:val="31"/>
        </w:numPr>
        <w:spacing w:line="264" w:lineRule="auto"/>
        <w:jc w:val="both"/>
        <w:rPr>
          <w:rFonts w:asciiTheme="majorHAnsi" w:hAnsiTheme="majorHAnsi"/>
          <w:sz w:val="21"/>
          <w:szCs w:val="21"/>
        </w:rPr>
      </w:pPr>
      <w:r w:rsidRPr="07D96137">
        <w:rPr>
          <w:rFonts w:asciiTheme="majorHAnsi" w:hAnsiTheme="majorHAnsi"/>
          <w:sz w:val="21"/>
          <w:szCs w:val="21"/>
        </w:rPr>
        <w:t>Opinioni i auditimit duhet të jetë të paktën i pamodifikuar</w:t>
      </w:r>
      <w:r w:rsidR="00FC0188" w:rsidRPr="07D96137">
        <w:rPr>
          <w:rFonts w:asciiTheme="majorHAnsi" w:hAnsiTheme="majorHAnsi"/>
          <w:sz w:val="21"/>
          <w:szCs w:val="21"/>
        </w:rPr>
        <w:t xml:space="preserve"> me theksim të çështjes</w:t>
      </w:r>
      <w:r w:rsidRPr="07D96137">
        <w:rPr>
          <w:rFonts w:asciiTheme="majorHAnsi" w:hAnsiTheme="majorHAnsi"/>
          <w:i/>
          <w:iCs/>
          <w:sz w:val="21"/>
          <w:szCs w:val="21"/>
        </w:rPr>
        <w:t>;</w:t>
      </w:r>
      <w:r w:rsidR="6F5E15DC" w:rsidRPr="07D96137">
        <w:rPr>
          <w:rFonts w:asciiTheme="majorHAnsi" w:hAnsiTheme="majorHAnsi"/>
          <w:i/>
          <w:iCs/>
          <w:sz w:val="21"/>
          <w:szCs w:val="21"/>
        </w:rPr>
        <w:t xml:space="preserve"> </w:t>
      </w:r>
      <w:r w:rsidR="6F5E15DC" w:rsidRPr="00852D64">
        <w:rPr>
          <w:rFonts w:asciiTheme="majorHAnsi" w:hAnsiTheme="majorHAnsi"/>
          <w:sz w:val="21"/>
          <w:szCs w:val="21"/>
        </w:rPr>
        <w:t>dhe</w:t>
      </w:r>
    </w:p>
    <w:p w14:paraId="759FC44F" w14:textId="7DE52930" w:rsidR="00881DAC" w:rsidRPr="00881DAC" w:rsidRDefault="000D6CE5" w:rsidP="07D96137">
      <w:pPr>
        <w:numPr>
          <w:ilvl w:val="1"/>
          <w:numId w:val="31"/>
        </w:numPr>
        <w:spacing w:line="264" w:lineRule="auto"/>
        <w:jc w:val="both"/>
        <w:rPr>
          <w:rFonts w:asciiTheme="majorHAnsi" w:hAnsiTheme="majorHAnsi"/>
          <w:sz w:val="21"/>
          <w:szCs w:val="21"/>
        </w:rPr>
      </w:pPr>
      <w:r w:rsidRPr="07D96137">
        <w:rPr>
          <w:rFonts w:asciiTheme="majorHAnsi" w:hAnsiTheme="majorHAnsi"/>
          <w:sz w:val="21"/>
          <w:szCs w:val="21"/>
        </w:rPr>
        <w:t xml:space="preserve">Komunat duhet të kenë shpenzuar 75% ose më tepër të </w:t>
      </w:r>
      <w:r w:rsidR="00FC0188" w:rsidRPr="07D96137">
        <w:rPr>
          <w:rFonts w:asciiTheme="majorHAnsi" w:hAnsiTheme="majorHAnsi"/>
          <w:sz w:val="21"/>
          <w:szCs w:val="21"/>
        </w:rPr>
        <w:t>buxhetit</w:t>
      </w:r>
      <w:r w:rsidR="00E65AE4" w:rsidRPr="07D96137">
        <w:rPr>
          <w:rFonts w:asciiTheme="majorHAnsi" w:hAnsiTheme="majorHAnsi"/>
          <w:sz w:val="21"/>
          <w:szCs w:val="21"/>
        </w:rPr>
        <w:t xml:space="preserve"> final</w:t>
      </w:r>
      <w:r w:rsidR="00FC0188" w:rsidRPr="07D96137">
        <w:rPr>
          <w:rFonts w:asciiTheme="majorHAnsi" w:hAnsiTheme="majorHAnsi"/>
          <w:sz w:val="21"/>
          <w:szCs w:val="21"/>
        </w:rPr>
        <w:t xml:space="preserve"> për </w:t>
      </w:r>
      <w:r w:rsidRPr="07D96137">
        <w:rPr>
          <w:rFonts w:asciiTheme="majorHAnsi" w:hAnsiTheme="majorHAnsi"/>
          <w:sz w:val="21"/>
          <w:szCs w:val="21"/>
        </w:rPr>
        <w:t>investime kapitale</w:t>
      </w:r>
      <w:r w:rsidR="5A945FC0" w:rsidRPr="07D96137">
        <w:rPr>
          <w:rFonts w:asciiTheme="majorHAnsi" w:hAnsiTheme="majorHAnsi"/>
          <w:sz w:val="21"/>
          <w:szCs w:val="21"/>
        </w:rPr>
        <w:t>.</w:t>
      </w:r>
    </w:p>
    <w:p w14:paraId="2BEA7F6E" w14:textId="4973AFE8" w:rsidR="000D6CE5" w:rsidRPr="004D2E1C" w:rsidRDefault="00DE401B" w:rsidP="00363711">
      <w:pPr>
        <w:spacing w:before="60" w:line="264" w:lineRule="auto"/>
        <w:jc w:val="both"/>
        <w:rPr>
          <w:rFonts w:asciiTheme="majorHAnsi" w:hAnsiTheme="majorHAnsi"/>
          <w:sz w:val="21"/>
          <w:szCs w:val="21"/>
        </w:rPr>
      </w:pPr>
      <w:r>
        <w:rPr>
          <w:rFonts w:asciiTheme="majorHAnsi" w:hAnsiTheme="majorHAnsi"/>
          <w:sz w:val="21"/>
          <w:szCs w:val="21"/>
        </w:rPr>
        <w:t>Prandaj, k</w:t>
      </w:r>
      <w:r w:rsidRPr="004D2E1C">
        <w:rPr>
          <w:rFonts w:asciiTheme="majorHAnsi" w:hAnsiTheme="majorHAnsi"/>
          <w:sz w:val="21"/>
          <w:szCs w:val="21"/>
        </w:rPr>
        <w:t xml:space="preserve">omunat </w:t>
      </w:r>
      <w:r w:rsidR="000D6CE5" w:rsidRPr="004D2E1C">
        <w:rPr>
          <w:rFonts w:asciiTheme="majorHAnsi" w:hAnsiTheme="majorHAnsi"/>
          <w:sz w:val="21"/>
          <w:szCs w:val="21"/>
        </w:rPr>
        <w:t xml:space="preserve">të cilat </w:t>
      </w:r>
      <w:r w:rsidR="00A12560">
        <w:rPr>
          <w:rFonts w:asciiTheme="majorHAnsi" w:hAnsiTheme="majorHAnsi"/>
          <w:sz w:val="21"/>
          <w:szCs w:val="21"/>
        </w:rPr>
        <w:t xml:space="preserve">nuk </w:t>
      </w:r>
      <w:r w:rsidR="00ED139B">
        <w:rPr>
          <w:rFonts w:asciiTheme="majorHAnsi" w:hAnsiTheme="majorHAnsi"/>
          <w:sz w:val="21"/>
          <w:szCs w:val="21"/>
        </w:rPr>
        <w:t xml:space="preserve">arrijnë të </w:t>
      </w:r>
      <w:r w:rsidR="00E57F25">
        <w:rPr>
          <w:rFonts w:asciiTheme="majorHAnsi" w:hAnsiTheme="majorHAnsi"/>
          <w:sz w:val="21"/>
          <w:szCs w:val="21"/>
        </w:rPr>
        <w:t>p</w:t>
      </w:r>
      <w:r w:rsidR="00C87181">
        <w:rPr>
          <w:rFonts w:asciiTheme="majorHAnsi" w:hAnsiTheme="majorHAnsi"/>
          <w:sz w:val="21"/>
          <w:szCs w:val="21"/>
        </w:rPr>
        <w:t>ë</w:t>
      </w:r>
      <w:r w:rsidR="00E57F25">
        <w:rPr>
          <w:rFonts w:asciiTheme="majorHAnsi" w:hAnsiTheme="majorHAnsi"/>
          <w:sz w:val="21"/>
          <w:szCs w:val="21"/>
        </w:rPr>
        <w:t xml:space="preserve">rmbushin </w:t>
      </w:r>
      <w:r w:rsidR="004A40F6">
        <w:rPr>
          <w:rFonts w:asciiTheme="majorHAnsi" w:hAnsiTheme="majorHAnsi"/>
          <w:sz w:val="21"/>
          <w:szCs w:val="21"/>
        </w:rPr>
        <w:t xml:space="preserve">cilindo nga </w:t>
      </w:r>
      <w:r w:rsidR="003B754E">
        <w:rPr>
          <w:rFonts w:asciiTheme="majorHAnsi" w:hAnsiTheme="majorHAnsi"/>
          <w:sz w:val="21"/>
          <w:szCs w:val="21"/>
        </w:rPr>
        <w:t>katër</w:t>
      </w:r>
      <w:r w:rsidR="00E57F25">
        <w:rPr>
          <w:rFonts w:asciiTheme="majorHAnsi" w:hAnsiTheme="majorHAnsi"/>
          <w:sz w:val="21"/>
          <w:szCs w:val="21"/>
        </w:rPr>
        <w:t xml:space="preserve"> </w:t>
      </w:r>
      <w:r w:rsidR="004A40F6">
        <w:rPr>
          <w:rFonts w:asciiTheme="majorHAnsi" w:hAnsiTheme="majorHAnsi"/>
          <w:sz w:val="21"/>
          <w:szCs w:val="21"/>
        </w:rPr>
        <w:t xml:space="preserve">kushtet </w:t>
      </w:r>
      <w:r w:rsidR="00E57F25">
        <w:rPr>
          <w:rFonts w:asciiTheme="majorHAnsi" w:hAnsiTheme="majorHAnsi"/>
          <w:sz w:val="21"/>
          <w:szCs w:val="21"/>
        </w:rPr>
        <w:t>e m</w:t>
      </w:r>
      <w:r w:rsidR="00C87181">
        <w:rPr>
          <w:rFonts w:asciiTheme="majorHAnsi" w:hAnsiTheme="majorHAnsi"/>
          <w:sz w:val="21"/>
          <w:szCs w:val="21"/>
        </w:rPr>
        <w:t>ë</w:t>
      </w:r>
      <w:r w:rsidR="00E57F25">
        <w:rPr>
          <w:rFonts w:asciiTheme="majorHAnsi" w:hAnsiTheme="majorHAnsi"/>
          <w:sz w:val="21"/>
          <w:szCs w:val="21"/>
        </w:rPr>
        <w:t>sip</w:t>
      </w:r>
      <w:r w:rsidR="00C87181">
        <w:rPr>
          <w:rFonts w:asciiTheme="majorHAnsi" w:hAnsiTheme="majorHAnsi"/>
          <w:sz w:val="21"/>
          <w:szCs w:val="21"/>
        </w:rPr>
        <w:t>ë</w:t>
      </w:r>
      <w:r w:rsidR="00E57F25">
        <w:rPr>
          <w:rFonts w:asciiTheme="majorHAnsi" w:hAnsiTheme="majorHAnsi"/>
          <w:sz w:val="21"/>
          <w:szCs w:val="21"/>
        </w:rPr>
        <w:t>rme, nuk mund t</w:t>
      </w:r>
      <w:r w:rsidR="00C87181">
        <w:rPr>
          <w:rFonts w:asciiTheme="majorHAnsi" w:hAnsiTheme="majorHAnsi"/>
          <w:sz w:val="21"/>
          <w:szCs w:val="21"/>
        </w:rPr>
        <w:t>ë</w:t>
      </w:r>
      <w:r w:rsidR="00C3393D">
        <w:rPr>
          <w:rFonts w:asciiTheme="majorHAnsi" w:hAnsiTheme="majorHAnsi"/>
          <w:sz w:val="21"/>
          <w:szCs w:val="21"/>
        </w:rPr>
        <w:t xml:space="preserve"> p</w:t>
      </w:r>
      <w:r w:rsidR="00C3393D" w:rsidRPr="003C6F3D">
        <w:rPr>
          <w:rFonts w:asciiTheme="majorHAnsi" w:hAnsiTheme="majorHAnsi"/>
          <w:sz w:val="21"/>
          <w:szCs w:val="21"/>
        </w:rPr>
        <w:t>ë</w:t>
      </w:r>
      <w:r w:rsidR="00C3393D">
        <w:rPr>
          <w:rFonts w:asciiTheme="majorHAnsi" w:hAnsiTheme="majorHAnsi"/>
          <w:sz w:val="21"/>
          <w:szCs w:val="21"/>
        </w:rPr>
        <w:t>rfitojn</w:t>
      </w:r>
      <w:r w:rsidR="00C3393D" w:rsidRPr="003C6F3D">
        <w:rPr>
          <w:rFonts w:asciiTheme="majorHAnsi" w:hAnsiTheme="majorHAnsi"/>
          <w:sz w:val="21"/>
          <w:szCs w:val="21"/>
        </w:rPr>
        <w:t>ë</w:t>
      </w:r>
      <w:r w:rsidR="00C3393D">
        <w:rPr>
          <w:rFonts w:asciiTheme="majorHAnsi" w:hAnsiTheme="majorHAnsi"/>
          <w:sz w:val="21"/>
          <w:szCs w:val="21"/>
        </w:rPr>
        <w:t xml:space="preserve"> nga </w:t>
      </w:r>
      <w:r w:rsidR="00E57F25">
        <w:rPr>
          <w:rFonts w:asciiTheme="majorHAnsi" w:hAnsiTheme="majorHAnsi"/>
          <w:sz w:val="21"/>
          <w:szCs w:val="21"/>
        </w:rPr>
        <w:t xml:space="preserve">granti </w:t>
      </w:r>
      <w:r w:rsidR="00C3393D">
        <w:rPr>
          <w:rFonts w:asciiTheme="majorHAnsi" w:hAnsiTheme="majorHAnsi"/>
          <w:sz w:val="21"/>
          <w:szCs w:val="21"/>
        </w:rPr>
        <w:t>i</w:t>
      </w:r>
      <w:r w:rsidR="00E57F25">
        <w:rPr>
          <w:rFonts w:asciiTheme="majorHAnsi" w:hAnsiTheme="majorHAnsi"/>
          <w:sz w:val="21"/>
          <w:szCs w:val="21"/>
        </w:rPr>
        <w:t xml:space="preserve"> performanc</w:t>
      </w:r>
      <w:r w:rsidR="00C87181">
        <w:rPr>
          <w:rFonts w:asciiTheme="majorHAnsi" w:hAnsiTheme="majorHAnsi"/>
          <w:sz w:val="21"/>
          <w:szCs w:val="21"/>
        </w:rPr>
        <w:t>ë</w:t>
      </w:r>
      <w:r w:rsidR="00E57F25">
        <w:rPr>
          <w:rFonts w:asciiTheme="majorHAnsi" w:hAnsiTheme="majorHAnsi"/>
          <w:sz w:val="21"/>
          <w:szCs w:val="21"/>
        </w:rPr>
        <w:t xml:space="preserve">s komunale. </w:t>
      </w:r>
    </w:p>
    <w:p w14:paraId="5E2764F1" w14:textId="77777777" w:rsidR="000D6CE5" w:rsidRPr="004D2E1C" w:rsidRDefault="005B04C3" w:rsidP="00363711">
      <w:pPr>
        <w:spacing w:before="60" w:line="264" w:lineRule="auto"/>
        <w:jc w:val="both"/>
        <w:rPr>
          <w:rFonts w:asciiTheme="majorHAnsi" w:hAnsiTheme="majorHAnsi"/>
          <w:sz w:val="21"/>
          <w:szCs w:val="21"/>
        </w:rPr>
      </w:pPr>
      <w:r w:rsidRPr="004D2E1C">
        <w:rPr>
          <w:rFonts w:asciiTheme="majorHAnsi" w:hAnsiTheme="majorHAnsi"/>
          <w:sz w:val="21"/>
          <w:szCs w:val="21"/>
        </w:rPr>
        <w:t>Arsyetimi</w:t>
      </w:r>
      <w:r w:rsidR="000D6CE5" w:rsidRPr="004D2E1C">
        <w:rPr>
          <w:rFonts w:asciiTheme="majorHAnsi" w:hAnsiTheme="majorHAnsi"/>
          <w:sz w:val="21"/>
          <w:szCs w:val="21"/>
        </w:rPr>
        <w:t xml:space="preserve"> i kushteve minimale është që:</w:t>
      </w:r>
    </w:p>
    <w:p w14:paraId="2858646B" w14:textId="7630463F" w:rsidR="00881DAC" w:rsidRDefault="00881DAC" w:rsidP="009A3BEC">
      <w:pPr>
        <w:pStyle w:val="ListParagraph"/>
        <w:numPr>
          <w:ilvl w:val="0"/>
          <w:numId w:val="16"/>
        </w:numPr>
        <w:spacing w:after="0" w:line="264" w:lineRule="auto"/>
        <w:jc w:val="both"/>
        <w:rPr>
          <w:rFonts w:asciiTheme="majorHAnsi" w:hAnsiTheme="majorHAnsi"/>
          <w:sz w:val="21"/>
          <w:szCs w:val="21"/>
        </w:rPr>
      </w:pPr>
      <w:r>
        <w:rPr>
          <w:rFonts w:asciiTheme="majorHAnsi" w:hAnsiTheme="majorHAnsi"/>
          <w:sz w:val="21"/>
          <w:szCs w:val="21"/>
        </w:rPr>
        <w:t>Komunat</w:t>
      </w:r>
      <w:r w:rsidRPr="00353350">
        <w:rPr>
          <w:rFonts w:asciiTheme="majorHAnsi" w:hAnsiTheme="majorHAnsi"/>
          <w:sz w:val="21"/>
          <w:szCs w:val="21"/>
        </w:rPr>
        <w:t xml:space="preserve"> duhet </w:t>
      </w:r>
      <w:r w:rsidR="00ED139B">
        <w:rPr>
          <w:rFonts w:asciiTheme="majorHAnsi" w:hAnsiTheme="majorHAnsi"/>
          <w:sz w:val="21"/>
          <w:szCs w:val="21"/>
        </w:rPr>
        <w:t>t</w:t>
      </w:r>
      <w:r w:rsidR="00BB1193">
        <w:rPr>
          <w:rFonts w:asciiTheme="majorHAnsi" w:hAnsiTheme="majorHAnsi"/>
          <w:sz w:val="21"/>
          <w:szCs w:val="21"/>
        </w:rPr>
        <w:t>ë</w:t>
      </w:r>
      <w:r w:rsidR="00ED139B">
        <w:rPr>
          <w:rFonts w:asciiTheme="majorHAnsi" w:hAnsiTheme="majorHAnsi"/>
          <w:sz w:val="21"/>
          <w:szCs w:val="21"/>
        </w:rPr>
        <w:t xml:space="preserve"> ken</w:t>
      </w:r>
      <w:r w:rsidR="00BB1193">
        <w:rPr>
          <w:rFonts w:asciiTheme="majorHAnsi" w:hAnsiTheme="majorHAnsi"/>
          <w:sz w:val="21"/>
          <w:szCs w:val="21"/>
        </w:rPr>
        <w:t>ë</w:t>
      </w:r>
      <w:r w:rsidR="00ED139B">
        <w:rPr>
          <w:rFonts w:asciiTheme="majorHAnsi" w:hAnsiTheme="majorHAnsi"/>
          <w:sz w:val="21"/>
          <w:szCs w:val="21"/>
        </w:rPr>
        <w:t xml:space="preserve"> raportuar </w:t>
      </w:r>
      <w:r w:rsidRPr="00353350">
        <w:rPr>
          <w:rFonts w:asciiTheme="majorHAnsi" w:hAnsiTheme="majorHAnsi"/>
          <w:sz w:val="21"/>
          <w:szCs w:val="21"/>
        </w:rPr>
        <w:t xml:space="preserve">të dhënat </w:t>
      </w:r>
      <w:r w:rsidR="00F24B3E">
        <w:rPr>
          <w:rFonts w:asciiTheme="majorHAnsi" w:hAnsiTheme="majorHAnsi"/>
          <w:sz w:val="21"/>
          <w:szCs w:val="21"/>
        </w:rPr>
        <w:t xml:space="preserve">në SMPK </w:t>
      </w:r>
      <w:r w:rsidR="00ED139B">
        <w:rPr>
          <w:rFonts w:asciiTheme="majorHAnsi" w:hAnsiTheme="majorHAnsi"/>
          <w:sz w:val="21"/>
          <w:szCs w:val="21"/>
        </w:rPr>
        <w:t>p</w:t>
      </w:r>
      <w:r w:rsidR="00BB1193">
        <w:rPr>
          <w:rFonts w:asciiTheme="majorHAnsi" w:hAnsiTheme="majorHAnsi"/>
          <w:sz w:val="21"/>
          <w:szCs w:val="21"/>
        </w:rPr>
        <w:t>ë</w:t>
      </w:r>
      <w:r w:rsidR="00ED139B">
        <w:rPr>
          <w:rFonts w:asciiTheme="majorHAnsi" w:hAnsiTheme="majorHAnsi"/>
          <w:sz w:val="21"/>
          <w:szCs w:val="21"/>
        </w:rPr>
        <w:t>r performanc</w:t>
      </w:r>
      <w:r w:rsidR="00BB1193">
        <w:rPr>
          <w:rFonts w:asciiTheme="majorHAnsi" w:hAnsiTheme="majorHAnsi"/>
          <w:sz w:val="21"/>
          <w:szCs w:val="21"/>
        </w:rPr>
        <w:t>ë</w:t>
      </w:r>
      <w:r w:rsidR="00ED139B">
        <w:rPr>
          <w:rFonts w:asciiTheme="majorHAnsi" w:hAnsiTheme="majorHAnsi"/>
          <w:sz w:val="21"/>
          <w:szCs w:val="21"/>
        </w:rPr>
        <w:t xml:space="preserve">n e vitit </w:t>
      </w:r>
      <w:r w:rsidR="657CFBFE" w:rsidRPr="799B2072">
        <w:rPr>
          <w:rFonts w:asciiTheme="majorHAnsi" w:hAnsiTheme="majorHAnsi"/>
          <w:sz w:val="21"/>
          <w:szCs w:val="21"/>
        </w:rPr>
        <w:t>20</w:t>
      </w:r>
      <w:r w:rsidR="5F037FCC" w:rsidRPr="799B2072">
        <w:rPr>
          <w:rFonts w:asciiTheme="majorHAnsi" w:hAnsiTheme="majorHAnsi"/>
          <w:sz w:val="21"/>
          <w:szCs w:val="21"/>
        </w:rPr>
        <w:t>2</w:t>
      </w:r>
      <w:r w:rsidR="00C3393D">
        <w:rPr>
          <w:rFonts w:asciiTheme="majorHAnsi" w:hAnsiTheme="majorHAnsi"/>
          <w:sz w:val="21"/>
          <w:szCs w:val="21"/>
        </w:rPr>
        <w:t>1</w:t>
      </w:r>
      <w:r w:rsidR="00ED139B">
        <w:rPr>
          <w:rFonts w:asciiTheme="majorHAnsi" w:hAnsiTheme="majorHAnsi"/>
          <w:sz w:val="21"/>
          <w:szCs w:val="21"/>
        </w:rPr>
        <w:t xml:space="preserve">, </w:t>
      </w:r>
      <w:r w:rsidR="00F24B3E">
        <w:rPr>
          <w:rFonts w:asciiTheme="majorHAnsi" w:hAnsiTheme="majorHAnsi"/>
          <w:sz w:val="21"/>
          <w:szCs w:val="21"/>
        </w:rPr>
        <w:t>sipas afatit të paraparë</w:t>
      </w:r>
      <w:r w:rsidR="00ED139B">
        <w:rPr>
          <w:rFonts w:asciiTheme="majorHAnsi" w:hAnsiTheme="majorHAnsi"/>
          <w:sz w:val="21"/>
          <w:szCs w:val="21"/>
        </w:rPr>
        <w:t xml:space="preserve">. </w:t>
      </w:r>
    </w:p>
    <w:p w14:paraId="10A83032" w14:textId="3503DF77" w:rsidR="003B754E" w:rsidRPr="003B5AB6" w:rsidRDefault="003B754E" w:rsidP="003B754E">
      <w:pPr>
        <w:pStyle w:val="ListParagraph"/>
        <w:numPr>
          <w:ilvl w:val="0"/>
          <w:numId w:val="16"/>
        </w:numPr>
        <w:spacing w:after="0" w:line="264" w:lineRule="auto"/>
        <w:jc w:val="both"/>
        <w:rPr>
          <w:lang w:val="en-GB"/>
        </w:rPr>
      </w:pPr>
      <w:r w:rsidRPr="000D370F">
        <w:rPr>
          <w:rFonts w:asciiTheme="majorHAnsi" w:hAnsiTheme="majorHAnsi"/>
          <w:sz w:val="21"/>
          <w:szCs w:val="21"/>
        </w:rPr>
        <w:t>Granti do t’iu jepet atyre komunave që e kanë respektuar obligimin ligjor për t’i rishqyrtuar aktet komunale të vlerësuara si të kundërligjshme në vitin 20</w:t>
      </w:r>
      <w:r>
        <w:rPr>
          <w:rFonts w:asciiTheme="majorHAnsi" w:hAnsiTheme="majorHAnsi"/>
          <w:sz w:val="21"/>
          <w:szCs w:val="21"/>
        </w:rPr>
        <w:t>2</w:t>
      </w:r>
      <w:r w:rsidR="00C3393D">
        <w:rPr>
          <w:rFonts w:asciiTheme="majorHAnsi" w:hAnsiTheme="majorHAnsi"/>
          <w:sz w:val="21"/>
          <w:szCs w:val="21"/>
        </w:rPr>
        <w:t>1</w:t>
      </w:r>
      <w:r w:rsidRPr="000D370F">
        <w:rPr>
          <w:rFonts w:asciiTheme="majorHAnsi" w:hAnsiTheme="majorHAnsi"/>
          <w:sz w:val="21"/>
          <w:szCs w:val="21"/>
        </w:rPr>
        <w:t>, nga autoriteti mbikëqyrës</w:t>
      </w:r>
      <w:r>
        <w:rPr>
          <w:rStyle w:val="FootnoteReference"/>
          <w:rFonts w:asciiTheme="majorHAnsi" w:hAnsiTheme="majorHAnsi"/>
          <w:sz w:val="21"/>
          <w:szCs w:val="21"/>
        </w:rPr>
        <w:footnoteReference w:id="5"/>
      </w:r>
      <w:r w:rsidRPr="000D370F">
        <w:rPr>
          <w:rFonts w:asciiTheme="majorHAnsi" w:hAnsiTheme="majorHAnsi"/>
          <w:sz w:val="21"/>
          <w:szCs w:val="21"/>
        </w:rPr>
        <w:t xml:space="preserve">. </w:t>
      </w:r>
    </w:p>
    <w:p w14:paraId="464AB9DF" w14:textId="70A0A661" w:rsidR="000D6CE5" w:rsidRPr="004D2E1C" w:rsidRDefault="000D6CE5" w:rsidP="009A3BEC">
      <w:pPr>
        <w:pStyle w:val="ListParagraph"/>
        <w:numPr>
          <w:ilvl w:val="0"/>
          <w:numId w:val="16"/>
        </w:numPr>
        <w:spacing w:after="0" w:line="264" w:lineRule="auto"/>
        <w:ind w:left="1077" w:hanging="357"/>
        <w:jc w:val="both"/>
        <w:rPr>
          <w:rFonts w:asciiTheme="majorHAnsi" w:hAnsiTheme="majorHAnsi"/>
          <w:sz w:val="21"/>
          <w:szCs w:val="21"/>
        </w:rPr>
      </w:pPr>
      <w:r w:rsidRPr="004D2E1C">
        <w:rPr>
          <w:rFonts w:asciiTheme="majorHAnsi" w:hAnsiTheme="majorHAnsi"/>
          <w:sz w:val="21"/>
          <w:szCs w:val="21"/>
        </w:rPr>
        <w:t>Për t</w:t>
      </w:r>
      <w:r w:rsidR="00FC0188">
        <w:rPr>
          <w:rFonts w:asciiTheme="majorHAnsi" w:hAnsiTheme="majorHAnsi"/>
          <w:sz w:val="21"/>
          <w:szCs w:val="21"/>
        </w:rPr>
        <w:t>ë</w:t>
      </w:r>
      <w:r w:rsidRPr="004D2E1C">
        <w:rPr>
          <w:rFonts w:asciiTheme="majorHAnsi" w:hAnsiTheme="majorHAnsi"/>
          <w:sz w:val="21"/>
          <w:szCs w:val="21"/>
        </w:rPr>
        <w:t xml:space="preserve"> marrë grantin, komunat duhet të kenë sistem </w:t>
      </w:r>
      <w:r w:rsidR="005B04C3" w:rsidRPr="004D2E1C">
        <w:rPr>
          <w:rFonts w:asciiTheme="majorHAnsi" w:hAnsiTheme="majorHAnsi"/>
          <w:sz w:val="21"/>
          <w:szCs w:val="21"/>
        </w:rPr>
        <w:t>për menaxhim</w:t>
      </w:r>
      <w:r w:rsidRPr="004D2E1C">
        <w:rPr>
          <w:rFonts w:asciiTheme="majorHAnsi" w:hAnsiTheme="majorHAnsi"/>
          <w:sz w:val="21"/>
          <w:szCs w:val="21"/>
        </w:rPr>
        <w:t xml:space="preserve"> financiar mjaftueshëm të shëndosh</w:t>
      </w:r>
      <w:r w:rsidR="00FC0188">
        <w:rPr>
          <w:rFonts w:asciiTheme="majorHAnsi" w:hAnsiTheme="majorHAnsi"/>
          <w:sz w:val="21"/>
          <w:szCs w:val="21"/>
        </w:rPr>
        <w:t>ë,</w:t>
      </w:r>
      <w:r w:rsidRPr="004D2E1C">
        <w:rPr>
          <w:rFonts w:asciiTheme="majorHAnsi" w:hAnsiTheme="majorHAnsi"/>
          <w:sz w:val="21"/>
          <w:szCs w:val="21"/>
        </w:rPr>
        <w:t xml:space="preserve"> siç dëshmohet nga </w:t>
      </w:r>
      <w:r w:rsidR="00BC44C7" w:rsidRPr="004D2E1C">
        <w:rPr>
          <w:rFonts w:asciiTheme="majorHAnsi" w:hAnsiTheme="majorHAnsi"/>
          <w:sz w:val="21"/>
          <w:szCs w:val="21"/>
        </w:rPr>
        <w:t>raport</w:t>
      </w:r>
      <w:r w:rsidR="00BC44C7">
        <w:rPr>
          <w:rFonts w:asciiTheme="majorHAnsi" w:hAnsiTheme="majorHAnsi"/>
          <w:sz w:val="21"/>
          <w:szCs w:val="21"/>
        </w:rPr>
        <w:t>et</w:t>
      </w:r>
      <w:r w:rsidR="00BC44C7" w:rsidRPr="004D2E1C">
        <w:rPr>
          <w:rFonts w:asciiTheme="majorHAnsi" w:hAnsiTheme="majorHAnsi"/>
          <w:sz w:val="21"/>
          <w:szCs w:val="21"/>
        </w:rPr>
        <w:t xml:space="preserve">  </w:t>
      </w:r>
      <w:r w:rsidR="00BC44C7">
        <w:rPr>
          <w:rFonts w:asciiTheme="majorHAnsi" w:hAnsiTheme="majorHAnsi"/>
          <w:sz w:val="21"/>
          <w:szCs w:val="21"/>
        </w:rPr>
        <w:t>individuale t</w:t>
      </w:r>
      <w:r w:rsidR="00BB1193">
        <w:rPr>
          <w:rFonts w:asciiTheme="majorHAnsi" w:hAnsiTheme="majorHAnsi"/>
          <w:sz w:val="21"/>
          <w:szCs w:val="21"/>
        </w:rPr>
        <w:t>ë</w:t>
      </w:r>
      <w:r w:rsidR="00BC44C7">
        <w:rPr>
          <w:rFonts w:asciiTheme="majorHAnsi" w:hAnsiTheme="majorHAnsi"/>
          <w:sz w:val="21"/>
          <w:szCs w:val="21"/>
        </w:rPr>
        <w:t xml:space="preserve"> </w:t>
      </w:r>
      <w:r w:rsidR="00FC0188" w:rsidRPr="004D2E1C">
        <w:rPr>
          <w:rFonts w:asciiTheme="majorHAnsi" w:hAnsiTheme="majorHAnsi"/>
          <w:sz w:val="21"/>
          <w:szCs w:val="21"/>
        </w:rPr>
        <w:t>auditimit</w:t>
      </w:r>
      <w:r w:rsidRPr="004D2E1C">
        <w:rPr>
          <w:rFonts w:asciiTheme="majorHAnsi" w:hAnsiTheme="majorHAnsi"/>
          <w:sz w:val="21"/>
          <w:szCs w:val="21"/>
        </w:rPr>
        <w:t xml:space="preserve"> </w:t>
      </w:r>
      <w:r w:rsidR="001909CA">
        <w:rPr>
          <w:rFonts w:asciiTheme="majorHAnsi" w:hAnsiTheme="majorHAnsi"/>
          <w:sz w:val="21"/>
          <w:szCs w:val="21"/>
        </w:rPr>
        <w:t>t</w:t>
      </w:r>
      <w:r w:rsidR="00C87181">
        <w:rPr>
          <w:rFonts w:asciiTheme="majorHAnsi" w:hAnsiTheme="majorHAnsi"/>
          <w:sz w:val="21"/>
          <w:szCs w:val="21"/>
        </w:rPr>
        <w:t>ë</w:t>
      </w:r>
      <w:r w:rsidR="001909CA">
        <w:rPr>
          <w:rFonts w:asciiTheme="majorHAnsi" w:hAnsiTheme="majorHAnsi"/>
          <w:sz w:val="21"/>
          <w:szCs w:val="21"/>
        </w:rPr>
        <w:t xml:space="preserve"> rregullsis</w:t>
      </w:r>
      <w:r w:rsidR="00C87181">
        <w:rPr>
          <w:rFonts w:asciiTheme="majorHAnsi" w:hAnsiTheme="majorHAnsi"/>
          <w:sz w:val="21"/>
          <w:szCs w:val="21"/>
        </w:rPr>
        <w:t>ë</w:t>
      </w:r>
      <w:r w:rsidR="001909CA">
        <w:rPr>
          <w:rFonts w:asciiTheme="majorHAnsi" w:hAnsiTheme="majorHAnsi"/>
          <w:sz w:val="21"/>
          <w:szCs w:val="21"/>
        </w:rPr>
        <w:t xml:space="preserve"> </w:t>
      </w:r>
      <w:r w:rsidR="00BC44C7">
        <w:rPr>
          <w:rFonts w:asciiTheme="majorHAnsi" w:hAnsiTheme="majorHAnsi"/>
          <w:sz w:val="21"/>
          <w:szCs w:val="21"/>
        </w:rPr>
        <w:t>p</w:t>
      </w:r>
      <w:r w:rsidR="00BB1193">
        <w:rPr>
          <w:rFonts w:asciiTheme="majorHAnsi" w:hAnsiTheme="majorHAnsi"/>
          <w:sz w:val="21"/>
          <w:szCs w:val="21"/>
        </w:rPr>
        <w:t>ë</w:t>
      </w:r>
      <w:r w:rsidR="00BC44C7">
        <w:rPr>
          <w:rFonts w:asciiTheme="majorHAnsi" w:hAnsiTheme="majorHAnsi"/>
          <w:sz w:val="21"/>
          <w:szCs w:val="21"/>
        </w:rPr>
        <w:t xml:space="preserve">r vitin </w:t>
      </w:r>
      <w:r w:rsidR="73750F39" w:rsidRPr="799B2072">
        <w:rPr>
          <w:rFonts w:asciiTheme="majorHAnsi" w:hAnsiTheme="majorHAnsi"/>
          <w:sz w:val="21"/>
          <w:szCs w:val="21"/>
        </w:rPr>
        <w:t>20</w:t>
      </w:r>
      <w:r w:rsidR="2E9A1242" w:rsidRPr="799B2072">
        <w:rPr>
          <w:rFonts w:asciiTheme="majorHAnsi" w:hAnsiTheme="majorHAnsi"/>
          <w:sz w:val="21"/>
          <w:szCs w:val="21"/>
        </w:rPr>
        <w:t>2</w:t>
      </w:r>
      <w:r w:rsidR="00C3393D">
        <w:rPr>
          <w:rFonts w:asciiTheme="majorHAnsi" w:hAnsiTheme="majorHAnsi"/>
          <w:sz w:val="21"/>
          <w:szCs w:val="21"/>
        </w:rPr>
        <w:t>1</w:t>
      </w:r>
      <w:r w:rsidR="45075895" w:rsidRPr="7D684930">
        <w:rPr>
          <w:rFonts w:asciiTheme="majorHAnsi" w:hAnsiTheme="majorHAnsi"/>
          <w:sz w:val="21"/>
          <w:szCs w:val="21"/>
        </w:rPr>
        <w:t>,</w:t>
      </w:r>
      <w:r w:rsidR="00BC44C7">
        <w:rPr>
          <w:rFonts w:asciiTheme="majorHAnsi" w:hAnsiTheme="majorHAnsi"/>
          <w:sz w:val="21"/>
          <w:szCs w:val="21"/>
        </w:rPr>
        <w:t xml:space="preserve"> t</w:t>
      </w:r>
      <w:r w:rsidR="00BB1193">
        <w:rPr>
          <w:rFonts w:asciiTheme="majorHAnsi" w:hAnsiTheme="majorHAnsi"/>
          <w:sz w:val="21"/>
          <w:szCs w:val="21"/>
        </w:rPr>
        <w:t>ë</w:t>
      </w:r>
      <w:r w:rsidR="001909CA">
        <w:rPr>
          <w:rFonts w:asciiTheme="majorHAnsi" w:hAnsiTheme="majorHAnsi"/>
          <w:sz w:val="21"/>
          <w:szCs w:val="21"/>
        </w:rPr>
        <w:t xml:space="preserve"> publikuar</w:t>
      </w:r>
      <w:r w:rsidR="00BC44C7">
        <w:rPr>
          <w:rFonts w:asciiTheme="majorHAnsi" w:hAnsiTheme="majorHAnsi"/>
          <w:sz w:val="21"/>
          <w:szCs w:val="21"/>
        </w:rPr>
        <w:t>a</w:t>
      </w:r>
      <w:r w:rsidR="001909CA">
        <w:rPr>
          <w:rFonts w:asciiTheme="majorHAnsi" w:hAnsiTheme="majorHAnsi"/>
          <w:sz w:val="21"/>
          <w:szCs w:val="21"/>
        </w:rPr>
        <w:t xml:space="preserve"> nga ZKA</w:t>
      </w:r>
      <w:r w:rsidR="00FC0188">
        <w:rPr>
          <w:rFonts w:asciiTheme="majorHAnsi" w:hAnsiTheme="majorHAnsi"/>
          <w:sz w:val="21"/>
          <w:szCs w:val="21"/>
        </w:rPr>
        <w:t>;</w:t>
      </w:r>
      <w:r w:rsidR="6A8F94C9" w:rsidRPr="719F2906">
        <w:rPr>
          <w:rFonts w:asciiTheme="majorHAnsi" w:hAnsiTheme="majorHAnsi"/>
          <w:sz w:val="21"/>
          <w:szCs w:val="21"/>
        </w:rPr>
        <w:t xml:space="preserve"> dhe</w:t>
      </w:r>
    </w:p>
    <w:p w14:paraId="25DA7B56" w14:textId="7DB5D8B9" w:rsidR="000D6CE5" w:rsidRPr="00AC7EB6" w:rsidRDefault="000D6CE5" w:rsidP="00CD55EA">
      <w:pPr>
        <w:pStyle w:val="ListParagraph"/>
        <w:numPr>
          <w:ilvl w:val="0"/>
          <w:numId w:val="16"/>
        </w:numPr>
        <w:spacing w:before="20" w:after="0" w:line="264" w:lineRule="auto"/>
        <w:ind w:left="1077" w:hanging="357"/>
        <w:jc w:val="both"/>
        <w:rPr>
          <w:rFonts w:asciiTheme="majorHAnsi" w:hAnsiTheme="majorHAnsi"/>
          <w:sz w:val="21"/>
          <w:szCs w:val="21"/>
        </w:rPr>
      </w:pPr>
      <w:r w:rsidRPr="00AC7EB6">
        <w:rPr>
          <w:rFonts w:asciiTheme="majorHAnsi" w:hAnsiTheme="majorHAnsi"/>
          <w:sz w:val="21"/>
          <w:szCs w:val="21"/>
        </w:rPr>
        <w:t>Granti do t’</w:t>
      </w:r>
      <w:r w:rsidR="00BC44C7" w:rsidRPr="00AC7EB6">
        <w:rPr>
          <w:rFonts w:asciiTheme="majorHAnsi" w:hAnsiTheme="majorHAnsi"/>
          <w:sz w:val="21"/>
          <w:szCs w:val="21"/>
        </w:rPr>
        <w:t>i</w:t>
      </w:r>
      <w:r w:rsidRPr="00C3393D">
        <w:rPr>
          <w:rFonts w:asciiTheme="majorHAnsi" w:hAnsiTheme="majorHAnsi"/>
          <w:sz w:val="21"/>
          <w:szCs w:val="21"/>
        </w:rPr>
        <w:t>u jepet vetëm atyre komunave që kanë dëshmuar se kanë kapacitete të mjaftueshme për të absorbuar fondet shtesë</w:t>
      </w:r>
      <w:r w:rsidR="00FC0188" w:rsidRPr="00C3393D">
        <w:rPr>
          <w:rFonts w:asciiTheme="majorHAnsi" w:hAnsiTheme="majorHAnsi"/>
          <w:sz w:val="21"/>
          <w:szCs w:val="21"/>
        </w:rPr>
        <w:t>,</w:t>
      </w:r>
      <w:r w:rsidRPr="00C3393D">
        <w:rPr>
          <w:rFonts w:asciiTheme="majorHAnsi" w:hAnsiTheme="majorHAnsi"/>
          <w:sz w:val="21"/>
          <w:szCs w:val="21"/>
        </w:rPr>
        <w:t xml:space="preserve"> siç tregohet nga shkalla e</w:t>
      </w:r>
      <w:r w:rsidR="009E0166" w:rsidRPr="00C3393D">
        <w:rPr>
          <w:rFonts w:asciiTheme="majorHAnsi" w:hAnsiTheme="majorHAnsi"/>
          <w:sz w:val="21"/>
          <w:szCs w:val="21"/>
        </w:rPr>
        <w:t xml:space="preserve"> shpenzimit të buxhetit </w:t>
      </w:r>
      <w:r w:rsidR="00E65AE4" w:rsidRPr="00C3393D">
        <w:rPr>
          <w:rFonts w:asciiTheme="majorHAnsi" w:hAnsiTheme="majorHAnsi"/>
          <w:sz w:val="21"/>
          <w:szCs w:val="21"/>
        </w:rPr>
        <w:lastRenderedPageBreak/>
        <w:t xml:space="preserve">final për investime </w:t>
      </w:r>
      <w:r w:rsidR="009E0166" w:rsidRPr="00C3393D">
        <w:rPr>
          <w:rFonts w:asciiTheme="majorHAnsi" w:hAnsiTheme="majorHAnsi"/>
          <w:sz w:val="21"/>
          <w:szCs w:val="21"/>
        </w:rPr>
        <w:t>kapital</w:t>
      </w:r>
      <w:r w:rsidR="00E65AE4" w:rsidRPr="00C3393D">
        <w:rPr>
          <w:rFonts w:asciiTheme="majorHAnsi" w:hAnsiTheme="majorHAnsi"/>
          <w:sz w:val="21"/>
          <w:szCs w:val="21"/>
        </w:rPr>
        <w:t>e</w:t>
      </w:r>
      <w:r w:rsidR="0011570D" w:rsidRPr="00C3393D">
        <w:rPr>
          <w:rFonts w:asciiTheme="majorHAnsi" w:hAnsiTheme="majorHAnsi"/>
          <w:sz w:val="21"/>
          <w:szCs w:val="21"/>
        </w:rPr>
        <w:t xml:space="preserve"> n</w:t>
      </w:r>
      <w:r w:rsidR="00BB1193" w:rsidRPr="00C3393D">
        <w:rPr>
          <w:rFonts w:asciiTheme="majorHAnsi" w:hAnsiTheme="majorHAnsi"/>
          <w:sz w:val="21"/>
          <w:szCs w:val="21"/>
        </w:rPr>
        <w:t>ë</w:t>
      </w:r>
      <w:r w:rsidR="0011570D" w:rsidRPr="00C3393D">
        <w:rPr>
          <w:rFonts w:asciiTheme="majorHAnsi" w:hAnsiTheme="majorHAnsi"/>
          <w:sz w:val="21"/>
          <w:szCs w:val="21"/>
        </w:rPr>
        <w:t xml:space="preserve"> </w:t>
      </w:r>
      <w:r w:rsidR="00BC44C7" w:rsidRPr="00C3393D">
        <w:rPr>
          <w:rFonts w:asciiTheme="majorHAnsi" w:hAnsiTheme="majorHAnsi"/>
          <w:sz w:val="21"/>
          <w:szCs w:val="21"/>
        </w:rPr>
        <w:t>raportet individuale t</w:t>
      </w:r>
      <w:r w:rsidR="00BB1193" w:rsidRPr="00C3393D">
        <w:rPr>
          <w:rFonts w:asciiTheme="majorHAnsi" w:hAnsiTheme="majorHAnsi"/>
          <w:sz w:val="21"/>
          <w:szCs w:val="21"/>
        </w:rPr>
        <w:t>ë</w:t>
      </w:r>
      <w:r w:rsidR="00BC44C7" w:rsidRPr="00C3393D">
        <w:rPr>
          <w:rFonts w:asciiTheme="majorHAnsi" w:hAnsiTheme="majorHAnsi"/>
          <w:sz w:val="21"/>
          <w:szCs w:val="21"/>
        </w:rPr>
        <w:t xml:space="preserve"> auditimit të rregullsisë p</w:t>
      </w:r>
      <w:r w:rsidR="00BB1193" w:rsidRPr="00C3393D">
        <w:rPr>
          <w:rFonts w:asciiTheme="majorHAnsi" w:hAnsiTheme="majorHAnsi"/>
          <w:sz w:val="21"/>
          <w:szCs w:val="21"/>
        </w:rPr>
        <w:t>ë</w:t>
      </w:r>
      <w:r w:rsidR="00BC44C7" w:rsidRPr="00C3393D">
        <w:rPr>
          <w:rFonts w:asciiTheme="majorHAnsi" w:hAnsiTheme="majorHAnsi"/>
          <w:sz w:val="21"/>
          <w:szCs w:val="21"/>
        </w:rPr>
        <w:t>r vitin 20</w:t>
      </w:r>
      <w:r w:rsidR="6CE81206" w:rsidRPr="00C3393D">
        <w:rPr>
          <w:rFonts w:asciiTheme="majorHAnsi" w:hAnsiTheme="majorHAnsi"/>
          <w:sz w:val="21"/>
          <w:szCs w:val="21"/>
        </w:rPr>
        <w:t>2</w:t>
      </w:r>
      <w:r w:rsidR="00C3393D" w:rsidRPr="00C3393D">
        <w:rPr>
          <w:rFonts w:asciiTheme="majorHAnsi" w:hAnsiTheme="majorHAnsi"/>
          <w:sz w:val="21"/>
          <w:szCs w:val="21"/>
        </w:rPr>
        <w:t>1</w:t>
      </w:r>
      <w:r w:rsidR="00BC44C7" w:rsidRPr="00C3393D">
        <w:rPr>
          <w:rFonts w:asciiTheme="majorHAnsi" w:hAnsiTheme="majorHAnsi"/>
          <w:sz w:val="21"/>
          <w:szCs w:val="21"/>
        </w:rPr>
        <w:t>, t</w:t>
      </w:r>
      <w:r w:rsidR="00BB1193" w:rsidRPr="00C3393D">
        <w:rPr>
          <w:rFonts w:asciiTheme="majorHAnsi" w:hAnsiTheme="majorHAnsi"/>
          <w:sz w:val="21"/>
          <w:szCs w:val="21"/>
        </w:rPr>
        <w:t>ë</w:t>
      </w:r>
      <w:r w:rsidR="00BC44C7" w:rsidRPr="00C3393D">
        <w:rPr>
          <w:rFonts w:asciiTheme="majorHAnsi" w:hAnsiTheme="majorHAnsi"/>
          <w:sz w:val="21"/>
          <w:szCs w:val="21"/>
        </w:rPr>
        <w:t xml:space="preserve"> publikuara nga ZKA</w:t>
      </w:r>
      <w:r w:rsidR="1AADF9C9" w:rsidRPr="00C3393D">
        <w:rPr>
          <w:rFonts w:asciiTheme="majorHAnsi" w:hAnsiTheme="majorHAnsi"/>
          <w:sz w:val="21"/>
          <w:szCs w:val="21"/>
        </w:rPr>
        <w:t xml:space="preserve">. </w:t>
      </w:r>
    </w:p>
    <w:p w14:paraId="49BA5899" w14:textId="3A6A5E21" w:rsidR="000D6CE5" w:rsidRDefault="000D6CE5" w:rsidP="00363711">
      <w:pPr>
        <w:spacing w:before="60" w:line="264" w:lineRule="auto"/>
        <w:jc w:val="both"/>
        <w:rPr>
          <w:rFonts w:asciiTheme="majorHAnsi" w:hAnsiTheme="majorHAnsi"/>
          <w:sz w:val="21"/>
          <w:szCs w:val="21"/>
        </w:rPr>
      </w:pPr>
      <w:r w:rsidRPr="004D2E1C">
        <w:rPr>
          <w:rFonts w:asciiTheme="majorHAnsi" w:hAnsiTheme="majorHAnsi"/>
          <w:sz w:val="21"/>
          <w:szCs w:val="21"/>
        </w:rPr>
        <w:t>T</w:t>
      </w:r>
      <w:r w:rsidR="00353350">
        <w:rPr>
          <w:rFonts w:asciiTheme="majorHAnsi" w:hAnsiTheme="majorHAnsi"/>
          <w:sz w:val="21"/>
          <w:szCs w:val="21"/>
        </w:rPr>
        <w:t xml:space="preserve">ë </w:t>
      </w:r>
      <w:r w:rsidR="003B754E">
        <w:rPr>
          <w:rFonts w:asciiTheme="majorHAnsi" w:hAnsiTheme="majorHAnsi"/>
          <w:sz w:val="21"/>
          <w:szCs w:val="21"/>
        </w:rPr>
        <w:t xml:space="preserve">katër </w:t>
      </w:r>
      <w:r w:rsidRPr="004D2E1C">
        <w:rPr>
          <w:rFonts w:asciiTheme="majorHAnsi" w:hAnsiTheme="majorHAnsi"/>
          <w:sz w:val="21"/>
          <w:szCs w:val="21"/>
        </w:rPr>
        <w:t>kushte</w:t>
      </w:r>
      <w:r w:rsidR="008F0086">
        <w:rPr>
          <w:rFonts w:asciiTheme="majorHAnsi" w:hAnsiTheme="majorHAnsi"/>
          <w:sz w:val="21"/>
          <w:szCs w:val="21"/>
        </w:rPr>
        <w:t>t</w:t>
      </w:r>
      <w:r w:rsidRPr="004D2E1C">
        <w:rPr>
          <w:rFonts w:asciiTheme="majorHAnsi" w:hAnsiTheme="majorHAnsi"/>
          <w:sz w:val="21"/>
          <w:szCs w:val="21"/>
        </w:rPr>
        <w:t xml:space="preserve"> minimale duhet të plotësohen para se komuna të </w:t>
      </w:r>
      <w:r w:rsidR="005B04C3" w:rsidRPr="004D2E1C">
        <w:rPr>
          <w:rFonts w:asciiTheme="majorHAnsi" w:hAnsiTheme="majorHAnsi"/>
          <w:sz w:val="21"/>
          <w:szCs w:val="21"/>
        </w:rPr>
        <w:t>kualifikohet</w:t>
      </w:r>
      <w:r w:rsidRPr="004D2E1C">
        <w:rPr>
          <w:rFonts w:asciiTheme="majorHAnsi" w:hAnsiTheme="majorHAnsi"/>
          <w:sz w:val="21"/>
          <w:szCs w:val="21"/>
        </w:rPr>
        <w:t xml:space="preserve"> për </w:t>
      </w:r>
      <w:r w:rsidR="00CD3797" w:rsidRPr="004D2E1C">
        <w:rPr>
          <w:rFonts w:asciiTheme="majorHAnsi" w:hAnsiTheme="majorHAnsi"/>
          <w:sz w:val="21"/>
          <w:szCs w:val="21"/>
        </w:rPr>
        <w:t>granti</w:t>
      </w:r>
      <w:r w:rsidR="00CD3797">
        <w:rPr>
          <w:rFonts w:asciiTheme="majorHAnsi" w:hAnsiTheme="majorHAnsi"/>
          <w:sz w:val="21"/>
          <w:szCs w:val="21"/>
        </w:rPr>
        <w:t>n</w:t>
      </w:r>
      <w:r w:rsidR="00CD3797" w:rsidRPr="004D2E1C">
        <w:rPr>
          <w:rFonts w:asciiTheme="majorHAnsi" w:hAnsiTheme="majorHAnsi"/>
          <w:sz w:val="21"/>
          <w:szCs w:val="21"/>
        </w:rPr>
        <w:t xml:space="preserve"> </w:t>
      </w:r>
      <w:r w:rsidR="00CD3797">
        <w:rPr>
          <w:rFonts w:asciiTheme="majorHAnsi" w:hAnsiTheme="majorHAnsi"/>
          <w:sz w:val="21"/>
          <w:szCs w:val="21"/>
        </w:rPr>
        <w:t>e</w:t>
      </w:r>
      <w:r w:rsidR="00CD3797" w:rsidRPr="004D2E1C">
        <w:rPr>
          <w:rFonts w:asciiTheme="majorHAnsi" w:hAnsiTheme="majorHAnsi"/>
          <w:sz w:val="21"/>
          <w:szCs w:val="21"/>
        </w:rPr>
        <w:t xml:space="preserve"> </w:t>
      </w:r>
      <w:r w:rsidR="00674C44">
        <w:rPr>
          <w:rFonts w:asciiTheme="majorHAnsi" w:hAnsiTheme="majorHAnsi"/>
          <w:sz w:val="21"/>
          <w:szCs w:val="21"/>
        </w:rPr>
        <w:t>performancës komunale</w:t>
      </w:r>
      <w:r w:rsidRPr="004D2E1C">
        <w:rPr>
          <w:rFonts w:asciiTheme="majorHAnsi" w:hAnsiTheme="majorHAnsi"/>
          <w:sz w:val="21"/>
          <w:szCs w:val="21"/>
        </w:rPr>
        <w:t>. Shtojca 3 jep shabllonin për t’i komunikuar secilës komunë rezultatet e vlerësimit të kushteve minimale</w:t>
      </w:r>
      <w:r w:rsidR="003B5AB6">
        <w:rPr>
          <w:rFonts w:asciiTheme="majorHAnsi" w:hAnsiTheme="majorHAnsi"/>
          <w:sz w:val="21"/>
          <w:szCs w:val="21"/>
        </w:rPr>
        <w:t>.</w:t>
      </w:r>
    </w:p>
    <w:p w14:paraId="0CE5D4EE" w14:textId="1DA9E372" w:rsidR="00110D1D" w:rsidRDefault="00110D1D" w:rsidP="00363711">
      <w:pPr>
        <w:spacing w:before="60" w:line="264" w:lineRule="auto"/>
        <w:jc w:val="both"/>
        <w:rPr>
          <w:rFonts w:asciiTheme="majorHAnsi" w:hAnsiTheme="majorHAnsi"/>
          <w:sz w:val="21"/>
          <w:szCs w:val="21"/>
        </w:rPr>
      </w:pPr>
      <w:r>
        <w:rPr>
          <w:rFonts w:asciiTheme="majorHAnsi" w:hAnsiTheme="majorHAnsi"/>
          <w:sz w:val="21"/>
          <w:szCs w:val="21"/>
        </w:rPr>
        <w:t>Burimet e t</w:t>
      </w:r>
      <w:r w:rsidR="00C87181">
        <w:rPr>
          <w:rFonts w:asciiTheme="majorHAnsi" w:hAnsiTheme="majorHAnsi"/>
          <w:sz w:val="21"/>
          <w:szCs w:val="21"/>
        </w:rPr>
        <w:t>ë</w:t>
      </w:r>
      <w:r>
        <w:rPr>
          <w:rFonts w:asciiTheme="majorHAnsi" w:hAnsiTheme="majorHAnsi"/>
          <w:sz w:val="21"/>
          <w:szCs w:val="21"/>
        </w:rPr>
        <w:t xml:space="preserve"> dh</w:t>
      </w:r>
      <w:r w:rsidR="00C87181">
        <w:rPr>
          <w:rFonts w:asciiTheme="majorHAnsi" w:hAnsiTheme="majorHAnsi"/>
          <w:sz w:val="21"/>
          <w:szCs w:val="21"/>
        </w:rPr>
        <w:t>ë</w:t>
      </w:r>
      <w:r>
        <w:rPr>
          <w:rFonts w:asciiTheme="majorHAnsi" w:hAnsiTheme="majorHAnsi"/>
          <w:sz w:val="21"/>
          <w:szCs w:val="21"/>
        </w:rPr>
        <w:t>nave p</w:t>
      </w:r>
      <w:r w:rsidR="00C87181">
        <w:rPr>
          <w:rFonts w:asciiTheme="majorHAnsi" w:hAnsiTheme="majorHAnsi"/>
          <w:sz w:val="21"/>
          <w:szCs w:val="21"/>
        </w:rPr>
        <w:t>ë</w:t>
      </w:r>
      <w:r>
        <w:rPr>
          <w:rFonts w:asciiTheme="majorHAnsi" w:hAnsiTheme="majorHAnsi"/>
          <w:sz w:val="21"/>
          <w:szCs w:val="21"/>
        </w:rPr>
        <w:t xml:space="preserve">r </w:t>
      </w:r>
      <w:r w:rsidR="003B754E">
        <w:rPr>
          <w:rFonts w:asciiTheme="majorHAnsi" w:hAnsiTheme="majorHAnsi"/>
          <w:sz w:val="21"/>
          <w:szCs w:val="21"/>
        </w:rPr>
        <w:t xml:space="preserve">katër </w:t>
      </w:r>
      <w:r>
        <w:rPr>
          <w:rFonts w:asciiTheme="majorHAnsi" w:hAnsiTheme="majorHAnsi"/>
          <w:sz w:val="21"/>
          <w:szCs w:val="21"/>
        </w:rPr>
        <w:t>kushtet minimale jan</w:t>
      </w:r>
      <w:r w:rsidR="00C87181">
        <w:rPr>
          <w:rFonts w:asciiTheme="majorHAnsi" w:hAnsiTheme="majorHAnsi"/>
          <w:sz w:val="21"/>
          <w:szCs w:val="21"/>
        </w:rPr>
        <w:t>ë</w:t>
      </w:r>
      <w:r>
        <w:rPr>
          <w:rFonts w:asciiTheme="majorHAnsi" w:hAnsiTheme="majorHAnsi"/>
          <w:sz w:val="21"/>
          <w:szCs w:val="21"/>
        </w:rPr>
        <w:t xml:space="preserve"> p</w:t>
      </w:r>
      <w:r w:rsidR="00C87181">
        <w:rPr>
          <w:rFonts w:asciiTheme="majorHAnsi" w:hAnsiTheme="majorHAnsi"/>
          <w:sz w:val="21"/>
          <w:szCs w:val="21"/>
        </w:rPr>
        <w:t>ë</w:t>
      </w:r>
      <w:r>
        <w:rPr>
          <w:rFonts w:asciiTheme="majorHAnsi" w:hAnsiTheme="majorHAnsi"/>
          <w:sz w:val="21"/>
          <w:szCs w:val="21"/>
        </w:rPr>
        <w:t>rcaktuar n</w:t>
      </w:r>
      <w:r w:rsidR="00C87181">
        <w:rPr>
          <w:rFonts w:asciiTheme="majorHAnsi" w:hAnsiTheme="majorHAnsi"/>
          <w:sz w:val="21"/>
          <w:szCs w:val="21"/>
        </w:rPr>
        <w:t>ë</w:t>
      </w:r>
      <w:r>
        <w:rPr>
          <w:rFonts w:asciiTheme="majorHAnsi" w:hAnsiTheme="majorHAnsi"/>
          <w:sz w:val="21"/>
          <w:szCs w:val="21"/>
        </w:rPr>
        <w:t xml:space="preserve"> shtojc</w:t>
      </w:r>
      <w:r w:rsidR="00C87181">
        <w:rPr>
          <w:rFonts w:asciiTheme="majorHAnsi" w:hAnsiTheme="majorHAnsi"/>
          <w:sz w:val="21"/>
          <w:szCs w:val="21"/>
        </w:rPr>
        <w:t>ë</w:t>
      </w:r>
      <w:r>
        <w:rPr>
          <w:rFonts w:asciiTheme="majorHAnsi" w:hAnsiTheme="majorHAnsi"/>
          <w:sz w:val="21"/>
          <w:szCs w:val="21"/>
        </w:rPr>
        <w:t>n</w:t>
      </w:r>
      <w:r w:rsidR="0096291B">
        <w:rPr>
          <w:rFonts w:asciiTheme="majorHAnsi" w:hAnsiTheme="majorHAnsi"/>
          <w:sz w:val="21"/>
          <w:szCs w:val="21"/>
        </w:rPr>
        <w:t xml:space="preserve"> 1 t</w:t>
      </w:r>
      <w:r w:rsidR="00C87181">
        <w:rPr>
          <w:rFonts w:asciiTheme="majorHAnsi" w:hAnsiTheme="majorHAnsi"/>
          <w:sz w:val="21"/>
          <w:szCs w:val="21"/>
        </w:rPr>
        <w:t>ë</w:t>
      </w:r>
      <w:r w:rsidR="0096291B">
        <w:rPr>
          <w:rFonts w:asciiTheme="majorHAnsi" w:hAnsiTheme="majorHAnsi"/>
          <w:sz w:val="21"/>
          <w:szCs w:val="21"/>
        </w:rPr>
        <w:t xml:space="preserve"> k</w:t>
      </w:r>
      <w:r w:rsidR="00C87181">
        <w:rPr>
          <w:rFonts w:asciiTheme="majorHAnsi" w:hAnsiTheme="majorHAnsi"/>
          <w:sz w:val="21"/>
          <w:szCs w:val="21"/>
        </w:rPr>
        <w:t>ë</w:t>
      </w:r>
      <w:r w:rsidR="0096291B">
        <w:rPr>
          <w:rFonts w:asciiTheme="majorHAnsi" w:hAnsiTheme="majorHAnsi"/>
          <w:sz w:val="21"/>
          <w:szCs w:val="21"/>
        </w:rPr>
        <w:t xml:space="preserve">tyre rregullave. </w:t>
      </w:r>
    </w:p>
    <w:p w14:paraId="68265ECA" w14:textId="77777777" w:rsidR="003A4F9A" w:rsidRPr="004D2E1C" w:rsidRDefault="003A4F9A" w:rsidP="00363711">
      <w:pPr>
        <w:spacing w:before="60" w:line="264" w:lineRule="auto"/>
        <w:jc w:val="both"/>
        <w:rPr>
          <w:rFonts w:asciiTheme="majorHAnsi" w:hAnsiTheme="majorHAnsi"/>
          <w:sz w:val="21"/>
          <w:szCs w:val="21"/>
        </w:rPr>
      </w:pPr>
    </w:p>
    <w:p w14:paraId="230F4B4B" w14:textId="2ADE366F" w:rsidR="00CD79F5" w:rsidRPr="004D2E1C" w:rsidRDefault="00CD79F5" w:rsidP="00CD79F5">
      <w:pPr>
        <w:pStyle w:val="Heading1"/>
        <w:numPr>
          <w:ilvl w:val="1"/>
          <w:numId w:val="6"/>
        </w:numPr>
        <w:tabs>
          <w:tab w:val="left" w:pos="540"/>
        </w:tabs>
        <w:ind w:hanging="1800"/>
        <w:rPr>
          <w:rFonts w:asciiTheme="majorHAnsi" w:hAnsiTheme="majorHAnsi"/>
          <w:color w:val="C0504D"/>
          <w:lang w:val="sq-AL"/>
        </w:rPr>
      </w:pPr>
      <w:bookmarkStart w:id="35" w:name="_Toc61062522"/>
      <w:r w:rsidRPr="7D684930">
        <w:rPr>
          <w:rFonts w:asciiTheme="majorHAnsi" w:hAnsiTheme="majorHAnsi"/>
          <w:color w:val="C0504D" w:themeColor="accent2"/>
          <w:lang w:val="sq-AL"/>
        </w:rPr>
        <w:t xml:space="preserve">Treguesit e </w:t>
      </w:r>
      <w:r w:rsidR="00674C44" w:rsidRPr="7D684930">
        <w:rPr>
          <w:rFonts w:asciiTheme="majorHAnsi" w:hAnsiTheme="majorHAnsi"/>
          <w:color w:val="C0504D" w:themeColor="accent2"/>
          <w:lang w:val="sq-AL"/>
        </w:rPr>
        <w:t>performancës komunale</w:t>
      </w:r>
      <w:bookmarkEnd w:id="35"/>
      <w:r w:rsidRPr="7D684930">
        <w:rPr>
          <w:rFonts w:asciiTheme="majorHAnsi" w:hAnsiTheme="majorHAnsi"/>
          <w:color w:val="C0504D" w:themeColor="accent2"/>
          <w:lang w:val="sq-AL"/>
        </w:rPr>
        <w:t xml:space="preserve"> </w:t>
      </w:r>
    </w:p>
    <w:p w14:paraId="1CC842E8" w14:textId="1F7EF6A6" w:rsidR="0030325A" w:rsidRDefault="501A42FD" w:rsidP="68878158">
      <w:pPr>
        <w:spacing w:before="60" w:line="264" w:lineRule="auto"/>
        <w:jc w:val="both"/>
        <w:rPr>
          <w:rFonts w:asciiTheme="majorHAnsi" w:hAnsiTheme="majorHAnsi"/>
          <w:sz w:val="21"/>
          <w:szCs w:val="21"/>
        </w:rPr>
      </w:pPr>
      <w:r w:rsidRPr="68878158">
        <w:rPr>
          <w:rFonts w:asciiTheme="majorHAnsi" w:hAnsiTheme="majorHAnsi"/>
          <w:sz w:val="21"/>
          <w:szCs w:val="21"/>
        </w:rPr>
        <w:t>Burimi kryesor i t</w:t>
      </w:r>
      <w:r w:rsidR="62715ED6" w:rsidRPr="68878158">
        <w:rPr>
          <w:rFonts w:asciiTheme="majorHAnsi" w:hAnsiTheme="majorHAnsi"/>
          <w:sz w:val="21"/>
          <w:szCs w:val="21"/>
        </w:rPr>
        <w:t>ë</w:t>
      </w:r>
      <w:r w:rsidRPr="68878158">
        <w:rPr>
          <w:rFonts w:asciiTheme="majorHAnsi" w:hAnsiTheme="majorHAnsi"/>
          <w:sz w:val="21"/>
          <w:szCs w:val="21"/>
        </w:rPr>
        <w:t xml:space="preserve"> dh</w:t>
      </w:r>
      <w:r w:rsidR="62715ED6" w:rsidRPr="68878158">
        <w:rPr>
          <w:rFonts w:asciiTheme="majorHAnsi" w:hAnsiTheme="majorHAnsi"/>
          <w:sz w:val="21"/>
          <w:szCs w:val="21"/>
        </w:rPr>
        <w:t>ë</w:t>
      </w:r>
      <w:r w:rsidRPr="68878158">
        <w:rPr>
          <w:rFonts w:asciiTheme="majorHAnsi" w:hAnsiTheme="majorHAnsi"/>
          <w:sz w:val="21"/>
          <w:szCs w:val="21"/>
        </w:rPr>
        <w:t>nave p</w:t>
      </w:r>
      <w:r w:rsidR="62715ED6" w:rsidRPr="68878158">
        <w:rPr>
          <w:rFonts w:asciiTheme="majorHAnsi" w:hAnsiTheme="majorHAnsi"/>
          <w:sz w:val="21"/>
          <w:szCs w:val="21"/>
        </w:rPr>
        <w:t>ë</w:t>
      </w:r>
      <w:r w:rsidRPr="68878158">
        <w:rPr>
          <w:rFonts w:asciiTheme="majorHAnsi" w:hAnsiTheme="majorHAnsi"/>
          <w:sz w:val="21"/>
          <w:szCs w:val="21"/>
        </w:rPr>
        <w:t xml:space="preserve">r </w:t>
      </w:r>
      <w:r w:rsidR="003B5AB6">
        <w:rPr>
          <w:rFonts w:asciiTheme="majorHAnsi" w:hAnsiTheme="majorHAnsi"/>
          <w:sz w:val="21"/>
          <w:szCs w:val="21"/>
        </w:rPr>
        <w:t xml:space="preserve">treguesit e </w:t>
      </w:r>
      <w:r w:rsidRPr="68878158">
        <w:rPr>
          <w:rFonts w:asciiTheme="majorHAnsi" w:hAnsiTheme="majorHAnsi"/>
          <w:sz w:val="21"/>
          <w:szCs w:val="21"/>
        </w:rPr>
        <w:t xml:space="preserve">GPK </w:t>
      </w:r>
      <w:r w:rsidR="62715ED6" w:rsidRPr="68878158">
        <w:rPr>
          <w:rFonts w:asciiTheme="majorHAnsi" w:hAnsiTheme="majorHAnsi"/>
          <w:sz w:val="21"/>
          <w:szCs w:val="21"/>
        </w:rPr>
        <w:t>ë</w:t>
      </w:r>
      <w:r w:rsidRPr="68878158">
        <w:rPr>
          <w:rFonts w:asciiTheme="majorHAnsi" w:hAnsiTheme="majorHAnsi"/>
          <w:sz w:val="21"/>
          <w:szCs w:val="21"/>
        </w:rPr>
        <w:t>sht</w:t>
      </w:r>
      <w:r w:rsidR="62715ED6" w:rsidRPr="68878158">
        <w:rPr>
          <w:rFonts w:asciiTheme="majorHAnsi" w:hAnsiTheme="majorHAnsi"/>
          <w:sz w:val="21"/>
          <w:szCs w:val="21"/>
        </w:rPr>
        <w:t>ë</w:t>
      </w:r>
      <w:r w:rsidRPr="68878158">
        <w:rPr>
          <w:rFonts w:asciiTheme="majorHAnsi" w:hAnsiTheme="majorHAnsi"/>
          <w:sz w:val="21"/>
          <w:szCs w:val="21"/>
        </w:rPr>
        <w:t xml:space="preserve"> Sistemi p</w:t>
      </w:r>
      <w:r w:rsidR="62715ED6" w:rsidRPr="68878158">
        <w:rPr>
          <w:rFonts w:asciiTheme="majorHAnsi" w:hAnsiTheme="majorHAnsi"/>
          <w:sz w:val="21"/>
          <w:szCs w:val="21"/>
        </w:rPr>
        <w:t>ë</w:t>
      </w:r>
      <w:r w:rsidRPr="68878158">
        <w:rPr>
          <w:rFonts w:asciiTheme="majorHAnsi" w:hAnsiTheme="majorHAnsi"/>
          <w:sz w:val="21"/>
          <w:szCs w:val="21"/>
        </w:rPr>
        <w:t>r Menaxhimin e Performanc</w:t>
      </w:r>
      <w:r w:rsidR="62715ED6" w:rsidRPr="68878158">
        <w:rPr>
          <w:rFonts w:asciiTheme="majorHAnsi" w:hAnsiTheme="majorHAnsi"/>
          <w:sz w:val="21"/>
          <w:szCs w:val="21"/>
        </w:rPr>
        <w:t>ë</w:t>
      </w:r>
      <w:r w:rsidRPr="68878158">
        <w:rPr>
          <w:rFonts w:asciiTheme="majorHAnsi" w:hAnsiTheme="majorHAnsi"/>
          <w:sz w:val="21"/>
          <w:szCs w:val="21"/>
        </w:rPr>
        <w:t>s Komunale (SMPK)</w:t>
      </w:r>
      <w:r w:rsidR="138C8293" w:rsidRPr="68878158">
        <w:rPr>
          <w:rFonts w:asciiTheme="majorHAnsi" w:hAnsiTheme="majorHAnsi"/>
          <w:sz w:val="21"/>
          <w:szCs w:val="21"/>
        </w:rPr>
        <w:t xml:space="preserve"> i </w:t>
      </w:r>
      <w:r w:rsidR="6756C83B" w:rsidRPr="68878158">
        <w:rPr>
          <w:rFonts w:asciiTheme="majorHAnsi" w:hAnsiTheme="majorHAnsi"/>
          <w:sz w:val="21"/>
          <w:szCs w:val="21"/>
        </w:rPr>
        <w:t>MAPL</w:t>
      </w:r>
      <w:r w:rsidR="138C8293" w:rsidRPr="68878158">
        <w:rPr>
          <w:rFonts w:asciiTheme="majorHAnsi" w:hAnsiTheme="majorHAnsi"/>
          <w:sz w:val="21"/>
          <w:szCs w:val="21"/>
        </w:rPr>
        <w:t>-s</w:t>
      </w:r>
      <w:r w:rsidR="62715ED6" w:rsidRPr="68878158">
        <w:rPr>
          <w:rFonts w:asciiTheme="majorHAnsi" w:hAnsiTheme="majorHAnsi"/>
          <w:sz w:val="21"/>
          <w:szCs w:val="21"/>
        </w:rPr>
        <w:t>ë</w:t>
      </w:r>
      <w:r w:rsidRPr="68878158">
        <w:rPr>
          <w:rFonts w:asciiTheme="majorHAnsi" w:hAnsiTheme="majorHAnsi"/>
          <w:sz w:val="21"/>
          <w:szCs w:val="21"/>
        </w:rPr>
        <w:t xml:space="preserve">. </w:t>
      </w:r>
    </w:p>
    <w:p w14:paraId="49BB7CC5" w14:textId="13014155" w:rsidR="00CD79F5"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Siç shihet në tabelën </w:t>
      </w:r>
      <w:r w:rsidR="00316B29">
        <w:rPr>
          <w:rFonts w:asciiTheme="majorHAnsi" w:hAnsiTheme="majorHAnsi"/>
          <w:sz w:val="21"/>
          <w:szCs w:val="21"/>
        </w:rPr>
        <w:t>2 m</w:t>
      </w:r>
      <w:r w:rsidR="00210D4C">
        <w:rPr>
          <w:rFonts w:asciiTheme="majorHAnsi" w:hAnsiTheme="majorHAnsi"/>
          <w:sz w:val="21"/>
          <w:szCs w:val="21"/>
        </w:rPr>
        <w:t>ë</w:t>
      </w:r>
      <w:r w:rsidR="00316B29">
        <w:rPr>
          <w:rFonts w:asciiTheme="majorHAnsi" w:hAnsiTheme="majorHAnsi"/>
          <w:sz w:val="21"/>
          <w:szCs w:val="21"/>
        </w:rPr>
        <w:t xml:space="preserve"> posht</w:t>
      </w:r>
      <w:r w:rsidR="00210D4C">
        <w:rPr>
          <w:rFonts w:asciiTheme="majorHAnsi" w:hAnsiTheme="majorHAnsi"/>
          <w:sz w:val="21"/>
          <w:szCs w:val="21"/>
        </w:rPr>
        <w:t>ë</w:t>
      </w:r>
      <w:r w:rsidRPr="004D2E1C">
        <w:rPr>
          <w:rFonts w:asciiTheme="majorHAnsi" w:hAnsiTheme="majorHAnsi"/>
          <w:sz w:val="21"/>
          <w:szCs w:val="21"/>
        </w:rPr>
        <w:t xml:space="preserve">, </w:t>
      </w:r>
      <w:r w:rsidR="0008450B" w:rsidRPr="004D2E1C">
        <w:rPr>
          <w:rFonts w:asciiTheme="majorHAnsi" w:hAnsiTheme="majorHAnsi"/>
          <w:sz w:val="21"/>
          <w:szCs w:val="21"/>
        </w:rPr>
        <w:t xml:space="preserve">janë identifikuar gjithsej </w:t>
      </w:r>
      <w:r w:rsidR="006C3E25">
        <w:rPr>
          <w:rFonts w:asciiTheme="majorHAnsi" w:hAnsiTheme="majorHAnsi"/>
          <w:sz w:val="21"/>
          <w:szCs w:val="21"/>
        </w:rPr>
        <w:t>30</w:t>
      </w:r>
      <w:r w:rsidRPr="004D2E1C">
        <w:rPr>
          <w:rFonts w:asciiTheme="majorHAnsi" w:hAnsiTheme="majorHAnsi"/>
          <w:sz w:val="21"/>
          <w:szCs w:val="21"/>
        </w:rPr>
        <w:t xml:space="preserve"> tregues të </w:t>
      </w:r>
      <w:r w:rsidR="00674C44">
        <w:rPr>
          <w:rFonts w:asciiTheme="majorHAnsi" w:hAnsiTheme="majorHAnsi"/>
          <w:sz w:val="21"/>
          <w:szCs w:val="21"/>
        </w:rPr>
        <w:t>performancës komunale</w:t>
      </w:r>
      <w:r w:rsidR="00CC50B5">
        <w:rPr>
          <w:rFonts w:asciiTheme="majorHAnsi" w:hAnsiTheme="majorHAnsi"/>
          <w:sz w:val="21"/>
          <w:szCs w:val="21"/>
        </w:rPr>
        <w:t xml:space="preserve"> (</w:t>
      </w:r>
      <w:r w:rsidR="00C3393D">
        <w:rPr>
          <w:rFonts w:asciiTheme="majorHAnsi" w:hAnsiTheme="majorHAnsi"/>
          <w:sz w:val="21"/>
          <w:szCs w:val="21"/>
        </w:rPr>
        <w:t>3</w:t>
      </w:r>
      <w:r w:rsidR="00CC50B5">
        <w:rPr>
          <w:rFonts w:asciiTheme="majorHAnsi" w:hAnsiTheme="majorHAnsi"/>
          <w:sz w:val="21"/>
          <w:szCs w:val="21"/>
        </w:rPr>
        <w:t xml:space="preserve"> </w:t>
      </w:r>
      <w:r w:rsidR="003B754E">
        <w:rPr>
          <w:rFonts w:asciiTheme="majorHAnsi" w:hAnsiTheme="majorHAnsi"/>
          <w:sz w:val="21"/>
          <w:szCs w:val="21"/>
        </w:rPr>
        <w:t xml:space="preserve">të </w:t>
      </w:r>
      <w:r w:rsidR="00CC50B5">
        <w:rPr>
          <w:rFonts w:asciiTheme="majorHAnsi" w:hAnsiTheme="majorHAnsi"/>
          <w:sz w:val="21"/>
          <w:szCs w:val="21"/>
        </w:rPr>
        <w:t>ngrir</w:t>
      </w:r>
      <w:r w:rsidR="00C87181">
        <w:rPr>
          <w:rFonts w:asciiTheme="majorHAnsi" w:hAnsiTheme="majorHAnsi"/>
          <w:sz w:val="21"/>
          <w:szCs w:val="21"/>
        </w:rPr>
        <w:t>ë</w:t>
      </w:r>
      <w:r w:rsidR="00CC50B5">
        <w:rPr>
          <w:rFonts w:asciiTheme="majorHAnsi" w:hAnsiTheme="majorHAnsi"/>
          <w:sz w:val="21"/>
          <w:szCs w:val="21"/>
        </w:rPr>
        <w:t xml:space="preserve"> n</w:t>
      </w:r>
      <w:r w:rsidR="00C87181">
        <w:rPr>
          <w:rFonts w:asciiTheme="majorHAnsi" w:hAnsiTheme="majorHAnsi"/>
          <w:sz w:val="21"/>
          <w:szCs w:val="21"/>
        </w:rPr>
        <w:t>ë</w:t>
      </w:r>
      <w:r w:rsidR="00CC50B5">
        <w:rPr>
          <w:rFonts w:asciiTheme="majorHAnsi" w:hAnsiTheme="majorHAnsi"/>
          <w:sz w:val="21"/>
          <w:szCs w:val="21"/>
        </w:rPr>
        <w:t xml:space="preserve"> k</w:t>
      </w:r>
      <w:r w:rsidR="00C87181">
        <w:rPr>
          <w:rFonts w:asciiTheme="majorHAnsi" w:hAnsiTheme="majorHAnsi"/>
          <w:sz w:val="21"/>
          <w:szCs w:val="21"/>
        </w:rPr>
        <w:t>ë</w:t>
      </w:r>
      <w:r w:rsidR="00CC50B5">
        <w:rPr>
          <w:rFonts w:asciiTheme="majorHAnsi" w:hAnsiTheme="majorHAnsi"/>
          <w:sz w:val="21"/>
          <w:szCs w:val="21"/>
        </w:rPr>
        <w:t>t</w:t>
      </w:r>
      <w:r w:rsidR="00C87181">
        <w:rPr>
          <w:rFonts w:asciiTheme="majorHAnsi" w:hAnsiTheme="majorHAnsi"/>
          <w:sz w:val="21"/>
          <w:szCs w:val="21"/>
        </w:rPr>
        <w:t>ë</w:t>
      </w:r>
      <w:r w:rsidR="00CC50B5">
        <w:rPr>
          <w:rFonts w:asciiTheme="majorHAnsi" w:hAnsiTheme="majorHAnsi"/>
          <w:sz w:val="21"/>
          <w:szCs w:val="21"/>
        </w:rPr>
        <w:t xml:space="preserve"> vler</w:t>
      </w:r>
      <w:r w:rsidR="00C87181">
        <w:rPr>
          <w:rFonts w:asciiTheme="majorHAnsi" w:hAnsiTheme="majorHAnsi"/>
          <w:sz w:val="21"/>
          <w:szCs w:val="21"/>
        </w:rPr>
        <w:t>ë</w:t>
      </w:r>
      <w:r w:rsidR="00CC50B5">
        <w:rPr>
          <w:rFonts w:asciiTheme="majorHAnsi" w:hAnsiTheme="majorHAnsi"/>
          <w:sz w:val="21"/>
          <w:szCs w:val="21"/>
        </w:rPr>
        <w:t xml:space="preserve">sim) </w:t>
      </w:r>
      <w:r w:rsidRPr="004D2E1C">
        <w:rPr>
          <w:rFonts w:asciiTheme="majorHAnsi" w:hAnsiTheme="majorHAnsi"/>
          <w:sz w:val="21"/>
          <w:szCs w:val="21"/>
        </w:rPr>
        <w:t xml:space="preserve"> </w:t>
      </w:r>
      <w:r w:rsidR="008F0086">
        <w:rPr>
          <w:rFonts w:asciiTheme="majorHAnsi" w:hAnsiTheme="majorHAnsi"/>
          <w:sz w:val="21"/>
          <w:szCs w:val="21"/>
        </w:rPr>
        <w:t>brenda</w:t>
      </w:r>
      <w:r w:rsidR="008F0086" w:rsidRPr="004D2E1C">
        <w:rPr>
          <w:rFonts w:asciiTheme="majorHAnsi" w:hAnsiTheme="majorHAnsi"/>
          <w:sz w:val="21"/>
          <w:szCs w:val="21"/>
        </w:rPr>
        <w:t xml:space="preserve"> </w:t>
      </w:r>
      <w:r w:rsidRPr="004D2E1C">
        <w:rPr>
          <w:rFonts w:asciiTheme="majorHAnsi" w:hAnsiTheme="majorHAnsi"/>
          <w:sz w:val="21"/>
          <w:szCs w:val="21"/>
        </w:rPr>
        <w:t>tr</w:t>
      </w:r>
      <w:r w:rsidR="00C20B99">
        <w:rPr>
          <w:rFonts w:asciiTheme="majorHAnsi" w:hAnsiTheme="majorHAnsi"/>
          <w:sz w:val="21"/>
          <w:szCs w:val="21"/>
        </w:rPr>
        <w:t>e</w:t>
      </w:r>
      <w:r w:rsidRPr="004D2E1C">
        <w:rPr>
          <w:rFonts w:asciiTheme="majorHAnsi" w:hAnsiTheme="majorHAnsi"/>
          <w:sz w:val="21"/>
          <w:szCs w:val="21"/>
        </w:rPr>
        <w:t xml:space="preserve"> </w:t>
      </w:r>
      <w:r w:rsidR="00A278B8">
        <w:rPr>
          <w:rFonts w:asciiTheme="majorHAnsi" w:hAnsiTheme="majorHAnsi"/>
          <w:sz w:val="21"/>
          <w:szCs w:val="21"/>
        </w:rPr>
        <w:t>tema</w:t>
      </w:r>
      <w:r w:rsidR="008F0086">
        <w:rPr>
          <w:rFonts w:asciiTheme="majorHAnsi" w:hAnsiTheme="majorHAnsi"/>
          <w:sz w:val="21"/>
          <w:szCs w:val="21"/>
        </w:rPr>
        <w:t>ve</w:t>
      </w:r>
      <w:r w:rsidR="00A278B8" w:rsidRPr="004D2E1C">
        <w:rPr>
          <w:rFonts w:asciiTheme="majorHAnsi" w:hAnsiTheme="majorHAnsi"/>
          <w:sz w:val="21"/>
          <w:szCs w:val="21"/>
        </w:rPr>
        <w:t xml:space="preserve"> </w:t>
      </w:r>
      <w:r w:rsidRPr="004D2E1C">
        <w:rPr>
          <w:rFonts w:asciiTheme="majorHAnsi" w:hAnsiTheme="majorHAnsi"/>
          <w:sz w:val="21"/>
          <w:szCs w:val="21"/>
        </w:rPr>
        <w:t>kryesor</w:t>
      </w:r>
      <w:r w:rsidR="00A278B8">
        <w:rPr>
          <w:rFonts w:asciiTheme="majorHAnsi" w:hAnsiTheme="majorHAnsi"/>
          <w:sz w:val="21"/>
          <w:szCs w:val="21"/>
        </w:rPr>
        <w:t>e</w:t>
      </w:r>
      <w:r w:rsidRPr="004D2E1C">
        <w:rPr>
          <w:rFonts w:asciiTheme="majorHAnsi" w:hAnsiTheme="majorHAnsi"/>
          <w:sz w:val="21"/>
          <w:szCs w:val="21"/>
        </w:rPr>
        <w:t xml:space="preserve"> dhe </w:t>
      </w:r>
      <w:r w:rsidR="008F0086">
        <w:rPr>
          <w:rFonts w:asciiTheme="majorHAnsi" w:hAnsiTheme="majorHAnsi"/>
          <w:sz w:val="21"/>
          <w:szCs w:val="21"/>
        </w:rPr>
        <w:t>dhjet</w:t>
      </w:r>
      <w:r w:rsidR="00BB1193">
        <w:rPr>
          <w:rFonts w:asciiTheme="majorHAnsi" w:hAnsiTheme="majorHAnsi"/>
          <w:sz w:val="21"/>
          <w:szCs w:val="21"/>
        </w:rPr>
        <w:t>ë</w:t>
      </w:r>
      <w:r w:rsidR="008F0086">
        <w:rPr>
          <w:rFonts w:asciiTheme="majorHAnsi" w:hAnsiTheme="majorHAnsi"/>
          <w:sz w:val="21"/>
          <w:szCs w:val="21"/>
        </w:rPr>
        <w:t xml:space="preserve"> </w:t>
      </w:r>
      <w:r w:rsidRPr="004D2E1C">
        <w:rPr>
          <w:rFonts w:asciiTheme="majorHAnsi" w:hAnsiTheme="majorHAnsi"/>
          <w:sz w:val="21"/>
          <w:szCs w:val="21"/>
        </w:rPr>
        <w:t>nën</w:t>
      </w:r>
      <w:r w:rsidR="00A278B8">
        <w:rPr>
          <w:rFonts w:asciiTheme="majorHAnsi" w:hAnsiTheme="majorHAnsi"/>
          <w:sz w:val="21"/>
          <w:szCs w:val="21"/>
        </w:rPr>
        <w:t>tema</w:t>
      </w:r>
      <w:r w:rsidR="008F0086">
        <w:rPr>
          <w:rFonts w:asciiTheme="majorHAnsi" w:hAnsiTheme="majorHAnsi"/>
          <w:sz w:val="21"/>
          <w:szCs w:val="21"/>
        </w:rPr>
        <w:t>ve</w:t>
      </w:r>
      <w:r w:rsidRPr="004D2E1C">
        <w:rPr>
          <w:rFonts w:asciiTheme="majorHAnsi" w:hAnsiTheme="majorHAnsi"/>
          <w:sz w:val="21"/>
          <w:szCs w:val="21"/>
        </w:rPr>
        <w:t xml:space="preserve"> (shih tabelën 1 më lart)</w:t>
      </w:r>
      <w:r w:rsidR="0086396D">
        <w:rPr>
          <w:rFonts w:asciiTheme="majorHAnsi" w:hAnsiTheme="majorHAnsi"/>
          <w:sz w:val="21"/>
          <w:szCs w:val="21"/>
        </w:rPr>
        <w:t>.</w:t>
      </w:r>
      <w:r w:rsidR="00CC50B5">
        <w:rPr>
          <w:rFonts w:asciiTheme="majorHAnsi" w:hAnsiTheme="majorHAnsi"/>
          <w:sz w:val="21"/>
          <w:szCs w:val="21"/>
        </w:rPr>
        <w:t xml:space="preserve"> </w:t>
      </w:r>
      <w:r w:rsidR="00A62F59">
        <w:rPr>
          <w:rFonts w:asciiTheme="majorHAnsi" w:hAnsiTheme="majorHAnsi"/>
          <w:b/>
          <w:bCs/>
          <w:sz w:val="21"/>
          <w:szCs w:val="21"/>
        </w:rPr>
        <w:t>Ë</w:t>
      </w:r>
      <w:r w:rsidR="00A62F59" w:rsidRPr="003D52B9">
        <w:rPr>
          <w:rFonts w:asciiTheme="majorHAnsi" w:hAnsiTheme="majorHAnsi"/>
          <w:b/>
          <w:bCs/>
          <w:sz w:val="21"/>
          <w:szCs w:val="21"/>
        </w:rPr>
        <w:t>shtë e rëndësishme të përmendet se 2</w:t>
      </w:r>
      <w:r w:rsidR="00C3393D">
        <w:rPr>
          <w:rFonts w:asciiTheme="majorHAnsi" w:hAnsiTheme="majorHAnsi"/>
          <w:b/>
          <w:bCs/>
          <w:sz w:val="21"/>
          <w:szCs w:val="21"/>
        </w:rPr>
        <w:t>7</w:t>
      </w:r>
      <w:r w:rsidR="00A62F59" w:rsidRPr="003D52B9">
        <w:rPr>
          <w:rFonts w:asciiTheme="majorHAnsi" w:hAnsiTheme="majorHAnsi"/>
          <w:b/>
          <w:bCs/>
          <w:sz w:val="21"/>
          <w:szCs w:val="21"/>
        </w:rPr>
        <w:t xml:space="preserve"> tregues do të vlerësohen për përcaktimin e grantit që jepet në Vitin Fiskal 202</w:t>
      </w:r>
      <w:r w:rsidR="00C3393D">
        <w:rPr>
          <w:rFonts w:asciiTheme="majorHAnsi" w:hAnsiTheme="majorHAnsi"/>
          <w:b/>
          <w:bCs/>
          <w:sz w:val="21"/>
          <w:szCs w:val="21"/>
        </w:rPr>
        <w:t>3</w:t>
      </w:r>
      <w:r w:rsidR="00A62F59" w:rsidRPr="003D52B9">
        <w:rPr>
          <w:rFonts w:asciiTheme="majorHAnsi" w:hAnsiTheme="majorHAnsi"/>
          <w:b/>
          <w:bCs/>
          <w:sz w:val="21"/>
          <w:szCs w:val="21"/>
        </w:rPr>
        <w:t>, për të cilët vlerësimi bëhet bazuar në performancën e vitit 20</w:t>
      </w:r>
      <w:r w:rsidR="00A62F59">
        <w:rPr>
          <w:rFonts w:asciiTheme="majorHAnsi" w:hAnsiTheme="majorHAnsi"/>
          <w:b/>
          <w:bCs/>
          <w:sz w:val="21"/>
          <w:szCs w:val="21"/>
        </w:rPr>
        <w:t>2</w:t>
      </w:r>
      <w:r w:rsidR="00C3393D">
        <w:rPr>
          <w:rFonts w:asciiTheme="majorHAnsi" w:hAnsiTheme="majorHAnsi"/>
          <w:b/>
          <w:bCs/>
          <w:sz w:val="21"/>
          <w:szCs w:val="21"/>
        </w:rPr>
        <w:t>1</w:t>
      </w:r>
      <w:r w:rsidR="00A62F59" w:rsidRPr="003D52B9">
        <w:rPr>
          <w:rFonts w:asciiTheme="majorHAnsi" w:hAnsiTheme="majorHAnsi"/>
          <w:b/>
          <w:bCs/>
          <w:sz w:val="21"/>
          <w:szCs w:val="21"/>
        </w:rPr>
        <w:t>. Numri maksimal i pikëve për 2</w:t>
      </w:r>
      <w:r w:rsidR="00C3393D">
        <w:rPr>
          <w:rFonts w:asciiTheme="majorHAnsi" w:hAnsiTheme="majorHAnsi"/>
          <w:b/>
          <w:bCs/>
          <w:sz w:val="21"/>
          <w:szCs w:val="21"/>
        </w:rPr>
        <w:t>7</w:t>
      </w:r>
      <w:r w:rsidR="00A62F59" w:rsidRPr="003D52B9">
        <w:rPr>
          <w:rFonts w:asciiTheme="majorHAnsi" w:hAnsiTheme="majorHAnsi"/>
          <w:b/>
          <w:bCs/>
          <w:sz w:val="21"/>
          <w:szCs w:val="21"/>
        </w:rPr>
        <w:t xml:space="preserve"> treguesit që do të vlerësohen është 9</w:t>
      </w:r>
      <w:r w:rsidR="00A62F59">
        <w:rPr>
          <w:rFonts w:asciiTheme="majorHAnsi" w:hAnsiTheme="majorHAnsi"/>
          <w:b/>
          <w:bCs/>
          <w:sz w:val="21"/>
          <w:szCs w:val="21"/>
        </w:rPr>
        <w:t>2</w:t>
      </w:r>
      <w:r w:rsidR="00A62F59" w:rsidRPr="003D52B9">
        <w:rPr>
          <w:rFonts w:asciiTheme="majorHAnsi" w:hAnsiTheme="majorHAnsi"/>
          <w:b/>
          <w:bCs/>
          <w:sz w:val="21"/>
          <w:szCs w:val="21"/>
        </w:rPr>
        <w:t xml:space="preserve"> pikë.</w:t>
      </w:r>
    </w:p>
    <w:p w14:paraId="38AE7E23" w14:textId="15AB82CC" w:rsidR="0086396D" w:rsidRPr="004D2E1C" w:rsidRDefault="0086396D" w:rsidP="0086396D">
      <w:pPr>
        <w:spacing w:before="60" w:line="264" w:lineRule="auto"/>
        <w:ind w:left="709"/>
        <w:jc w:val="both"/>
        <w:rPr>
          <w:rFonts w:ascii="Arial" w:hAnsi="Arial"/>
          <w:b/>
          <w:sz w:val="20"/>
          <w:szCs w:val="20"/>
        </w:rPr>
      </w:pPr>
      <w:r w:rsidRPr="07D96137">
        <w:rPr>
          <w:rFonts w:ascii="Arial" w:hAnsi="Arial"/>
          <w:b/>
          <w:bCs/>
          <w:sz w:val="20"/>
          <w:szCs w:val="20"/>
        </w:rPr>
        <w:t xml:space="preserve">Tabela 2: Përmbledhje e temave të grantit të </w:t>
      </w:r>
      <w:r w:rsidR="00674C44" w:rsidRPr="07D96137">
        <w:rPr>
          <w:rFonts w:ascii="Arial" w:hAnsi="Arial"/>
          <w:b/>
          <w:bCs/>
          <w:sz w:val="20"/>
          <w:szCs w:val="20"/>
        </w:rPr>
        <w:t>performancës komunale</w:t>
      </w:r>
      <w:r w:rsidR="00A62F59">
        <w:rPr>
          <w:rFonts w:ascii="Arial" w:hAnsi="Arial"/>
          <w:b/>
          <w:bCs/>
          <w:sz w:val="20"/>
          <w:szCs w:val="20"/>
        </w:rPr>
        <w:t xml:space="preserve"> p</w:t>
      </w:r>
      <w:r w:rsidR="006518E3">
        <w:rPr>
          <w:rFonts w:ascii="Arial" w:hAnsi="Arial"/>
          <w:b/>
          <w:bCs/>
          <w:sz w:val="20"/>
          <w:szCs w:val="20"/>
        </w:rPr>
        <w:t>ë</w:t>
      </w:r>
      <w:r w:rsidR="00A62F59">
        <w:rPr>
          <w:rFonts w:ascii="Arial" w:hAnsi="Arial"/>
          <w:b/>
          <w:bCs/>
          <w:sz w:val="20"/>
          <w:szCs w:val="20"/>
        </w:rPr>
        <w:t>r vler</w:t>
      </w:r>
      <w:r w:rsidR="006518E3">
        <w:rPr>
          <w:rFonts w:ascii="Arial" w:hAnsi="Arial"/>
          <w:b/>
          <w:bCs/>
          <w:sz w:val="20"/>
          <w:szCs w:val="20"/>
        </w:rPr>
        <w:t>ë</w:t>
      </w:r>
      <w:r w:rsidR="00A62F59">
        <w:rPr>
          <w:rFonts w:ascii="Arial" w:hAnsi="Arial"/>
          <w:b/>
          <w:bCs/>
          <w:sz w:val="20"/>
          <w:szCs w:val="20"/>
        </w:rPr>
        <w:t>sim t</w:t>
      </w:r>
      <w:r w:rsidR="006518E3">
        <w:rPr>
          <w:rFonts w:ascii="Arial" w:hAnsi="Arial"/>
          <w:b/>
          <w:bCs/>
          <w:sz w:val="20"/>
          <w:szCs w:val="20"/>
        </w:rPr>
        <w:t>ë</w:t>
      </w:r>
      <w:r w:rsidR="00A62F59">
        <w:rPr>
          <w:rFonts w:ascii="Arial" w:hAnsi="Arial"/>
          <w:b/>
          <w:bCs/>
          <w:sz w:val="20"/>
          <w:szCs w:val="20"/>
        </w:rPr>
        <w:t xml:space="preserve"> performanc</w:t>
      </w:r>
      <w:r w:rsidR="006518E3">
        <w:rPr>
          <w:rFonts w:ascii="Arial" w:hAnsi="Arial"/>
          <w:b/>
          <w:bCs/>
          <w:sz w:val="20"/>
          <w:szCs w:val="20"/>
        </w:rPr>
        <w:t>ë</w:t>
      </w:r>
      <w:r w:rsidR="00A62F59">
        <w:rPr>
          <w:rFonts w:ascii="Arial" w:hAnsi="Arial"/>
          <w:b/>
          <w:bCs/>
          <w:sz w:val="20"/>
          <w:szCs w:val="20"/>
        </w:rPr>
        <w:t>s 202</w:t>
      </w:r>
      <w:r w:rsidR="00C3393D">
        <w:rPr>
          <w:rFonts w:ascii="Arial" w:hAnsi="Arial"/>
          <w:b/>
          <w:bCs/>
          <w:sz w:val="20"/>
          <w:szCs w:val="20"/>
        </w:rPr>
        <w:t>1</w:t>
      </w:r>
      <w:r w:rsidRPr="004D2E1C">
        <w:rPr>
          <w:rStyle w:val="FootnoteReference"/>
          <w:rFonts w:ascii="Arial" w:hAnsi="Arial"/>
          <w:sz w:val="20"/>
          <w:szCs w:val="20"/>
        </w:rPr>
        <w:footnoteReference w:id="6"/>
      </w:r>
    </w:p>
    <w:tbl>
      <w:tblPr>
        <w:tblW w:w="8956" w:type="dxa"/>
        <w:jc w:val="center"/>
        <w:tblCellMar>
          <w:left w:w="0" w:type="dxa"/>
          <w:right w:w="0" w:type="dxa"/>
        </w:tblCellMar>
        <w:tblLook w:val="04A0" w:firstRow="1" w:lastRow="0" w:firstColumn="1" w:lastColumn="0" w:noHBand="0" w:noVBand="1"/>
      </w:tblPr>
      <w:tblGrid>
        <w:gridCol w:w="836"/>
        <w:gridCol w:w="7268"/>
        <w:gridCol w:w="852"/>
      </w:tblGrid>
      <w:tr w:rsidR="0086396D" w:rsidRPr="004D2E1C" w14:paraId="6E032900" w14:textId="77777777" w:rsidTr="00852D64">
        <w:trPr>
          <w:trHeight w:val="437"/>
          <w:jc w:val="center"/>
        </w:trPr>
        <w:tc>
          <w:tcPr>
            <w:tcW w:w="836" w:type="dxa"/>
            <w:tcBorders>
              <w:top w:val="single" w:sz="12" w:space="0" w:color="auto"/>
              <w:left w:val="single" w:sz="12" w:space="0" w:color="auto"/>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1929E620" w14:textId="77777777" w:rsidR="0086396D" w:rsidRPr="004D2E1C" w:rsidRDefault="0086396D" w:rsidP="000C4EB2">
            <w:pPr>
              <w:jc w:val="center"/>
              <w:rPr>
                <w:rFonts w:ascii="Calibri" w:eastAsia="Calibri" w:hAnsi="Calibri"/>
                <w:b/>
                <w:bCs/>
                <w:color w:val="000000"/>
                <w:sz w:val="20"/>
                <w:szCs w:val="20"/>
              </w:rPr>
            </w:pPr>
            <w:r w:rsidRPr="004D2E1C">
              <w:rPr>
                <w:rFonts w:ascii="Calibri" w:eastAsia="Calibri" w:hAnsi="Calibri"/>
                <w:b/>
                <w:bCs/>
                <w:color w:val="000000"/>
                <w:sz w:val="20"/>
                <w:szCs w:val="20"/>
              </w:rPr>
              <w:t>#</w:t>
            </w:r>
          </w:p>
        </w:tc>
        <w:tc>
          <w:tcPr>
            <w:tcW w:w="7268" w:type="dxa"/>
            <w:tcBorders>
              <w:top w:val="single" w:sz="12" w:space="0" w:color="auto"/>
              <w:left w:val="nil"/>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776E1231"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Tema / Fusha e treguesit</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14:paraId="54BCE752" w14:textId="77777777" w:rsidR="0086396D" w:rsidRPr="004D2E1C" w:rsidRDefault="0086396D" w:rsidP="000C4EB2">
            <w:pPr>
              <w:tabs>
                <w:tab w:val="left" w:pos="743"/>
              </w:tabs>
              <w:ind w:left="-108"/>
              <w:jc w:val="center"/>
              <w:rPr>
                <w:rFonts w:ascii="Calibri" w:eastAsia="Calibri" w:hAnsi="Calibri"/>
                <w:color w:val="000000"/>
                <w:sz w:val="20"/>
                <w:szCs w:val="20"/>
              </w:rPr>
            </w:pPr>
            <w:r w:rsidRPr="004D2E1C">
              <w:rPr>
                <w:rFonts w:ascii="Calibri" w:eastAsia="Calibri" w:hAnsi="Calibri"/>
                <w:color w:val="000000"/>
                <w:sz w:val="18"/>
                <w:szCs w:val="18"/>
              </w:rPr>
              <w:t># maks. i pikëve</w:t>
            </w:r>
          </w:p>
        </w:tc>
      </w:tr>
      <w:tr w:rsidR="0086396D" w:rsidRPr="004D2E1C" w14:paraId="035153DD" w14:textId="77777777" w:rsidTr="00852D64">
        <w:trPr>
          <w:trHeight w:val="274"/>
          <w:jc w:val="center"/>
        </w:trPr>
        <w:tc>
          <w:tcPr>
            <w:tcW w:w="8104"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0A48DAA4" w14:textId="77777777" w:rsidR="0086396D" w:rsidRPr="004D2E1C" w:rsidRDefault="00347E18" w:rsidP="000C4EB2">
            <w:pPr>
              <w:rPr>
                <w:rFonts w:ascii="Calibri" w:eastAsia="Calibri" w:hAnsi="Calibri"/>
                <w:b/>
                <w:bCs/>
                <w:color w:val="000000"/>
                <w:sz w:val="22"/>
                <w:szCs w:val="22"/>
              </w:rPr>
            </w:pPr>
            <w:r w:rsidRPr="00347E18">
              <w:rPr>
                <w:rFonts w:ascii="Calibri" w:eastAsia="Calibri" w:hAnsi="Calibri"/>
                <w:b/>
                <w:bCs/>
                <w:color w:val="000000"/>
                <w:sz w:val="22"/>
                <w:szCs w:val="22"/>
              </w:rPr>
              <w:t xml:space="preserve">I. QEVERISJA </w:t>
            </w:r>
            <w:r w:rsidR="00A278B8">
              <w:rPr>
                <w:rFonts w:ascii="Calibri" w:eastAsia="Calibri" w:hAnsi="Calibri"/>
                <w:b/>
                <w:bCs/>
                <w:color w:val="000000"/>
                <w:sz w:val="22"/>
                <w:szCs w:val="22"/>
              </w:rPr>
              <w:t>DEMOKRATIKE</w:t>
            </w:r>
            <w:r w:rsidR="00A278B8" w:rsidRPr="00347E18">
              <w:rPr>
                <w:rFonts w:ascii="Calibri" w:eastAsia="Calibri" w:hAnsi="Calibri"/>
                <w:b/>
                <w:bCs/>
                <w:color w:val="000000"/>
                <w:sz w:val="22"/>
                <w:szCs w:val="22"/>
              </w:rPr>
              <w:t xml:space="preserve"> </w:t>
            </w:r>
          </w:p>
        </w:tc>
        <w:tc>
          <w:tcPr>
            <w:tcW w:w="852"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27F87FF3" w14:textId="34A1EF85" w:rsidR="0086396D" w:rsidRPr="004D2E1C" w:rsidRDefault="00995D2D" w:rsidP="000C4EB2">
            <w:pPr>
              <w:jc w:val="center"/>
              <w:rPr>
                <w:rFonts w:ascii="Calibri" w:eastAsia="Calibri" w:hAnsi="Calibri"/>
                <w:b/>
                <w:bCs/>
                <w:color w:val="000000"/>
                <w:sz w:val="22"/>
                <w:szCs w:val="22"/>
              </w:rPr>
            </w:pPr>
            <w:r>
              <w:rPr>
                <w:rFonts w:ascii="Calibri" w:eastAsia="Calibri" w:hAnsi="Calibri"/>
                <w:b/>
                <w:bCs/>
                <w:color w:val="000000"/>
                <w:sz w:val="22"/>
                <w:szCs w:val="22"/>
              </w:rPr>
              <w:t>38</w:t>
            </w:r>
          </w:p>
        </w:tc>
      </w:tr>
      <w:tr w:rsidR="0086396D" w:rsidRPr="004D2E1C" w14:paraId="3500D2A8" w14:textId="77777777" w:rsidTr="00852D64">
        <w:trPr>
          <w:trHeight w:val="237"/>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620AFCCE"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A915B87"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Roli i kuvendit komunal si organ mbikëqyrës</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15714215" w14:textId="6FC58C05" w:rsidR="0086396D" w:rsidRPr="004D2E1C" w:rsidRDefault="000A3299" w:rsidP="000C4EB2">
            <w:pPr>
              <w:jc w:val="center"/>
              <w:rPr>
                <w:rFonts w:ascii="Calibri" w:eastAsia="Calibri" w:hAnsi="Calibri"/>
                <w:b/>
                <w:bCs/>
                <w:color w:val="000000"/>
                <w:sz w:val="20"/>
                <w:szCs w:val="20"/>
              </w:rPr>
            </w:pPr>
            <w:r>
              <w:rPr>
                <w:rFonts w:ascii="Calibri" w:eastAsia="Calibri" w:hAnsi="Calibri"/>
                <w:b/>
                <w:bCs/>
                <w:color w:val="000000"/>
                <w:sz w:val="20"/>
                <w:szCs w:val="20"/>
              </w:rPr>
              <w:t>1</w:t>
            </w:r>
            <w:r w:rsidR="00622042">
              <w:rPr>
                <w:rFonts w:ascii="Calibri" w:eastAsia="Calibri" w:hAnsi="Calibri"/>
                <w:b/>
                <w:bCs/>
                <w:color w:val="000000"/>
                <w:sz w:val="20"/>
                <w:szCs w:val="20"/>
              </w:rPr>
              <w:t>1</w:t>
            </w:r>
          </w:p>
        </w:tc>
      </w:tr>
      <w:tr w:rsidR="0086396D" w:rsidRPr="004D2E1C" w14:paraId="0C0E5867" w14:textId="77777777" w:rsidTr="00852D64">
        <w:trPr>
          <w:trHeight w:val="284"/>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B9E4541"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1</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01D3C0BC" w14:textId="77777777" w:rsidR="0086396D" w:rsidRPr="004D2E1C" w:rsidRDefault="006558BB" w:rsidP="000C4EB2">
            <w:pPr>
              <w:rPr>
                <w:rFonts w:ascii="Calibri" w:eastAsia="Calibri" w:hAnsi="Calibri"/>
                <w:color w:val="000000"/>
                <w:sz w:val="19"/>
                <w:szCs w:val="19"/>
              </w:rPr>
            </w:pPr>
            <w:r w:rsidRPr="006558BB">
              <w:rPr>
                <w:rFonts w:ascii="Calibri" w:hAnsi="Calibri" w:cs="Calibri"/>
                <w:color w:val="000000"/>
                <w:sz w:val="19"/>
                <w:szCs w:val="19"/>
              </w:rPr>
              <w:t>Miratimi me kohë i propozim buxhetit vjetor komunal</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39591FD" w14:textId="77777777" w:rsidR="0086396D" w:rsidRPr="004D2E1C" w:rsidRDefault="000A3299" w:rsidP="000C4EB2">
            <w:pPr>
              <w:jc w:val="center"/>
              <w:rPr>
                <w:rFonts w:ascii="Calibri" w:eastAsia="Calibri" w:hAnsi="Calibri"/>
                <w:color w:val="000000"/>
                <w:sz w:val="19"/>
                <w:szCs w:val="19"/>
              </w:rPr>
            </w:pPr>
            <w:r>
              <w:rPr>
                <w:rFonts w:ascii="Calibri" w:eastAsia="Calibri" w:hAnsi="Calibri"/>
                <w:color w:val="000000"/>
                <w:sz w:val="19"/>
                <w:szCs w:val="19"/>
              </w:rPr>
              <w:t>2</w:t>
            </w:r>
          </w:p>
        </w:tc>
      </w:tr>
      <w:tr w:rsidR="0086396D" w:rsidRPr="004D2E1C" w14:paraId="49CE5EC6"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D622875"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2</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59B6DD74" w14:textId="77777777" w:rsidR="0086396D" w:rsidRPr="004D2E1C" w:rsidRDefault="00347E18" w:rsidP="000C4EB2">
            <w:pPr>
              <w:ind w:right="-108"/>
              <w:rPr>
                <w:rFonts w:ascii="Calibri" w:eastAsia="Calibri" w:hAnsi="Calibri"/>
                <w:color w:val="000000"/>
                <w:sz w:val="19"/>
                <w:szCs w:val="19"/>
              </w:rPr>
            </w:pPr>
            <w:r w:rsidRPr="00347E18">
              <w:rPr>
                <w:rFonts w:ascii="Calibri" w:hAnsi="Calibri" w:cs="Calibri"/>
                <w:color w:val="000000"/>
                <w:sz w:val="19"/>
                <w:szCs w:val="19"/>
              </w:rPr>
              <w:t>Diskutimi për raportet tremujore buxhetore nga Kuvendi Komunal</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75A99E2" w14:textId="77777777" w:rsidR="0086396D" w:rsidRPr="004D2E1C" w:rsidRDefault="000A3299" w:rsidP="000C4EB2">
            <w:pPr>
              <w:jc w:val="center"/>
              <w:rPr>
                <w:rFonts w:ascii="Calibri" w:eastAsia="Calibri" w:hAnsi="Calibri"/>
                <w:color w:val="000000"/>
                <w:sz w:val="19"/>
                <w:szCs w:val="19"/>
              </w:rPr>
            </w:pPr>
            <w:r>
              <w:rPr>
                <w:rFonts w:ascii="Calibri" w:eastAsia="Calibri" w:hAnsi="Calibri"/>
                <w:color w:val="000000"/>
                <w:sz w:val="19"/>
                <w:szCs w:val="19"/>
              </w:rPr>
              <w:t>3</w:t>
            </w:r>
          </w:p>
        </w:tc>
      </w:tr>
      <w:tr w:rsidR="0086396D" w:rsidRPr="004D2E1C" w14:paraId="3ADE5046" w14:textId="77777777" w:rsidTr="00CD55EA">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FABF8F" w:themeFill="accent6" w:themeFillTint="99"/>
            <w:tcMar>
              <w:top w:w="0" w:type="dxa"/>
              <w:left w:w="108" w:type="dxa"/>
              <w:bottom w:w="0" w:type="dxa"/>
              <w:right w:w="108" w:type="dxa"/>
            </w:tcMar>
            <w:vAlign w:val="center"/>
            <w:hideMark/>
          </w:tcPr>
          <w:p w14:paraId="0D16AC72"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3</w:t>
            </w:r>
          </w:p>
        </w:tc>
        <w:tc>
          <w:tcPr>
            <w:tcW w:w="7268" w:type="dxa"/>
            <w:tcBorders>
              <w:top w:val="single" w:sz="4" w:space="0" w:color="auto"/>
              <w:left w:val="single" w:sz="4" w:space="0" w:color="auto"/>
              <w:bottom w:val="single" w:sz="4" w:space="0" w:color="auto"/>
              <w:right w:val="single" w:sz="4" w:space="0" w:color="auto"/>
            </w:tcBorders>
            <w:shd w:val="clear" w:color="auto" w:fill="FABF8F" w:themeFill="accent6" w:themeFillTint="99"/>
            <w:tcMar>
              <w:top w:w="0" w:type="dxa"/>
              <w:left w:w="108" w:type="dxa"/>
              <w:bottom w:w="0" w:type="dxa"/>
              <w:right w:w="108" w:type="dxa"/>
            </w:tcMar>
            <w:vAlign w:val="center"/>
          </w:tcPr>
          <w:p w14:paraId="39E25513" w14:textId="7EC00666" w:rsidR="0086396D" w:rsidRPr="004D2E1C" w:rsidRDefault="00347E18" w:rsidP="00D84936">
            <w:pPr>
              <w:rPr>
                <w:rFonts w:ascii="Calibri" w:eastAsia="Calibri" w:hAnsi="Calibri"/>
                <w:color w:val="000000"/>
                <w:sz w:val="19"/>
                <w:szCs w:val="19"/>
              </w:rPr>
            </w:pPr>
            <w:r w:rsidRPr="00347E18">
              <w:rPr>
                <w:rFonts w:ascii="Calibri" w:hAnsi="Calibri" w:cs="Calibri"/>
                <w:color w:val="000000"/>
                <w:sz w:val="19"/>
                <w:szCs w:val="19"/>
              </w:rPr>
              <w:t xml:space="preserve">Diskutimi për raportin e performancës komunale nga Kuvendi Komunal për vitin </w:t>
            </w:r>
            <w:r w:rsidR="00D84936">
              <w:rPr>
                <w:rFonts w:ascii="Calibri" w:hAnsi="Calibri" w:cs="Calibri"/>
                <w:color w:val="000000"/>
                <w:sz w:val="19"/>
                <w:szCs w:val="19"/>
              </w:rPr>
              <w:t>paraprak</w:t>
            </w:r>
            <w:r w:rsidR="00C3393D">
              <w:rPr>
                <w:rStyle w:val="FootnoteReference"/>
                <w:rFonts w:ascii="Calibri" w:hAnsi="Calibri" w:cs="Calibri"/>
                <w:color w:val="000000"/>
                <w:sz w:val="19"/>
                <w:szCs w:val="19"/>
              </w:rPr>
              <w:footnoteReference w:id="7"/>
            </w:r>
          </w:p>
        </w:tc>
        <w:tc>
          <w:tcPr>
            <w:tcW w:w="852" w:type="dxa"/>
            <w:tcBorders>
              <w:top w:val="single" w:sz="4" w:space="0" w:color="auto"/>
              <w:left w:val="single" w:sz="4" w:space="0" w:color="auto"/>
              <w:bottom w:val="single" w:sz="4" w:space="0" w:color="auto"/>
              <w:right w:val="single" w:sz="12" w:space="0" w:color="auto"/>
            </w:tcBorders>
            <w:shd w:val="clear" w:color="auto" w:fill="FABF8F" w:themeFill="accent6" w:themeFillTint="99"/>
            <w:tcMar>
              <w:top w:w="0" w:type="dxa"/>
              <w:left w:w="108" w:type="dxa"/>
              <w:bottom w:w="0" w:type="dxa"/>
              <w:right w:w="108" w:type="dxa"/>
            </w:tcMar>
            <w:vAlign w:val="center"/>
            <w:hideMark/>
          </w:tcPr>
          <w:p w14:paraId="3AE69491" w14:textId="77777777" w:rsidR="0086396D" w:rsidRPr="004D2E1C" w:rsidRDefault="00525EBC" w:rsidP="000C4EB2">
            <w:pPr>
              <w:jc w:val="center"/>
              <w:rPr>
                <w:rFonts w:ascii="Calibri" w:eastAsia="Calibri" w:hAnsi="Calibri"/>
                <w:color w:val="000000"/>
                <w:sz w:val="19"/>
                <w:szCs w:val="19"/>
              </w:rPr>
            </w:pPr>
            <w:r>
              <w:rPr>
                <w:rFonts w:ascii="Calibri" w:eastAsia="Calibri" w:hAnsi="Calibri"/>
                <w:color w:val="000000"/>
                <w:sz w:val="19"/>
                <w:szCs w:val="19"/>
              </w:rPr>
              <w:t>2</w:t>
            </w:r>
          </w:p>
        </w:tc>
      </w:tr>
      <w:tr w:rsidR="0086396D" w:rsidRPr="004D2E1C" w14:paraId="7EDE03D1"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DBA5FD9"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4</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1FC008A" w14:textId="77777777" w:rsidR="0086396D" w:rsidRPr="004D2E1C" w:rsidRDefault="00347E18" w:rsidP="000C4EB2">
            <w:pPr>
              <w:rPr>
                <w:rFonts w:ascii="Calibri" w:eastAsia="Calibri" w:hAnsi="Calibri"/>
                <w:color w:val="000000"/>
                <w:sz w:val="19"/>
                <w:szCs w:val="19"/>
              </w:rPr>
            </w:pPr>
            <w:r w:rsidRPr="00347E18">
              <w:rPr>
                <w:rFonts w:ascii="Calibri" w:hAnsi="Calibri" w:cs="Calibri"/>
                <w:color w:val="000000"/>
                <w:sz w:val="19"/>
                <w:szCs w:val="19"/>
              </w:rPr>
              <w:t>Diskutimi i raportit të auditorit të jashtëm dhe planit të veprimit për adresimin e rekomandimeve si dhe diskutimi i gjetjeve dhe rekomandimeve nga auditimi i brendshëm në Kuvendin Komunal</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6BAD9FF2" w14:textId="77777777" w:rsidR="0086396D" w:rsidRPr="004D2E1C" w:rsidRDefault="00525EBC" w:rsidP="000C4EB2">
            <w:pPr>
              <w:jc w:val="center"/>
              <w:rPr>
                <w:rFonts w:ascii="Calibri" w:eastAsia="Calibri" w:hAnsi="Calibri"/>
                <w:color w:val="000000"/>
                <w:sz w:val="19"/>
                <w:szCs w:val="19"/>
              </w:rPr>
            </w:pPr>
            <w:r>
              <w:rPr>
                <w:rFonts w:ascii="Calibri" w:eastAsia="Calibri" w:hAnsi="Calibri"/>
                <w:color w:val="000000"/>
                <w:sz w:val="19"/>
                <w:szCs w:val="19"/>
              </w:rPr>
              <w:t>4</w:t>
            </w:r>
          </w:p>
        </w:tc>
      </w:tr>
      <w:tr w:rsidR="0086396D" w:rsidRPr="004D2E1C" w14:paraId="1922E60D" w14:textId="77777777" w:rsidTr="00852D64">
        <w:trPr>
          <w:trHeight w:val="284"/>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6456156"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5</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4EB3F62F" w14:textId="77777777" w:rsidR="0086396D" w:rsidRPr="004D2E1C" w:rsidRDefault="006A52F1" w:rsidP="000C4EB2">
            <w:pPr>
              <w:rPr>
                <w:rFonts w:ascii="Calibri" w:eastAsia="Calibri" w:hAnsi="Calibri"/>
                <w:color w:val="000000"/>
                <w:sz w:val="19"/>
                <w:szCs w:val="19"/>
              </w:rPr>
            </w:pPr>
            <w:r w:rsidRPr="006A52F1">
              <w:rPr>
                <w:rFonts w:ascii="Calibri" w:hAnsi="Calibri" w:cs="Calibri"/>
                <w:color w:val="000000"/>
                <w:sz w:val="19"/>
                <w:szCs w:val="19"/>
              </w:rPr>
              <w:t>Mbledhje të Kuvendit Komunal me pjesëmarrje të kryetarit të komunës</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68F85006" w14:textId="77777777" w:rsidR="0086396D" w:rsidRPr="004D2E1C" w:rsidRDefault="00525EBC" w:rsidP="000C4EB2">
            <w:pPr>
              <w:jc w:val="center"/>
              <w:rPr>
                <w:rFonts w:ascii="Calibri" w:eastAsia="Calibri" w:hAnsi="Calibri"/>
                <w:color w:val="000000"/>
                <w:sz w:val="19"/>
                <w:szCs w:val="19"/>
              </w:rPr>
            </w:pPr>
            <w:r>
              <w:rPr>
                <w:rFonts w:ascii="Calibri" w:eastAsia="Calibri" w:hAnsi="Calibri"/>
                <w:color w:val="000000"/>
                <w:sz w:val="19"/>
                <w:szCs w:val="19"/>
              </w:rPr>
              <w:t>2</w:t>
            </w:r>
          </w:p>
        </w:tc>
      </w:tr>
      <w:tr w:rsidR="0086396D" w:rsidRPr="004D2E1C" w14:paraId="3F4C5C23" w14:textId="77777777" w:rsidTr="00852D64">
        <w:trPr>
          <w:trHeight w:val="284"/>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AE03B77"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II</w:t>
            </w:r>
          </w:p>
        </w:tc>
        <w:tc>
          <w:tcPr>
            <w:tcW w:w="7268"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7562DA8" w14:textId="77777777" w:rsidR="0086396D" w:rsidRPr="004D2E1C" w:rsidRDefault="00347E18" w:rsidP="000C4EB2">
            <w:pPr>
              <w:rPr>
                <w:rFonts w:ascii="Calibri" w:eastAsia="Calibri" w:hAnsi="Calibri"/>
                <w:b/>
                <w:bCs/>
                <w:color w:val="000000"/>
                <w:sz w:val="20"/>
                <w:szCs w:val="20"/>
              </w:rPr>
            </w:pPr>
            <w:r w:rsidRPr="00347E18">
              <w:rPr>
                <w:rFonts w:ascii="Calibri" w:eastAsia="Calibri" w:hAnsi="Calibri"/>
                <w:b/>
                <w:bCs/>
                <w:color w:val="000000"/>
                <w:sz w:val="20"/>
                <w:szCs w:val="20"/>
              </w:rPr>
              <w:t>Pjesëmarrja, konsultimi</w:t>
            </w:r>
            <w:r w:rsidR="00A278B8">
              <w:rPr>
                <w:rFonts w:ascii="Calibri" w:eastAsia="Calibri" w:hAnsi="Calibri"/>
                <w:b/>
                <w:bCs/>
                <w:color w:val="000000"/>
                <w:sz w:val="20"/>
                <w:szCs w:val="20"/>
              </w:rPr>
              <w:t xml:space="preserve"> i</w:t>
            </w:r>
            <w:r w:rsidRPr="00347E18">
              <w:rPr>
                <w:rFonts w:ascii="Calibri" w:eastAsia="Calibri" w:hAnsi="Calibri"/>
                <w:b/>
                <w:bCs/>
                <w:color w:val="000000"/>
                <w:sz w:val="20"/>
                <w:szCs w:val="20"/>
              </w:rPr>
              <w:t xml:space="preserve"> </w:t>
            </w:r>
            <w:r w:rsidR="00A278B8" w:rsidRPr="00347E18">
              <w:rPr>
                <w:rFonts w:ascii="Calibri" w:eastAsia="Calibri" w:hAnsi="Calibri"/>
                <w:b/>
                <w:bCs/>
                <w:color w:val="000000"/>
                <w:sz w:val="20"/>
                <w:szCs w:val="20"/>
              </w:rPr>
              <w:t xml:space="preserve">qytetarëve </w:t>
            </w:r>
            <w:r w:rsidRPr="00347E18">
              <w:rPr>
                <w:rFonts w:ascii="Calibri" w:eastAsia="Calibri" w:hAnsi="Calibri"/>
                <w:b/>
                <w:bCs/>
                <w:color w:val="000000"/>
                <w:sz w:val="20"/>
                <w:szCs w:val="20"/>
              </w:rPr>
              <w:t>dhe gjithëpërfshirja</w:t>
            </w:r>
          </w:p>
        </w:tc>
        <w:tc>
          <w:tcPr>
            <w:tcW w:w="852" w:type="dxa"/>
            <w:tcBorders>
              <w:top w:val="single" w:sz="8"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0224F64" w14:textId="089999B3" w:rsidR="0086396D" w:rsidRPr="004D2E1C" w:rsidRDefault="00A425C3" w:rsidP="000C4EB2">
            <w:pPr>
              <w:jc w:val="center"/>
              <w:rPr>
                <w:rFonts w:ascii="Calibri" w:eastAsia="Calibri" w:hAnsi="Calibri"/>
                <w:b/>
                <w:bCs/>
                <w:color w:val="000000"/>
                <w:sz w:val="22"/>
                <w:szCs w:val="22"/>
              </w:rPr>
            </w:pPr>
            <w:r>
              <w:rPr>
                <w:rFonts w:ascii="Calibri" w:eastAsia="Calibri" w:hAnsi="Calibri"/>
                <w:b/>
                <w:bCs/>
                <w:color w:val="000000"/>
                <w:sz w:val="22"/>
                <w:szCs w:val="22"/>
              </w:rPr>
              <w:t>1</w:t>
            </w:r>
            <w:r w:rsidR="00622042">
              <w:rPr>
                <w:rFonts w:ascii="Calibri" w:eastAsia="Calibri" w:hAnsi="Calibri"/>
                <w:b/>
                <w:bCs/>
                <w:color w:val="000000"/>
                <w:sz w:val="22"/>
                <w:szCs w:val="22"/>
              </w:rPr>
              <w:t>2</w:t>
            </w:r>
          </w:p>
        </w:tc>
      </w:tr>
      <w:tr w:rsidR="0086396D" w:rsidRPr="004D2E1C" w14:paraId="0116660C" w14:textId="77777777" w:rsidTr="00852D64">
        <w:trPr>
          <w:trHeight w:val="300"/>
          <w:jc w:val="center"/>
        </w:trPr>
        <w:tc>
          <w:tcPr>
            <w:tcW w:w="836"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F777604"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6</w:t>
            </w:r>
          </w:p>
        </w:tc>
        <w:tc>
          <w:tcPr>
            <w:tcW w:w="7268"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54F774BB" w14:textId="77777777" w:rsidR="0086396D" w:rsidRPr="004D2E1C" w:rsidRDefault="00B80103">
            <w:pPr>
              <w:ind w:right="-108"/>
              <w:rPr>
                <w:rFonts w:ascii="Calibri" w:eastAsia="Calibri" w:hAnsi="Calibri"/>
                <w:color w:val="000000"/>
                <w:sz w:val="19"/>
                <w:szCs w:val="19"/>
              </w:rPr>
            </w:pPr>
            <w:r w:rsidRPr="00347E18">
              <w:rPr>
                <w:rFonts w:ascii="Calibri" w:hAnsi="Calibri" w:cs="Calibri"/>
                <w:sz w:val="19"/>
                <w:szCs w:val="19"/>
              </w:rPr>
              <w:t xml:space="preserve">Pjesëmarrja e qytetarëve në </w:t>
            </w:r>
            <w:r w:rsidR="006A52F1">
              <w:rPr>
                <w:rFonts w:ascii="Calibri" w:hAnsi="Calibri" w:cs="Calibri"/>
                <w:sz w:val="19"/>
                <w:szCs w:val="19"/>
              </w:rPr>
              <w:t>konsultime</w:t>
            </w:r>
            <w:r w:rsidR="006A52F1" w:rsidRPr="00347E18">
              <w:rPr>
                <w:rFonts w:ascii="Calibri" w:hAnsi="Calibri" w:cs="Calibri"/>
                <w:sz w:val="19"/>
                <w:szCs w:val="19"/>
              </w:rPr>
              <w:t xml:space="preserve"> </w:t>
            </w:r>
            <w:r w:rsidRPr="00347E18">
              <w:rPr>
                <w:rFonts w:ascii="Calibri" w:hAnsi="Calibri" w:cs="Calibri"/>
                <w:sz w:val="19"/>
                <w:szCs w:val="19"/>
              </w:rPr>
              <w:t xml:space="preserve">publike, </w:t>
            </w:r>
            <w:r w:rsidR="00B4288A">
              <w:rPr>
                <w:rFonts w:ascii="Calibri" w:hAnsi="Calibri" w:cs="Calibri"/>
                <w:sz w:val="19"/>
                <w:szCs w:val="19"/>
              </w:rPr>
              <w:t>e</w:t>
            </w:r>
            <w:r w:rsidRPr="00347E18">
              <w:rPr>
                <w:rFonts w:ascii="Calibri" w:hAnsi="Calibri" w:cs="Calibri"/>
                <w:sz w:val="19"/>
                <w:szCs w:val="19"/>
              </w:rPr>
              <w:t xml:space="preserve"> disagreguar sipas gjinisë</w:t>
            </w:r>
            <w:r w:rsidRPr="00347E18">
              <w:rPr>
                <w:rFonts w:ascii="Calibri" w:hAnsi="Calibri" w:cs="Calibri"/>
                <w:color w:val="000000"/>
                <w:sz w:val="19"/>
                <w:szCs w:val="19"/>
              </w:rPr>
              <w:t xml:space="preserve"> </w:t>
            </w:r>
          </w:p>
        </w:tc>
        <w:tc>
          <w:tcPr>
            <w:tcW w:w="852"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34461EBF" w14:textId="24D3EB31" w:rsidR="0086396D" w:rsidRPr="004D2E1C" w:rsidRDefault="00622042" w:rsidP="00AC7EB6">
            <w:pPr>
              <w:jc w:val="center"/>
              <w:rPr>
                <w:rFonts w:ascii="Calibri" w:eastAsia="Calibri" w:hAnsi="Calibri"/>
                <w:color w:val="000000"/>
                <w:sz w:val="19"/>
                <w:szCs w:val="19"/>
              </w:rPr>
            </w:pPr>
            <w:r>
              <w:rPr>
                <w:rFonts w:ascii="Calibri" w:eastAsia="Calibri" w:hAnsi="Calibri"/>
                <w:color w:val="000000"/>
                <w:sz w:val="19"/>
                <w:szCs w:val="19"/>
              </w:rPr>
              <w:t>4</w:t>
            </w:r>
          </w:p>
        </w:tc>
      </w:tr>
      <w:tr w:rsidR="0086396D" w:rsidRPr="004D2E1C" w14:paraId="550CBDD7" w14:textId="77777777" w:rsidTr="00852D64">
        <w:trPr>
          <w:trHeight w:val="300"/>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535599F9"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7</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1600C778" w14:textId="77777777" w:rsidR="0086396D" w:rsidRPr="004D2E1C" w:rsidRDefault="00B80103" w:rsidP="000C4EB2">
            <w:pPr>
              <w:rPr>
                <w:rFonts w:ascii="Calibri" w:eastAsia="Calibri" w:hAnsi="Calibri"/>
                <w:color w:val="000000"/>
                <w:sz w:val="19"/>
                <w:szCs w:val="19"/>
              </w:rPr>
            </w:pPr>
            <w:r w:rsidRPr="00B80103">
              <w:rPr>
                <w:rFonts w:ascii="Calibri" w:eastAsia="Calibri" w:hAnsi="Calibri"/>
                <w:color w:val="000000"/>
                <w:sz w:val="19"/>
                <w:szCs w:val="19"/>
              </w:rPr>
              <w:t>Aktet komunale dhe dokumentet e politikave lokale të konsultuara me publikun</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36F0F5A6" w14:textId="77777777" w:rsidR="0086396D" w:rsidRPr="004D2E1C" w:rsidRDefault="00B80103" w:rsidP="000C4EB2">
            <w:pPr>
              <w:jc w:val="center"/>
              <w:rPr>
                <w:rFonts w:ascii="Calibri" w:eastAsia="Calibri" w:hAnsi="Calibri"/>
                <w:color w:val="000000"/>
                <w:sz w:val="19"/>
                <w:szCs w:val="19"/>
              </w:rPr>
            </w:pPr>
            <w:r>
              <w:rPr>
                <w:rFonts w:ascii="Calibri" w:eastAsia="Calibri" w:hAnsi="Calibri"/>
                <w:color w:val="000000"/>
                <w:sz w:val="19"/>
                <w:szCs w:val="19"/>
              </w:rPr>
              <w:t>4</w:t>
            </w:r>
          </w:p>
        </w:tc>
      </w:tr>
      <w:tr w:rsidR="00B80103" w:rsidRPr="004D2E1C" w14:paraId="0CC34431"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4DBC775"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8</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E7FB1FD" w14:textId="77777777" w:rsidR="00B80103" w:rsidRPr="00347E18" w:rsidRDefault="006A52F1" w:rsidP="00B80103">
            <w:pPr>
              <w:rPr>
                <w:rFonts w:ascii="Calibri" w:hAnsi="Calibri" w:cs="Calibri"/>
                <w:sz w:val="19"/>
                <w:szCs w:val="19"/>
              </w:rPr>
            </w:pPr>
            <w:r w:rsidRPr="006A52F1">
              <w:rPr>
                <w:rFonts w:ascii="Calibri" w:hAnsi="Calibri" w:cs="Calibri"/>
                <w:sz w:val="19"/>
                <w:szCs w:val="19"/>
              </w:rPr>
              <w:t>Dëgjime publike për K</w:t>
            </w:r>
            <w:r w:rsidR="002A1D77">
              <w:rPr>
                <w:rFonts w:ascii="Calibri" w:hAnsi="Calibri" w:cs="Calibri"/>
                <w:sz w:val="19"/>
                <w:szCs w:val="19"/>
              </w:rPr>
              <w:t xml:space="preserve">ornizën </w:t>
            </w:r>
            <w:r w:rsidRPr="006A52F1">
              <w:rPr>
                <w:rFonts w:ascii="Calibri" w:hAnsi="Calibri" w:cs="Calibri"/>
                <w:sz w:val="19"/>
                <w:szCs w:val="19"/>
              </w:rPr>
              <w:t>A</w:t>
            </w:r>
            <w:r w:rsidR="002A1D77">
              <w:rPr>
                <w:rFonts w:ascii="Calibri" w:hAnsi="Calibri" w:cs="Calibri"/>
                <w:sz w:val="19"/>
                <w:szCs w:val="19"/>
              </w:rPr>
              <w:t xml:space="preserve">fatmesme </w:t>
            </w:r>
            <w:r w:rsidRPr="006A52F1">
              <w:rPr>
                <w:rFonts w:ascii="Calibri" w:hAnsi="Calibri" w:cs="Calibri"/>
                <w:sz w:val="19"/>
                <w:szCs w:val="19"/>
              </w:rPr>
              <w:t>B</w:t>
            </w:r>
            <w:r w:rsidR="002A1D77">
              <w:rPr>
                <w:rFonts w:ascii="Calibri" w:hAnsi="Calibri" w:cs="Calibri"/>
                <w:sz w:val="19"/>
                <w:szCs w:val="19"/>
              </w:rPr>
              <w:t>uxhetore (KAB)</w:t>
            </w:r>
            <w:r w:rsidRPr="006A52F1">
              <w:rPr>
                <w:rFonts w:ascii="Calibri" w:hAnsi="Calibri" w:cs="Calibri"/>
                <w:sz w:val="19"/>
                <w:szCs w:val="19"/>
              </w:rPr>
              <w:t xml:space="preserve"> dhe buxhet komunal</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63DC129F"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4</w:t>
            </w:r>
          </w:p>
        </w:tc>
      </w:tr>
      <w:tr w:rsidR="00B80103" w:rsidRPr="004D2E1C" w14:paraId="20E0FF6B" w14:textId="77777777" w:rsidTr="00852D64">
        <w:trPr>
          <w:trHeight w:val="241"/>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A1BCAE4" w14:textId="77777777" w:rsidR="00B80103" w:rsidRPr="004D2E1C" w:rsidRDefault="00B80103" w:rsidP="00B80103">
            <w:pPr>
              <w:rPr>
                <w:rFonts w:ascii="Calibri" w:eastAsia="Calibri" w:hAnsi="Calibri"/>
                <w:b/>
                <w:color w:val="000000"/>
                <w:sz w:val="18"/>
                <w:szCs w:val="18"/>
              </w:rPr>
            </w:pPr>
            <w:r w:rsidRPr="004D2E1C">
              <w:rPr>
                <w:rFonts w:ascii="Calibri" w:eastAsia="Calibri" w:hAnsi="Calibri"/>
                <w:b/>
                <w:color w:val="000000"/>
                <w:sz w:val="18"/>
                <w:szCs w:val="18"/>
              </w:rPr>
              <w:t>III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743646B" w14:textId="77777777" w:rsidR="00B80103" w:rsidRPr="004D2E1C" w:rsidRDefault="00B80103" w:rsidP="00B80103">
            <w:pPr>
              <w:rPr>
                <w:rFonts w:ascii="Calibri" w:eastAsia="Calibri" w:hAnsi="Calibri"/>
                <w:b/>
                <w:bCs/>
                <w:color w:val="000000"/>
                <w:sz w:val="20"/>
                <w:szCs w:val="20"/>
              </w:rPr>
            </w:pPr>
            <w:r w:rsidRPr="00347E18">
              <w:rPr>
                <w:rFonts w:ascii="Calibri" w:eastAsia="Calibri" w:hAnsi="Calibri"/>
                <w:b/>
                <w:bCs/>
                <w:color w:val="000000"/>
                <w:sz w:val="20"/>
                <w:szCs w:val="20"/>
              </w:rPr>
              <w:t>Transparenca, qasja në informata dhe integriteti</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F7043AC" w14:textId="77777777" w:rsidR="00B80103" w:rsidRPr="004D2E1C" w:rsidRDefault="00B80103" w:rsidP="00B80103">
            <w:pPr>
              <w:jc w:val="center"/>
              <w:rPr>
                <w:rFonts w:ascii="Calibri" w:eastAsia="Calibri" w:hAnsi="Calibri"/>
                <w:b/>
                <w:bCs/>
                <w:color w:val="000000"/>
                <w:sz w:val="28"/>
                <w:szCs w:val="28"/>
              </w:rPr>
            </w:pPr>
            <w:r w:rsidRPr="004D2E1C">
              <w:rPr>
                <w:rFonts w:ascii="Calibri" w:eastAsia="Calibri" w:hAnsi="Calibri"/>
                <w:b/>
                <w:bCs/>
                <w:color w:val="000000"/>
                <w:sz w:val="22"/>
                <w:szCs w:val="22"/>
              </w:rPr>
              <w:t>1</w:t>
            </w:r>
            <w:r>
              <w:rPr>
                <w:rFonts w:ascii="Calibri" w:eastAsia="Calibri" w:hAnsi="Calibri"/>
                <w:b/>
                <w:bCs/>
                <w:color w:val="000000"/>
                <w:sz w:val="22"/>
                <w:szCs w:val="22"/>
              </w:rPr>
              <w:t>5</w:t>
            </w:r>
          </w:p>
        </w:tc>
      </w:tr>
      <w:tr w:rsidR="00B80103" w:rsidRPr="004D2E1C" w14:paraId="233E5A2F" w14:textId="77777777" w:rsidTr="00852D64">
        <w:trPr>
          <w:trHeight w:val="300"/>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2B36EDB"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9</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8B0B03B" w14:textId="77777777" w:rsidR="00B80103" w:rsidRPr="004D2E1C" w:rsidRDefault="006A52F1" w:rsidP="00B80103">
            <w:pPr>
              <w:rPr>
                <w:rFonts w:ascii="Calibri" w:eastAsia="Calibri" w:hAnsi="Calibri"/>
                <w:color w:val="000000"/>
                <w:sz w:val="19"/>
                <w:szCs w:val="19"/>
              </w:rPr>
            </w:pPr>
            <w:r w:rsidRPr="006A52F1">
              <w:rPr>
                <w:rFonts w:ascii="Calibri" w:hAnsi="Calibri" w:cs="Calibri"/>
                <w:color w:val="000000"/>
                <w:sz w:val="19"/>
                <w:szCs w:val="19"/>
              </w:rPr>
              <w:t xml:space="preserve">Mbledhjet e kuvendit të bëra publike dhe </w:t>
            </w:r>
            <w:r w:rsidR="00B4288A">
              <w:rPr>
                <w:rFonts w:ascii="Calibri" w:hAnsi="Calibri" w:cs="Calibri"/>
                <w:color w:val="000000"/>
                <w:sz w:val="19"/>
                <w:szCs w:val="19"/>
              </w:rPr>
              <w:t xml:space="preserve">të </w:t>
            </w:r>
            <w:r w:rsidRPr="006A52F1">
              <w:rPr>
                <w:rFonts w:ascii="Calibri" w:hAnsi="Calibri" w:cs="Calibri"/>
                <w:color w:val="000000"/>
                <w:sz w:val="19"/>
                <w:szCs w:val="19"/>
              </w:rPr>
              <w:t>transmetuara drejtpërdrejtë online</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D65BE32"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3</w:t>
            </w:r>
          </w:p>
        </w:tc>
      </w:tr>
      <w:tr w:rsidR="00B80103" w:rsidRPr="004D2E1C" w14:paraId="04A68CB3" w14:textId="77777777" w:rsidTr="00852D64">
        <w:trPr>
          <w:trHeight w:val="300"/>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A1684A2"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10</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3CEB003C" w14:textId="77777777" w:rsidR="00B80103" w:rsidRPr="004D2E1C" w:rsidRDefault="006A52F1" w:rsidP="009A2406">
            <w:pPr>
              <w:rPr>
                <w:rFonts w:ascii="Calibri" w:eastAsia="Calibri" w:hAnsi="Calibri"/>
                <w:color w:val="000000"/>
                <w:sz w:val="19"/>
                <w:szCs w:val="19"/>
              </w:rPr>
            </w:pPr>
            <w:r w:rsidRPr="006A52F1">
              <w:rPr>
                <w:rFonts w:ascii="Calibri" w:hAnsi="Calibri" w:cs="Calibri"/>
                <w:color w:val="000000"/>
                <w:sz w:val="19"/>
                <w:szCs w:val="19"/>
              </w:rPr>
              <w:t>Përmbushja e kritereve të  faqes zyrtare elektronike të komunës</w:t>
            </w:r>
            <w:r w:rsidRPr="006A52F1" w:rsidDel="006A52F1">
              <w:rPr>
                <w:rFonts w:ascii="Calibri" w:hAnsi="Calibri" w:cs="Calibri"/>
                <w:color w:val="000000"/>
                <w:sz w:val="19"/>
                <w:szCs w:val="19"/>
              </w:rPr>
              <w:t xml:space="preserve"> </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E74DF48"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4</w:t>
            </w:r>
          </w:p>
        </w:tc>
      </w:tr>
      <w:tr w:rsidR="00B80103" w:rsidRPr="004D2E1C" w14:paraId="2A6BF35E"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47063B5"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11</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6ADBE77" w14:textId="77777777" w:rsidR="00B80103" w:rsidRPr="00347E18" w:rsidRDefault="006A52F1" w:rsidP="00B80103">
            <w:pPr>
              <w:rPr>
                <w:rFonts w:ascii="Calibri" w:eastAsia="Calibri" w:hAnsi="Calibri"/>
                <w:sz w:val="19"/>
                <w:szCs w:val="19"/>
              </w:rPr>
            </w:pPr>
            <w:r w:rsidRPr="006A52F1">
              <w:rPr>
                <w:rFonts w:ascii="Calibri" w:eastAsia="Calibri" w:hAnsi="Calibri"/>
                <w:sz w:val="19"/>
                <w:szCs w:val="19"/>
              </w:rPr>
              <w:t>Publikimi i dokumenteve të prokurimit publik të komunës</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270BF69" w14:textId="77777777" w:rsidR="00B80103" w:rsidRPr="00347E18" w:rsidRDefault="00B80103" w:rsidP="00B80103">
            <w:pPr>
              <w:jc w:val="center"/>
              <w:rPr>
                <w:rFonts w:ascii="Calibri" w:eastAsia="Calibri" w:hAnsi="Calibri"/>
                <w:sz w:val="19"/>
                <w:szCs w:val="19"/>
              </w:rPr>
            </w:pPr>
            <w:r>
              <w:rPr>
                <w:rFonts w:ascii="Calibri" w:eastAsia="Calibri" w:hAnsi="Calibri"/>
                <w:sz w:val="19"/>
                <w:szCs w:val="19"/>
              </w:rPr>
              <w:t>2</w:t>
            </w:r>
          </w:p>
        </w:tc>
      </w:tr>
      <w:tr w:rsidR="00B80103" w:rsidRPr="004D2E1C" w14:paraId="0008DFC3" w14:textId="77777777" w:rsidTr="00852D64">
        <w:trPr>
          <w:trHeight w:val="300"/>
          <w:jc w:val="center"/>
        </w:trPr>
        <w:tc>
          <w:tcPr>
            <w:tcW w:w="836" w:type="dxa"/>
            <w:tcBorders>
              <w:top w:val="single" w:sz="8" w:space="0" w:color="auto"/>
              <w:left w:val="single" w:sz="12"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14:paraId="0A6416EC"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12</w:t>
            </w:r>
          </w:p>
        </w:tc>
        <w:tc>
          <w:tcPr>
            <w:tcW w:w="7268"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14:paraId="3CD010EF" w14:textId="77777777" w:rsidR="00B80103" w:rsidRPr="00347E18" w:rsidRDefault="006A52F1" w:rsidP="00B80103">
            <w:pPr>
              <w:rPr>
                <w:rFonts w:ascii="Calibri" w:eastAsia="Calibri" w:hAnsi="Calibri"/>
                <w:sz w:val="19"/>
                <w:szCs w:val="19"/>
              </w:rPr>
            </w:pPr>
            <w:r w:rsidRPr="006A52F1">
              <w:rPr>
                <w:rFonts w:ascii="Calibri" w:eastAsia="Calibri" w:hAnsi="Calibri"/>
                <w:sz w:val="19"/>
                <w:szCs w:val="19"/>
              </w:rPr>
              <w:t>Publikimi i raporteve për procese të konsultimeve publike</w:t>
            </w:r>
          </w:p>
        </w:tc>
        <w:tc>
          <w:tcPr>
            <w:tcW w:w="852" w:type="dxa"/>
            <w:tcBorders>
              <w:top w:val="single" w:sz="8" w:space="0" w:color="auto"/>
              <w:left w:val="single" w:sz="8"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15267951" w14:textId="77777777" w:rsidR="00B80103" w:rsidRPr="00347E18" w:rsidRDefault="00B80103" w:rsidP="00B80103">
            <w:pPr>
              <w:jc w:val="center"/>
              <w:rPr>
                <w:rFonts w:ascii="Calibri" w:eastAsia="Calibri" w:hAnsi="Calibri"/>
                <w:sz w:val="19"/>
                <w:szCs w:val="19"/>
              </w:rPr>
            </w:pPr>
            <w:r>
              <w:rPr>
                <w:rFonts w:ascii="Calibri" w:eastAsia="Calibri" w:hAnsi="Calibri"/>
                <w:sz w:val="19"/>
                <w:szCs w:val="19"/>
              </w:rPr>
              <w:t>4</w:t>
            </w:r>
          </w:p>
        </w:tc>
      </w:tr>
      <w:tr w:rsidR="00B80103" w:rsidRPr="004D2E1C" w14:paraId="287C9047" w14:textId="77777777" w:rsidTr="00852D64">
        <w:trPr>
          <w:trHeight w:val="300"/>
          <w:jc w:val="center"/>
        </w:trPr>
        <w:tc>
          <w:tcPr>
            <w:tcW w:w="836" w:type="dxa"/>
            <w:tcBorders>
              <w:top w:val="single" w:sz="8"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F7CEC51"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13</w:t>
            </w:r>
          </w:p>
        </w:tc>
        <w:tc>
          <w:tcPr>
            <w:tcW w:w="7268" w:type="dxa"/>
            <w:tcBorders>
              <w:top w:val="single" w:sz="8"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682CD46" w14:textId="77777777" w:rsidR="00B80103" w:rsidRPr="00347E18" w:rsidRDefault="00B80103">
            <w:pPr>
              <w:rPr>
                <w:rFonts w:ascii="Calibri" w:eastAsia="Calibri" w:hAnsi="Calibri"/>
                <w:sz w:val="19"/>
                <w:szCs w:val="19"/>
              </w:rPr>
            </w:pPr>
            <w:r w:rsidRPr="00347E18">
              <w:rPr>
                <w:rFonts w:ascii="Calibri" w:eastAsia="Calibri" w:hAnsi="Calibri"/>
                <w:sz w:val="19"/>
                <w:szCs w:val="19"/>
              </w:rPr>
              <w:t xml:space="preserve">Raportimi </w:t>
            </w:r>
            <w:r w:rsidR="006A52F1">
              <w:rPr>
                <w:rFonts w:ascii="Calibri" w:eastAsia="Calibri" w:hAnsi="Calibri"/>
                <w:sz w:val="19"/>
                <w:szCs w:val="19"/>
              </w:rPr>
              <w:t xml:space="preserve">i </w:t>
            </w:r>
            <w:r w:rsidRPr="00347E18">
              <w:rPr>
                <w:rFonts w:ascii="Calibri" w:eastAsia="Calibri" w:hAnsi="Calibri"/>
                <w:sz w:val="19"/>
                <w:szCs w:val="19"/>
              </w:rPr>
              <w:t>planit</w:t>
            </w:r>
            <w:r w:rsidR="006A52F1">
              <w:rPr>
                <w:rFonts w:ascii="Calibri" w:eastAsia="Calibri" w:hAnsi="Calibri"/>
                <w:sz w:val="19"/>
                <w:szCs w:val="19"/>
              </w:rPr>
              <w:t xml:space="preserve"> vjetor të planit</w:t>
            </w:r>
            <w:r w:rsidRPr="00347E18">
              <w:rPr>
                <w:rFonts w:ascii="Calibri" w:eastAsia="Calibri" w:hAnsi="Calibri"/>
                <w:sz w:val="19"/>
                <w:szCs w:val="19"/>
              </w:rPr>
              <w:t xml:space="preserve"> të integritetit para Kuvendit Komunal</w:t>
            </w:r>
          </w:p>
        </w:tc>
        <w:tc>
          <w:tcPr>
            <w:tcW w:w="852" w:type="dxa"/>
            <w:tcBorders>
              <w:top w:val="single" w:sz="8"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0309C2A3" w14:textId="77777777" w:rsidR="00B80103" w:rsidRPr="00347E18" w:rsidRDefault="00B80103" w:rsidP="00B80103">
            <w:pPr>
              <w:jc w:val="center"/>
              <w:rPr>
                <w:rFonts w:ascii="Calibri" w:eastAsia="Calibri" w:hAnsi="Calibri"/>
                <w:sz w:val="19"/>
                <w:szCs w:val="19"/>
              </w:rPr>
            </w:pPr>
            <w:r>
              <w:rPr>
                <w:rFonts w:ascii="Calibri" w:eastAsia="Calibri" w:hAnsi="Calibri"/>
                <w:sz w:val="19"/>
                <w:szCs w:val="19"/>
              </w:rPr>
              <w:t>2</w:t>
            </w:r>
          </w:p>
        </w:tc>
      </w:tr>
      <w:tr w:rsidR="00B80103" w:rsidRPr="004D2E1C" w14:paraId="7E5C752B" w14:textId="77777777" w:rsidTr="00852D64">
        <w:trPr>
          <w:trHeight w:val="363"/>
          <w:jc w:val="center"/>
        </w:trPr>
        <w:tc>
          <w:tcPr>
            <w:tcW w:w="8104"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4DB7BBF3" w14:textId="77777777" w:rsidR="00B80103" w:rsidRPr="004D2E1C" w:rsidRDefault="00B80103" w:rsidP="00B80103">
            <w:pPr>
              <w:rPr>
                <w:rFonts w:ascii="Calibri" w:eastAsia="Calibri" w:hAnsi="Calibri"/>
                <w:b/>
                <w:bCs/>
                <w:color w:val="000000"/>
                <w:sz w:val="22"/>
                <w:szCs w:val="22"/>
              </w:rPr>
            </w:pPr>
            <w:r w:rsidRPr="00347E18">
              <w:rPr>
                <w:rFonts w:ascii="Calibri" w:eastAsia="Calibri" w:hAnsi="Calibri"/>
                <w:b/>
                <w:bCs/>
                <w:color w:val="000000"/>
                <w:sz w:val="22"/>
                <w:szCs w:val="22"/>
              </w:rPr>
              <w:t>II. MENAXHIMI KOMUNAL</w:t>
            </w:r>
          </w:p>
        </w:tc>
        <w:tc>
          <w:tcPr>
            <w:tcW w:w="852"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1CB2470D" w14:textId="2599905C" w:rsidR="00B80103" w:rsidRPr="004D2E1C" w:rsidRDefault="0039480B" w:rsidP="00B80103">
            <w:pPr>
              <w:jc w:val="center"/>
              <w:rPr>
                <w:rFonts w:ascii="Calibri" w:eastAsia="Calibri" w:hAnsi="Calibri"/>
                <w:b/>
                <w:bCs/>
                <w:color w:val="000000"/>
                <w:sz w:val="32"/>
                <w:szCs w:val="32"/>
              </w:rPr>
            </w:pPr>
            <w:r>
              <w:rPr>
                <w:rFonts w:ascii="Calibri" w:eastAsia="Calibri" w:hAnsi="Calibri"/>
                <w:b/>
                <w:bCs/>
                <w:color w:val="000000"/>
                <w:sz w:val="22"/>
                <w:szCs w:val="22"/>
              </w:rPr>
              <w:t>28</w:t>
            </w:r>
          </w:p>
        </w:tc>
      </w:tr>
      <w:tr w:rsidR="00B80103" w:rsidRPr="004D2E1C" w14:paraId="50CB3EC8" w14:textId="77777777" w:rsidTr="00852D64">
        <w:trPr>
          <w:trHeight w:val="307"/>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C07DC58" w14:textId="77777777" w:rsidR="00B80103" w:rsidRPr="004D2E1C" w:rsidRDefault="00B80103" w:rsidP="00B80103">
            <w:pPr>
              <w:rPr>
                <w:rFonts w:ascii="Calibri" w:eastAsia="Calibri" w:hAnsi="Calibri"/>
                <w:b/>
                <w:bCs/>
                <w:color w:val="000000"/>
                <w:sz w:val="32"/>
                <w:szCs w:val="32"/>
              </w:rPr>
            </w:pPr>
            <w:r w:rsidRPr="004D2E1C">
              <w:rPr>
                <w:rFonts w:ascii="Calibri" w:eastAsia="Calibri" w:hAnsi="Calibri"/>
                <w:b/>
                <w:color w:val="000000"/>
                <w:sz w:val="18"/>
                <w:szCs w:val="18"/>
              </w:rPr>
              <w:t>IV</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49D0133" w14:textId="77777777" w:rsidR="00B80103" w:rsidRPr="004D2E1C" w:rsidRDefault="00B80103" w:rsidP="00B80103">
            <w:pPr>
              <w:rPr>
                <w:rFonts w:ascii="Calibri" w:eastAsia="Calibri" w:hAnsi="Calibri"/>
                <w:b/>
                <w:bCs/>
                <w:color w:val="000000"/>
                <w:sz w:val="20"/>
                <w:szCs w:val="20"/>
              </w:rPr>
            </w:pPr>
            <w:r>
              <w:rPr>
                <w:rFonts w:ascii="Calibri" w:eastAsia="Calibri" w:hAnsi="Calibri"/>
                <w:b/>
                <w:bCs/>
                <w:color w:val="000000"/>
                <w:sz w:val="20"/>
                <w:szCs w:val="20"/>
              </w:rPr>
              <w:t>Menaxhimi financiar</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6643C436" w14:textId="77777777" w:rsidR="00B80103" w:rsidRPr="004D2E1C" w:rsidRDefault="00B80103" w:rsidP="00B80103">
            <w:pPr>
              <w:jc w:val="center"/>
              <w:rPr>
                <w:rFonts w:ascii="Calibri" w:eastAsia="Calibri" w:hAnsi="Calibri"/>
                <w:b/>
                <w:bCs/>
                <w:color w:val="000000"/>
                <w:sz w:val="28"/>
                <w:szCs w:val="28"/>
              </w:rPr>
            </w:pPr>
            <w:r w:rsidRPr="004D2E1C">
              <w:rPr>
                <w:rFonts w:ascii="Calibri" w:eastAsia="Calibri" w:hAnsi="Calibri"/>
                <w:b/>
                <w:bCs/>
                <w:color w:val="000000"/>
                <w:sz w:val="22"/>
                <w:szCs w:val="22"/>
              </w:rPr>
              <w:t>1</w:t>
            </w:r>
            <w:r w:rsidR="005C7893">
              <w:rPr>
                <w:rFonts w:ascii="Calibri" w:eastAsia="Calibri" w:hAnsi="Calibri"/>
                <w:b/>
                <w:bCs/>
                <w:color w:val="000000"/>
                <w:sz w:val="22"/>
                <w:szCs w:val="22"/>
              </w:rPr>
              <w:t>3</w:t>
            </w:r>
          </w:p>
        </w:tc>
      </w:tr>
      <w:tr w:rsidR="005C7893" w:rsidRPr="004D2E1C" w14:paraId="73BC50EF" w14:textId="77777777" w:rsidTr="00852D64">
        <w:trPr>
          <w:trHeight w:val="224"/>
          <w:jc w:val="center"/>
        </w:trPr>
        <w:tc>
          <w:tcPr>
            <w:tcW w:w="836"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20345F77"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14</w:t>
            </w:r>
          </w:p>
        </w:tc>
        <w:tc>
          <w:tcPr>
            <w:tcW w:w="7268"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143F25C9" w14:textId="77777777" w:rsidR="005C7893" w:rsidRPr="0052538C" w:rsidRDefault="006A52F1" w:rsidP="005C7893">
            <w:pPr>
              <w:rPr>
                <w:rFonts w:ascii="Calibri" w:hAnsi="Calibri" w:cs="Calibri"/>
                <w:color w:val="000000"/>
                <w:sz w:val="19"/>
                <w:szCs w:val="19"/>
              </w:rPr>
            </w:pPr>
            <w:r w:rsidRPr="006A52F1">
              <w:rPr>
                <w:rFonts w:ascii="Calibri" w:hAnsi="Calibri" w:cs="Calibri"/>
                <w:color w:val="000000"/>
                <w:sz w:val="19"/>
                <w:szCs w:val="19"/>
              </w:rPr>
              <w:t>Niveli i azhurnimit t</w:t>
            </w:r>
            <w:r>
              <w:rPr>
                <w:rFonts w:ascii="Calibri" w:hAnsi="Calibri" w:cs="Calibri"/>
                <w:color w:val="000000"/>
                <w:sz w:val="19"/>
                <w:szCs w:val="19"/>
              </w:rPr>
              <w:t>ë regjistrit të tatimit në pronë</w:t>
            </w:r>
          </w:p>
        </w:tc>
        <w:tc>
          <w:tcPr>
            <w:tcW w:w="852"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599436B" w14:textId="77777777" w:rsidR="005C7893" w:rsidRPr="004D2E1C" w:rsidRDefault="005C7893" w:rsidP="005C7893">
            <w:pPr>
              <w:jc w:val="center"/>
              <w:rPr>
                <w:rFonts w:ascii="Calibri" w:eastAsia="Calibri" w:hAnsi="Calibri"/>
                <w:color w:val="000000"/>
                <w:sz w:val="19"/>
                <w:szCs w:val="19"/>
              </w:rPr>
            </w:pPr>
            <w:r w:rsidRPr="004D2E1C">
              <w:rPr>
                <w:rFonts w:ascii="Calibri" w:eastAsia="Calibri" w:hAnsi="Calibri"/>
                <w:color w:val="000000"/>
                <w:sz w:val="19"/>
                <w:szCs w:val="19"/>
              </w:rPr>
              <w:t>3</w:t>
            </w:r>
          </w:p>
        </w:tc>
      </w:tr>
      <w:tr w:rsidR="005C7893" w:rsidRPr="004D2E1C" w14:paraId="00BC72AD"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A79E4B3"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15</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14774E1" w14:textId="77777777" w:rsidR="005C7893" w:rsidRPr="004D2E1C" w:rsidRDefault="006A52F1" w:rsidP="005C7893">
            <w:pPr>
              <w:rPr>
                <w:rFonts w:ascii="Calibri" w:eastAsia="Calibri" w:hAnsi="Calibri"/>
                <w:color w:val="000000"/>
                <w:sz w:val="19"/>
                <w:szCs w:val="19"/>
              </w:rPr>
            </w:pPr>
            <w:r w:rsidRPr="006A52F1">
              <w:rPr>
                <w:rFonts w:ascii="Calibri" w:eastAsia="Calibri" w:hAnsi="Calibri"/>
                <w:color w:val="000000"/>
                <w:sz w:val="19"/>
                <w:szCs w:val="19"/>
              </w:rPr>
              <w:t>Niveli i mbledhjes së faturës së tatimit në pronë (pa borxhe, interesa, ndëshkime)</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D5BAB03"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5</w:t>
            </w:r>
          </w:p>
        </w:tc>
      </w:tr>
      <w:tr w:rsidR="005C7893" w:rsidRPr="004D2E1C" w14:paraId="2498B181"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58880F7E"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16</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6C73AE6" w14:textId="77777777" w:rsidR="005C7893" w:rsidRPr="004D2E1C" w:rsidRDefault="006A52F1" w:rsidP="005C7893">
            <w:pPr>
              <w:rPr>
                <w:rFonts w:ascii="Calibri" w:eastAsia="Calibri" w:hAnsi="Calibri"/>
                <w:color w:val="000000"/>
                <w:sz w:val="19"/>
                <w:szCs w:val="19"/>
              </w:rPr>
            </w:pPr>
            <w:r w:rsidRPr="006A52F1">
              <w:rPr>
                <w:rFonts w:ascii="Calibri" w:hAnsi="Calibri" w:cs="Calibri"/>
                <w:color w:val="000000"/>
                <w:sz w:val="19"/>
                <w:szCs w:val="19"/>
              </w:rPr>
              <w:t>Niveli i adresimit të rekomandimeve të Zyrës Kombëtare të Auditorit</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42B84F6"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5</w:t>
            </w:r>
          </w:p>
        </w:tc>
      </w:tr>
      <w:tr w:rsidR="005C7893" w:rsidRPr="004D2E1C" w14:paraId="13C112F7" w14:textId="77777777" w:rsidTr="00852D64">
        <w:trPr>
          <w:trHeight w:val="199"/>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0DE5711" w14:textId="77777777" w:rsidR="005C7893" w:rsidRPr="004D2E1C" w:rsidRDefault="004D316E" w:rsidP="005C7893">
            <w:pPr>
              <w:rPr>
                <w:rFonts w:ascii="Calibri" w:eastAsia="Calibri" w:hAnsi="Calibri"/>
                <w:b/>
                <w:color w:val="000000"/>
                <w:sz w:val="18"/>
                <w:szCs w:val="18"/>
              </w:rPr>
            </w:pPr>
            <w:r>
              <w:rPr>
                <w:rFonts w:ascii="Calibri" w:eastAsia="Calibri" w:hAnsi="Calibri"/>
                <w:b/>
                <w:color w:val="000000"/>
                <w:sz w:val="18"/>
                <w:szCs w:val="18"/>
              </w:rPr>
              <w:lastRenderedPageBreak/>
              <w:t>V</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CBED94E" w14:textId="77777777" w:rsidR="005C7893" w:rsidRPr="004D2E1C" w:rsidRDefault="005C7893" w:rsidP="005C7893">
            <w:pPr>
              <w:rPr>
                <w:rFonts w:ascii="Calibri" w:eastAsia="Calibri" w:hAnsi="Calibri"/>
                <w:b/>
                <w:bCs/>
                <w:color w:val="000000"/>
                <w:sz w:val="20"/>
                <w:szCs w:val="20"/>
              </w:rPr>
            </w:pPr>
            <w:r w:rsidRPr="004D2E1C">
              <w:rPr>
                <w:rFonts w:ascii="Calibri" w:eastAsia="Calibri" w:hAnsi="Calibri"/>
                <w:b/>
                <w:bCs/>
                <w:color w:val="000000"/>
                <w:sz w:val="20"/>
                <w:szCs w:val="20"/>
              </w:rPr>
              <w:t>Menaxhimi</w:t>
            </w:r>
            <w:r>
              <w:rPr>
                <w:rFonts w:ascii="Calibri" w:eastAsia="Calibri" w:hAnsi="Calibri"/>
                <w:b/>
                <w:bCs/>
                <w:color w:val="000000"/>
                <w:sz w:val="20"/>
                <w:szCs w:val="20"/>
              </w:rPr>
              <w:t xml:space="preserve"> i kontrat</w:t>
            </w:r>
            <w:r w:rsidR="00A278B8">
              <w:rPr>
                <w:rFonts w:ascii="Calibri" w:eastAsia="Calibri" w:hAnsi="Calibri"/>
                <w:b/>
                <w:bCs/>
                <w:color w:val="000000"/>
                <w:sz w:val="20"/>
                <w:szCs w:val="20"/>
              </w:rPr>
              <w:t>ave</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00A34CAC" w14:textId="77777777" w:rsidR="005C7893" w:rsidRPr="004D2E1C" w:rsidRDefault="005C7893" w:rsidP="005C7893">
            <w:pPr>
              <w:jc w:val="center"/>
              <w:rPr>
                <w:rFonts w:ascii="Calibri" w:eastAsia="Calibri" w:hAnsi="Calibri"/>
                <w:b/>
                <w:bCs/>
                <w:color w:val="000000"/>
                <w:sz w:val="28"/>
                <w:szCs w:val="28"/>
              </w:rPr>
            </w:pPr>
            <w:r>
              <w:rPr>
                <w:rFonts w:ascii="Calibri" w:eastAsia="Calibri" w:hAnsi="Calibri"/>
                <w:b/>
                <w:bCs/>
                <w:color w:val="000000"/>
                <w:sz w:val="22"/>
                <w:szCs w:val="22"/>
              </w:rPr>
              <w:t>7</w:t>
            </w:r>
          </w:p>
        </w:tc>
      </w:tr>
      <w:tr w:rsidR="005C7893" w:rsidRPr="004D2E1C" w14:paraId="50A85DCC" w14:textId="77777777" w:rsidTr="00852D64">
        <w:trPr>
          <w:trHeight w:val="300"/>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1015536"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17</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B2EE8E5" w14:textId="77777777" w:rsidR="005C7893" w:rsidRPr="004D2E1C" w:rsidRDefault="006A52F1" w:rsidP="005C7893">
            <w:pPr>
              <w:rPr>
                <w:rFonts w:ascii="Calibri" w:eastAsia="Calibri" w:hAnsi="Calibri"/>
                <w:sz w:val="19"/>
                <w:szCs w:val="19"/>
              </w:rPr>
            </w:pPr>
            <w:r>
              <w:rPr>
                <w:rFonts w:ascii="Calibri" w:hAnsi="Calibri" w:cs="Calibri"/>
                <w:color w:val="000000"/>
                <w:sz w:val="19"/>
                <w:szCs w:val="19"/>
              </w:rPr>
              <w:t>Niveli i z</w:t>
            </w:r>
            <w:r w:rsidR="005C7893" w:rsidRPr="00347E18">
              <w:rPr>
                <w:rFonts w:ascii="Calibri" w:hAnsi="Calibri" w:cs="Calibri"/>
                <w:color w:val="000000"/>
                <w:sz w:val="19"/>
                <w:szCs w:val="19"/>
              </w:rPr>
              <w:t>batimi i planit të prokurimit</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1A98D8E" w14:textId="77777777" w:rsidR="005C7893" w:rsidRPr="004D2E1C" w:rsidRDefault="005C7893" w:rsidP="005C7893">
            <w:pPr>
              <w:jc w:val="center"/>
              <w:rPr>
                <w:rFonts w:ascii="Calibri" w:eastAsia="Calibri" w:hAnsi="Calibri"/>
                <w:color w:val="000000"/>
                <w:sz w:val="19"/>
                <w:szCs w:val="19"/>
              </w:rPr>
            </w:pPr>
            <w:r w:rsidRPr="004D2E1C">
              <w:rPr>
                <w:rFonts w:ascii="Calibri" w:eastAsia="Calibri" w:hAnsi="Calibri"/>
                <w:color w:val="000000"/>
                <w:sz w:val="19"/>
                <w:szCs w:val="19"/>
              </w:rPr>
              <w:t>3</w:t>
            </w:r>
          </w:p>
        </w:tc>
      </w:tr>
      <w:tr w:rsidR="005C7893" w:rsidRPr="004D2E1C" w14:paraId="1C8DD85E" w14:textId="77777777" w:rsidTr="00852D64">
        <w:trPr>
          <w:trHeight w:val="300"/>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6233373"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18</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bottom"/>
          </w:tcPr>
          <w:p w14:paraId="6F79A288" w14:textId="77777777" w:rsidR="005C7893" w:rsidRPr="004D2E1C" w:rsidRDefault="006A52F1" w:rsidP="005C7893">
            <w:pPr>
              <w:spacing w:after="40"/>
              <w:rPr>
                <w:rFonts w:ascii="Calibri" w:eastAsia="Calibri" w:hAnsi="Calibri"/>
                <w:color w:val="000000"/>
                <w:sz w:val="19"/>
                <w:szCs w:val="19"/>
              </w:rPr>
            </w:pPr>
            <w:r w:rsidRPr="006A52F1">
              <w:rPr>
                <w:rFonts w:ascii="Calibri" w:hAnsi="Calibri" w:cs="Calibri"/>
                <w:color w:val="000000"/>
                <w:sz w:val="19"/>
                <w:szCs w:val="19"/>
              </w:rPr>
              <w:t>Përgatitja dhe publikimi i listës së pronave komunale të planifikuar</w:t>
            </w:r>
            <w:r w:rsidR="00B4288A">
              <w:rPr>
                <w:rFonts w:ascii="Calibri" w:hAnsi="Calibri" w:cs="Calibri"/>
                <w:color w:val="000000"/>
                <w:sz w:val="19"/>
                <w:szCs w:val="19"/>
              </w:rPr>
              <w:t>a</w:t>
            </w:r>
            <w:r w:rsidRPr="006A52F1">
              <w:rPr>
                <w:rFonts w:ascii="Calibri" w:hAnsi="Calibri" w:cs="Calibri"/>
                <w:color w:val="000000"/>
                <w:sz w:val="19"/>
                <w:szCs w:val="19"/>
              </w:rPr>
              <w:t xml:space="preserve"> për dhënie në shfrytëzim</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285D40DB"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4</w:t>
            </w:r>
          </w:p>
        </w:tc>
      </w:tr>
      <w:tr w:rsidR="005C7893" w:rsidRPr="004D2E1C" w14:paraId="2611D740" w14:textId="77777777" w:rsidTr="00852D64">
        <w:trPr>
          <w:trHeight w:val="199"/>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08B25A94" w14:textId="77777777" w:rsidR="005C7893" w:rsidRPr="004D2E1C" w:rsidRDefault="005C7893" w:rsidP="005C7893">
            <w:pPr>
              <w:rPr>
                <w:rFonts w:ascii="Calibri" w:eastAsia="Calibri" w:hAnsi="Calibri"/>
                <w:b/>
                <w:color w:val="000000"/>
                <w:sz w:val="18"/>
                <w:szCs w:val="18"/>
              </w:rPr>
            </w:pPr>
            <w:r w:rsidRPr="004D2E1C">
              <w:rPr>
                <w:rFonts w:ascii="Calibri" w:eastAsia="Calibri" w:hAnsi="Calibri"/>
                <w:b/>
                <w:color w:val="000000"/>
                <w:sz w:val="18"/>
                <w:szCs w:val="18"/>
              </w:rPr>
              <w:t>VI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D499DBB" w14:textId="77777777" w:rsidR="005C7893" w:rsidRPr="004D2E1C" w:rsidRDefault="005C7893" w:rsidP="005C7893">
            <w:pPr>
              <w:rPr>
                <w:rFonts w:ascii="Calibri" w:eastAsia="Calibri" w:hAnsi="Calibri"/>
                <w:b/>
                <w:bCs/>
                <w:color w:val="000000"/>
                <w:sz w:val="20"/>
                <w:szCs w:val="20"/>
              </w:rPr>
            </w:pPr>
            <w:r w:rsidRPr="004D2E1C">
              <w:rPr>
                <w:rFonts w:ascii="Calibri" w:eastAsia="Calibri" w:hAnsi="Calibri"/>
                <w:b/>
                <w:bCs/>
                <w:color w:val="000000"/>
                <w:sz w:val="20"/>
                <w:szCs w:val="20"/>
              </w:rPr>
              <w:t>Menaxhimi</w:t>
            </w:r>
            <w:r>
              <w:rPr>
                <w:rFonts w:ascii="Calibri" w:eastAsia="Calibri" w:hAnsi="Calibri"/>
                <w:b/>
                <w:bCs/>
                <w:color w:val="000000"/>
                <w:sz w:val="20"/>
                <w:szCs w:val="20"/>
              </w:rPr>
              <w:t xml:space="preserve"> i burimeve njerëzore</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C34F117" w14:textId="0F43E9F9" w:rsidR="005C7893" w:rsidRPr="004D2E1C" w:rsidRDefault="0039480B" w:rsidP="005C7893">
            <w:pPr>
              <w:jc w:val="center"/>
              <w:rPr>
                <w:rFonts w:ascii="Calibri" w:eastAsia="Calibri" w:hAnsi="Calibri"/>
                <w:b/>
                <w:bCs/>
                <w:color w:val="000000"/>
                <w:sz w:val="28"/>
                <w:szCs w:val="28"/>
              </w:rPr>
            </w:pPr>
            <w:r>
              <w:rPr>
                <w:rFonts w:ascii="Calibri" w:eastAsia="Calibri" w:hAnsi="Calibri"/>
                <w:b/>
                <w:bCs/>
                <w:color w:val="000000"/>
                <w:sz w:val="22"/>
                <w:szCs w:val="22"/>
              </w:rPr>
              <w:t>8</w:t>
            </w:r>
          </w:p>
        </w:tc>
      </w:tr>
      <w:tr w:rsidR="005C7893" w:rsidRPr="004D2E1C" w14:paraId="2633DEED"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hideMark/>
          </w:tcPr>
          <w:p w14:paraId="157B6834" w14:textId="77777777" w:rsidR="005C7893" w:rsidRPr="004D2E1C" w:rsidRDefault="005C7893" w:rsidP="005C7893">
            <w:pPr>
              <w:jc w:val="center"/>
              <w:rPr>
                <w:rFonts w:ascii="Calibri" w:eastAsia="Calibri" w:hAnsi="Calibri"/>
                <w:color w:val="000000"/>
                <w:sz w:val="19"/>
                <w:szCs w:val="19"/>
              </w:rPr>
            </w:pPr>
            <w:r w:rsidRPr="004D2E1C">
              <w:rPr>
                <w:rFonts w:ascii="Calibri" w:eastAsia="Calibri" w:hAnsi="Calibri"/>
                <w:color w:val="000000"/>
                <w:sz w:val="19"/>
                <w:szCs w:val="19"/>
              </w:rPr>
              <w:t>19</w:t>
            </w:r>
          </w:p>
        </w:tc>
        <w:tc>
          <w:tcPr>
            <w:tcW w:w="7268"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bottom"/>
          </w:tcPr>
          <w:p w14:paraId="3A593DFA" w14:textId="000E51CB" w:rsidR="005C7893" w:rsidRPr="004D2E1C" w:rsidRDefault="005C7893" w:rsidP="005C7893">
            <w:pPr>
              <w:spacing w:after="40"/>
              <w:rPr>
                <w:rFonts w:ascii="Calibri" w:eastAsia="Calibri" w:hAnsi="Calibri"/>
                <w:sz w:val="19"/>
                <w:szCs w:val="19"/>
              </w:rPr>
            </w:pPr>
            <w:r w:rsidRPr="00B80103">
              <w:rPr>
                <w:rFonts w:ascii="Calibri" w:hAnsi="Calibri" w:cs="Calibri"/>
                <w:color w:val="000000"/>
                <w:sz w:val="19"/>
                <w:szCs w:val="19"/>
              </w:rPr>
              <w:t>Vende të hapura pune të proceduara përmes SIMBNj</w:t>
            </w:r>
            <w:r w:rsidR="00DB46A1">
              <w:rPr>
                <w:rStyle w:val="FootnoteReference"/>
                <w:rFonts w:ascii="Calibri" w:hAnsi="Calibri" w:cs="Calibri"/>
                <w:color w:val="000000"/>
                <w:sz w:val="19"/>
                <w:szCs w:val="19"/>
              </w:rPr>
              <w:footnoteReference w:id="8"/>
            </w:r>
          </w:p>
        </w:tc>
        <w:tc>
          <w:tcPr>
            <w:tcW w:w="852"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hideMark/>
          </w:tcPr>
          <w:p w14:paraId="0CAB644F"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2</w:t>
            </w:r>
          </w:p>
        </w:tc>
      </w:tr>
      <w:tr w:rsidR="005C7893" w:rsidRPr="004D2E1C" w14:paraId="05793621"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EFBF4BA" w14:textId="77777777" w:rsidR="005C7893" w:rsidRDefault="005C7893" w:rsidP="005C7893">
            <w:pPr>
              <w:jc w:val="center"/>
              <w:rPr>
                <w:rFonts w:ascii="Calibri" w:eastAsia="Calibri" w:hAnsi="Calibri"/>
                <w:color w:val="000000"/>
                <w:sz w:val="19"/>
                <w:szCs w:val="19"/>
              </w:rPr>
            </w:pPr>
            <w:r>
              <w:rPr>
                <w:rFonts w:ascii="Calibri" w:eastAsia="Calibri" w:hAnsi="Calibri"/>
                <w:color w:val="000000"/>
                <w:sz w:val="19"/>
                <w:szCs w:val="19"/>
              </w:rPr>
              <w:t>20</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14:paraId="12E85A1E" w14:textId="77777777" w:rsidR="005C7893" w:rsidRPr="00B80103" w:rsidRDefault="006A52F1" w:rsidP="005C7893">
            <w:pPr>
              <w:spacing w:after="40"/>
              <w:rPr>
                <w:rFonts w:ascii="Calibri" w:hAnsi="Calibri" w:cs="Calibri"/>
                <w:color w:val="000000"/>
                <w:sz w:val="19"/>
                <w:szCs w:val="19"/>
              </w:rPr>
            </w:pPr>
            <w:r w:rsidRPr="006A52F1">
              <w:rPr>
                <w:rFonts w:ascii="Calibri" w:hAnsi="Calibri" w:cs="Calibri"/>
                <w:color w:val="000000"/>
                <w:sz w:val="19"/>
                <w:szCs w:val="19"/>
              </w:rPr>
              <w:t>Gratë në pozita udhëheqëse në institucionet arsimore, shëndetësore e kulturore/sportive</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6D5DC81" w14:textId="77777777" w:rsidR="005C7893" w:rsidRDefault="005C7893" w:rsidP="005C7893">
            <w:pPr>
              <w:jc w:val="center"/>
              <w:rPr>
                <w:rFonts w:ascii="Calibri" w:eastAsia="Calibri" w:hAnsi="Calibri"/>
                <w:color w:val="000000"/>
                <w:sz w:val="19"/>
                <w:szCs w:val="19"/>
              </w:rPr>
            </w:pPr>
            <w:r>
              <w:rPr>
                <w:rFonts w:ascii="Calibri" w:eastAsia="Calibri" w:hAnsi="Calibri"/>
                <w:color w:val="000000"/>
                <w:sz w:val="19"/>
                <w:szCs w:val="19"/>
              </w:rPr>
              <w:t>5</w:t>
            </w:r>
          </w:p>
        </w:tc>
      </w:tr>
      <w:tr w:rsidR="005C7893" w:rsidRPr="004D2E1C" w14:paraId="5FB1C0E8"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161E4DCF"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21</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14:paraId="239BAC0F" w14:textId="77777777" w:rsidR="005C7893" w:rsidRPr="004D2E1C" w:rsidRDefault="00733B71" w:rsidP="005C7893">
            <w:pPr>
              <w:spacing w:after="40"/>
              <w:rPr>
                <w:rFonts w:ascii="Calibri" w:hAnsi="Calibri" w:cs="Calibri"/>
                <w:color w:val="000000"/>
                <w:sz w:val="19"/>
                <w:szCs w:val="19"/>
              </w:rPr>
            </w:pPr>
            <w:r w:rsidRPr="00733B71">
              <w:rPr>
                <w:rFonts w:ascii="Calibri" w:hAnsi="Calibri" w:cs="Calibri"/>
                <w:color w:val="000000"/>
                <w:sz w:val="19"/>
                <w:szCs w:val="19"/>
              </w:rPr>
              <w:t>Gra të emëruara në postet politike në komunë</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26247539"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3</w:t>
            </w:r>
          </w:p>
        </w:tc>
      </w:tr>
      <w:tr w:rsidR="005C7893" w:rsidRPr="004D2E1C" w14:paraId="259AE42F" w14:textId="77777777" w:rsidTr="00852D64">
        <w:trPr>
          <w:trHeight w:val="285"/>
          <w:jc w:val="center"/>
        </w:trPr>
        <w:tc>
          <w:tcPr>
            <w:tcW w:w="8104"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41425CC6" w14:textId="77777777" w:rsidR="005C7893" w:rsidRPr="004D2E1C" w:rsidRDefault="005C7893" w:rsidP="005C7893">
            <w:pPr>
              <w:rPr>
                <w:rFonts w:ascii="Calibri" w:eastAsia="Calibri" w:hAnsi="Calibri"/>
                <w:b/>
                <w:bCs/>
                <w:color w:val="000000"/>
                <w:sz w:val="22"/>
                <w:szCs w:val="22"/>
              </w:rPr>
            </w:pPr>
            <w:r w:rsidRPr="00B80103">
              <w:rPr>
                <w:rFonts w:ascii="Calibri" w:eastAsia="Calibri" w:hAnsi="Calibri"/>
                <w:b/>
                <w:bCs/>
                <w:color w:val="000000"/>
                <w:sz w:val="22"/>
                <w:szCs w:val="22"/>
              </w:rPr>
              <w:t>III. OFRIMI I SHËRBIMEVE</w:t>
            </w:r>
          </w:p>
        </w:tc>
        <w:tc>
          <w:tcPr>
            <w:tcW w:w="852"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29EDDF43" w14:textId="3B73B30C" w:rsidR="005C7893" w:rsidRPr="004D2E1C" w:rsidRDefault="00A20FA4" w:rsidP="005C7893">
            <w:pPr>
              <w:jc w:val="center"/>
              <w:rPr>
                <w:rFonts w:ascii="Calibri" w:eastAsia="Calibri" w:hAnsi="Calibri"/>
                <w:b/>
                <w:bCs/>
                <w:color w:val="000000"/>
                <w:sz w:val="22"/>
                <w:szCs w:val="22"/>
              </w:rPr>
            </w:pPr>
            <w:r>
              <w:rPr>
                <w:rFonts w:ascii="Calibri" w:eastAsia="Calibri" w:hAnsi="Calibri"/>
                <w:b/>
                <w:bCs/>
                <w:color w:val="000000"/>
                <w:sz w:val="22"/>
                <w:szCs w:val="22"/>
              </w:rPr>
              <w:t>26</w:t>
            </w:r>
          </w:p>
        </w:tc>
      </w:tr>
      <w:tr w:rsidR="005C7893" w:rsidRPr="004D2E1C" w14:paraId="6A6CE67E" w14:textId="77777777" w:rsidTr="00852D64">
        <w:trPr>
          <w:trHeight w:val="277"/>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4230A68E" w14:textId="77777777" w:rsidR="005C7893" w:rsidRPr="004D2E1C" w:rsidRDefault="004D316E" w:rsidP="005C7893">
            <w:pPr>
              <w:rPr>
                <w:rFonts w:ascii="Calibri" w:eastAsia="Calibri" w:hAnsi="Calibri"/>
                <w:b/>
                <w:bCs/>
                <w:color w:val="000000"/>
                <w:sz w:val="32"/>
                <w:szCs w:val="32"/>
              </w:rPr>
            </w:pPr>
            <w:r>
              <w:rPr>
                <w:rFonts w:ascii="Calibri" w:eastAsia="Calibri" w:hAnsi="Calibri"/>
                <w:b/>
                <w:color w:val="000000"/>
                <w:sz w:val="18"/>
                <w:szCs w:val="18"/>
              </w:rPr>
              <w:t>VII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F727A5D" w14:textId="77777777" w:rsidR="005C7893" w:rsidRPr="004D2E1C" w:rsidRDefault="005C7893" w:rsidP="005C7893">
            <w:pPr>
              <w:rPr>
                <w:rFonts w:ascii="Calibri" w:eastAsia="Calibri" w:hAnsi="Calibri"/>
                <w:b/>
                <w:bCs/>
                <w:color w:val="000000"/>
                <w:sz w:val="28"/>
                <w:szCs w:val="28"/>
              </w:rPr>
            </w:pPr>
            <w:r>
              <w:rPr>
                <w:rFonts w:ascii="Calibri" w:eastAsia="Calibri" w:hAnsi="Calibri"/>
                <w:b/>
                <w:bCs/>
                <w:color w:val="000000"/>
                <w:sz w:val="20"/>
                <w:szCs w:val="20"/>
              </w:rPr>
              <w:t>Sh</w:t>
            </w:r>
            <w:r w:rsidR="00494E44">
              <w:rPr>
                <w:rFonts w:ascii="Calibri" w:eastAsia="Calibri" w:hAnsi="Calibri"/>
                <w:b/>
                <w:bCs/>
                <w:color w:val="000000"/>
                <w:sz w:val="20"/>
                <w:szCs w:val="20"/>
              </w:rPr>
              <w:t>ë</w:t>
            </w:r>
            <w:r>
              <w:rPr>
                <w:rFonts w:ascii="Calibri" w:eastAsia="Calibri" w:hAnsi="Calibri"/>
                <w:b/>
                <w:bCs/>
                <w:color w:val="000000"/>
                <w:sz w:val="20"/>
                <w:szCs w:val="20"/>
              </w:rPr>
              <w:t>rbimet administrative</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14:paraId="45CD2763" w14:textId="77777777" w:rsidR="005C7893" w:rsidRPr="004D2E1C" w:rsidRDefault="005C7893" w:rsidP="005C7893">
            <w:pPr>
              <w:jc w:val="center"/>
              <w:rPr>
                <w:rFonts w:ascii="Calibri" w:eastAsia="Calibri" w:hAnsi="Calibri"/>
                <w:b/>
                <w:bCs/>
                <w:color w:val="000000"/>
                <w:sz w:val="28"/>
                <w:szCs w:val="28"/>
              </w:rPr>
            </w:pPr>
            <w:r w:rsidRPr="006E6903">
              <w:rPr>
                <w:rFonts w:ascii="Calibri" w:eastAsia="Calibri" w:hAnsi="Calibri"/>
                <w:b/>
                <w:bCs/>
                <w:color w:val="000000"/>
                <w:sz w:val="20"/>
                <w:szCs w:val="20"/>
              </w:rPr>
              <w:t>6</w:t>
            </w:r>
          </w:p>
        </w:tc>
      </w:tr>
      <w:tr w:rsidR="005C7893" w:rsidRPr="004D2E1C" w14:paraId="6A01F04F" w14:textId="77777777" w:rsidTr="00852D64">
        <w:trPr>
          <w:trHeight w:val="205"/>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ED34E55" w14:textId="773927E1" w:rsidR="005C7893" w:rsidRPr="004D2E1C" w:rsidRDefault="00C3393D" w:rsidP="00CD55EA">
            <w:pPr>
              <w:ind w:right="-108"/>
              <w:jc w:val="both"/>
              <w:rPr>
                <w:rFonts w:ascii="Calibri" w:hAnsi="Calibri" w:cs="Calibri"/>
                <w:sz w:val="19"/>
                <w:szCs w:val="19"/>
              </w:rPr>
            </w:pPr>
            <w:r>
              <w:rPr>
                <w:rFonts w:ascii="Calibri" w:hAnsi="Calibri" w:cs="Calibri"/>
                <w:sz w:val="19"/>
                <w:szCs w:val="19"/>
              </w:rPr>
              <w:t xml:space="preserve">     </w:t>
            </w:r>
            <w:r w:rsidR="004D316E">
              <w:rPr>
                <w:rFonts w:ascii="Calibri" w:hAnsi="Calibri" w:cs="Calibri"/>
                <w:sz w:val="19"/>
                <w:szCs w:val="19"/>
              </w:rPr>
              <w:t>22</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3B70F58F" w14:textId="77777777" w:rsidR="005C7893" w:rsidRPr="004D2E1C" w:rsidRDefault="006A52F1" w:rsidP="005C7893">
            <w:pPr>
              <w:spacing w:before="20"/>
              <w:ind w:right="-108"/>
              <w:rPr>
                <w:rFonts w:ascii="Calibri" w:hAnsi="Calibri" w:cs="Calibri"/>
                <w:sz w:val="19"/>
                <w:szCs w:val="19"/>
              </w:rPr>
            </w:pPr>
            <w:r>
              <w:rPr>
                <w:rFonts w:ascii="Calibri" w:hAnsi="Calibri" w:cs="Calibri"/>
                <w:sz w:val="19"/>
                <w:szCs w:val="19"/>
              </w:rPr>
              <w:t>K</w:t>
            </w:r>
            <w:r w:rsidR="00494E44">
              <w:rPr>
                <w:rFonts w:ascii="Calibri" w:hAnsi="Calibri" w:cs="Calibri"/>
                <w:sz w:val="19"/>
                <w:szCs w:val="19"/>
              </w:rPr>
              <w:t>ë</w:t>
            </w:r>
            <w:r w:rsidR="005C7893">
              <w:rPr>
                <w:rFonts w:ascii="Calibri" w:hAnsi="Calibri" w:cs="Calibri"/>
                <w:sz w:val="19"/>
                <w:szCs w:val="19"/>
              </w:rPr>
              <w:t>rkesa</w:t>
            </w:r>
            <w:r>
              <w:rPr>
                <w:rFonts w:ascii="Calibri" w:hAnsi="Calibri" w:cs="Calibri"/>
                <w:sz w:val="19"/>
                <w:szCs w:val="19"/>
              </w:rPr>
              <w:t>t</w:t>
            </w:r>
            <w:r w:rsidR="005C7893">
              <w:rPr>
                <w:rFonts w:ascii="Calibri" w:hAnsi="Calibri" w:cs="Calibri"/>
                <w:sz w:val="19"/>
                <w:szCs w:val="19"/>
              </w:rPr>
              <w:t xml:space="preserve"> administrative t</w:t>
            </w:r>
            <w:r w:rsidR="00494E44">
              <w:rPr>
                <w:rFonts w:ascii="Calibri" w:hAnsi="Calibri" w:cs="Calibri"/>
                <w:sz w:val="19"/>
                <w:szCs w:val="19"/>
              </w:rPr>
              <w:t>ë</w:t>
            </w:r>
            <w:r w:rsidR="005C7893">
              <w:rPr>
                <w:rFonts w:ascii="Calibri" w:hAnsi="Calibri" w:cs="Calibri"/>
                <w:sz w:val="19"/>
                <w:szCs w:val="19"/>
              </w:rPr>
              <w:t xml:space="preserve"> shqyrtuara brenda afateve ligjore</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7895154" w14:textId="77777777" w:rsidR="005C7893" w:rsidRPr="004D2E1C" w:rsidRDefault="005C7893" w:rsidP="005C7893">
            <w:pPr>
              <w:ind w:right="-108"/>
              <w:rPr>
                <w:rFonts w:ascii="Calibri" w:hAnsi="Calibri" w:cs="Calibri"/>
                <w:sz w:val="19"/>
                <w:szCs w:val="19"/>
              </w:rPr>
            </w:pPr>
            <w:r>
              <w:rPr>
                <w:rFonts w:ascii="Calibri" w:hAnsi="Calibri" w:cs="Calibri"/>
                <w:sz w:val="19"/>
                <w:szCs w:val="19"/>
              </w:rPr>
              <w:t xml:space="preserve">      4</w:t>
            </w:r>
          </w:p>
        </w:tc>
      </w:tr>
      <w:tr w:rsidR="005C7893" w:rsidRPr="004D2E1C" w14:paraId="59BE7B58" w14:textId="77777777" w:rsidTr="00852D64">
        <w:trPr>
          <w:trHeight w:val="211"/>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76CFD02" w14:textId="6A1BB455" w:rsidR="005C7893" w:rsidRPr="004D2E1C" w:rsidRDefault="00C3393D" w:rsidP="005C7893">
            <w:pPr>
              <w:ind w:right="-108"/>
              <w:rPr>
                <w:rFonts w:ascii="Calibri" w:hAnsi="Calibri" w:cs="Calibri"/>
                <w:sz w:val="19"/>
                <w:szCs w:val="19"/>
              </w:rPr>
            </w:pPr>
            <w:r>
              <w:rPr>
                <w:rFonts w:ascii="Calibri" w:hAnsi="Calibri" w:cs="Calibri"/>
                <w:sz w:val="19"/>
                <w:szCs w:val="19"/>
              </w:rPr>
              <w:t xml:space="preserve">     </w:t>
            </w:r>
            <w:r w:rsidR="004D316E">
              <w:rPr>
                <w:rFonts w:ascii="Calibri" w:hAnsi="Calibri" w:cs="Calibri"/>
                <w:sz w:val="19"/>
                <w:szCs w:val="19"/>
              </w:rPr>
              <w:t>23</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B332EA9" w14:textId="77777777" w:rsidR="005C7893" w:rsidRPr="004D2E1C" w:rsidRDefault="006A52F1" w:rsidP="005C7893">
            <w:pPr>
              <w:spacing w:before="20"/>
              <w:ind w:right="-108"/>
              <w:rPr>
                <w:rFonts w:ascii="Calibri" w:hAnsi="Calibri" w:cs="Calibri"/>
                <w:sz w:val="19"/>
                <w:szCs w:val="19"/>
              </w:rPr>
            </w:pPr>
            <w:r w:rsidRPr="006A52F1">
              <w:rPr>
                <w:rFonts w:ascii="Calibri" w:hAnsi="Calibri" w:cs="Calibri"/>
                <w:sz w:val="19"/>
                <w:szCs w:val="19"/>
              </w:rPr>
              <w:t>Kërkesa të shqyrtuara për leje të ndërtimit</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591E9AD" w14:textId="77777777" w:rsidR="005C7893" w:rsidRPr="004D2E1C" w:rsidRDefault="005C7893" w:rsidP="005C7893">
            <w:pPr>
              <w:ind w:right="-108"/>
              <w:rPr>
                <w:rFonts w:ascii="Calibri" w:hAnsi="Calibri" w:cs="Calibri"/>
                <w:sz w:val="19"/>
                <w:szCs w:val="19"/>
              </w:rPr>
            </w:pPr>
            <w:r>
              <w:rPr>
                <w:rFonts w:ascii="Calibri" w:hAnsi="Calibri" w:cs="Calibri"/>
                <w:sz w:val="19"/>
                <w:szCs w:val="19"/>
              </w:rPr>
              <w:t xml:space="preserve">      2</w:t>
            </w:r>
          </w:p>
        </w:tc>
      </w:tr>
      <w:tr w:rsidR="005C7893" w:rsidRPr="004D2E1C" w14:paraId="39739D3F" w14:textId="77777777" w:rsidTr="00852D64">
        <w:trPr>
          <w:trHeight w:val="181"/>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B8ED594" w14:textId="77777777" w:rsidR="005C7893" w:rsidRPr="004D2E1C" w:rsidRDefault="004D316E" w:rsidP="005C7893">
            <w:pPr>
              <w:rPr>
                <w:rFonts w:ascii="Calibri" w:eastAsia="Calibri" w:hAnsi="Calibri"/>
                <w:b/>
                <w:color w:val="000000"/>
                <w:sz w:val="19"/>
                <w:szCs w:val="19"/>
              </w:rPr>
            </w:pPr>
            <w:r>
              <w:rPr>
                <w:rFonts w:ascii="Calibri" w:eastAsia="Calibri" w:hAnsi="Calibri"/>
                <w:b/>
                <w:color w:val="000000"/>
                <w:sz w:val="18"/>
                <w:szCs w:val="18"/>
              </w:rPr>
              <w:t>VIII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1A47D36" w14:textId="77777777" w:rsidR="005C7893" w:rsidRPr="004D2E1C" w:rsidRDefault="005C7893" w:rsidP="005C7893">
            <w:pPr>
              <w:rPr>
                <w:rFonts w:ascii="Calibri" w:eastAsia="Calibri" w:hAnsi="Calibri"/>
                <w:b/>
                <w:bCs/>
                <w:color w:val="000000"/>
                <w:sz w:val="20"/>
                <w:szCs w:val="20"/>
              </w:rPr>
            </w:pPr>
            <w:r>
              <w:rPr>
                <w:rFonts w:ascii="Calibri" w:eastAsia="Calibri" w:hAnsi="Calibri"/>
                <w:b/>
                <w:bCs/>
                <w:color w:val="000000"/>
                <w:sz w:val="20"/>
                <w:szCs w:val="20"/>
              </w:rPr>
              <w:t>Planifikimi hap</w:t>
            </w:r>
            <w:r w:rsidR="00494E44">
              <w:rPr>
                <w:rFonts w:ascii="Calibri" w:eastAsia="Calibri" w:hAnsi="Calibri"/>
                <w:b/>
                <w:bCs/>
                <w:color w:val="000000"/>
                <w:sz w:val="20"/>
                <w:szCs w:val="20"/>
              </w:rPr>
              <w:t>ë</w:t>
            </w:r>
            <w:r>
              <w:rPr>
                <w:rFonts w:ascii="Calibri" w:eastAsia="Calibri" w:hAnsi="Calibri"/>
                <w:b/>
                <w:bCs/>
                <w:color w:val="000000"/>
                <w:sz w:val="20"/>
                <w:szCs w:val="20"/>
              </w:rPr>
              <w:t>sinor, transporti publik dhe mjedisi</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14:paraId="0E645092" w14:textId="77777777" w:rsidR="005C7893" w:rsidRPr="004D2E1C" w:rsidRDefault="005C7893" w:rsidP="005C7893">
            <w:pPr>
              <w:jc w:val="center"/>
              <w:rPr>
                <w:rFonts w:ascii="Calibri" w:eastAsia="Calibri" w:hAnsi="Calibri"/>
                <w:b/>
                <w:bCs/>
                <w:color w:val="000000"/>
                <w:sz w:val="20"/>
                <w:szCs w:val="20"/>
              </w:rPr>
            </w:pPr>
            <w:r>
              <w:rPr>
                <w:rFonts w:ascii="Calibri" w:eastAsia="Calibri" w:hAnsi="Calibri"/>
                <w:b/>
                <w:bCs/>
                <w:color w:val="000000"/>
                <w:sz w:val="20"/>
                <w:szCs w:val="20"/>
              </w:rPr>
              <w:t>8</w:t>
            </w:r>
          </w:p>
        </w:tc>
      </w:tr>
      <w:tr w:rsidR="005C7893" w:rsidRPr="004D2E1C" w14:paraId="3E7D1FAC" w14:textId="77777777" w:rsidTr="00852D64">
        <w:trPr>
          <w:trHeight w:val="255"/>
          <w:jc w:val="center"/>
        </w:trPr>
        <w:tc>
          <w:tcPr>
            <w:tcW w:w="836"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23645A2C" w14:textId="77777777" w:rsidR="005C7893" w:rsidRPr="004D2E1C" w:rsidRDefault="004D316E" w:rsidP="005C7893">
            <w:pPr>
              <w:jc w:val="center"/>
              <w:rPr>
                <w:rFonts w:ascii="Calibri" w:eastAsia="Calibri" w:hAnsi="Calibri"/>
                <w:sz w:val="19"/>
                <w:szCs w:val="19"/>
              </w:rPr>
            </w:pPr>
            <w:r>
              <w:rPr>
                <w:rFonts w:ascii="Calibri" w:eastAsia="Calibri" w:hAnsi="Calibri"/>
                <w:sz w:val="19"/>
                <w:szCs w:val="19"/>
              </w:rPr>
              <w:t>24</w:t>
            </w:r>
          </w:p>
        </w:tc>
        <w:tc>
          <w:tcPr>
            <w:tcW w:w="7268"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5BE40D1E" w14:textId="708138CF" w:rsidR="005C7893" w:rsidRPr="004D2E1C" w:rsidRDefault="006A52F1" w:rsidP="005C7893">
            <w:pPr>
              <w:spacing w:before="20"/>
              <w:rPr>
                <w:rFonts w:ascii="Calibri" w:eastAsia="Calibri" w:hAnsi="Calibri"/>
                <w:color w:val="000000"/>
                <w:sz w:val="19"/>
                <w:szCs w:val="19"/>
              </w:rPr>
            </w:pPr>
            <w:r w:rsidRPr="006A52F1">
              <w:rPr>
                <w:rFonts w:ascii="Calibri" w:hAnsi="Calibri" w:cs="Calibri"/>
                <w:sz w:val="19"/>
                <w:szCs w:val="19"/>
              </w:rPr>
              <w:t>Sipërfaqja e territorit të komunës e mbuluar me plane rregulluese  (të hollësishme)</w:t>
            </w:r>
            <w:r w:rsidR="0031703E">
              <w:rPr>
                <w:rFonts w:ascii="Calibri" w:hAnsi="Calibri" w:cs="Calibri"/>
                <w:sz w:val="19"/>
                <w:szCs w:val="19"/>
              </w:rPr>
              <w:t xml:space="preserve"> ose harta zonale</w:t>
            </w:r>
          </w:p>
        </w:tc>
        <w:tc>
          <w:tcPr>
            <w:tcW w:w="852"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tcPr>
          <w:p w14:paraId="56D82E82"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3</w:t>
            </w:r>
          </w:p>
        </w:tc>
      </w:tr>
      <w:tr w:rsidR="005C7893" w:rsidRPr="004D2E1C" w14:paraId="1545890E"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6134D948" w14:textId="77777777" w:rsidR="005C7893" w:rsidRPr="004D2E1C" w:rsidRDefault="004D316E" w:rsidP="005C7893">
            <w:pPr>
              <w:jc w:val="center"/>
              <w:rPr>
                <w:rFonts w:ascii="Calibri" w:eastAsia="Calibri" w:hAnsi="Calibri"/>
                <w:color w:val="000000"/>
                <w:sz w:val="19"/>
                <w:szCs w:val="19"/>
              </w:rPr>
            </w:pPr>
            <w:r>
              <w:rPr>
                <w:rFonts w:ascii="Calibri" w:eastAsia="Calibri" w:hAnsi="Calibri"/>
                <w:color w:val="000000"/>
                <w:sz w:val="19"/>
                <w:szCs w:val="19"/>
              </w:rPr>
              <w:t>25</w:t>
            </w:r>
          </w:p>
        </w:tc>
        <w:tc>
          <w:tcPr>
            <w:tcW w:w="7268"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14:paraId="43808A27" w14:textId="77777777" w:rsidR="005C7893" w:rsidRPr="004D2E1C" w:rsidRDefault="005C7893">
            <w:pPr>
              <w:spacing w:before="20"/>
              <w:rPr>
                <w:rFonts w:ascii="Calibri" w:eastAsia="Calibri" w:hAnsi="Calibri"/>
                <w:color w:val="000000"/>
                <w:sz w:val="19"/>
                <w:szCs w:val="19"/>
              </w:rPr>
            </w:pPr>
            <w:r>
              <w:rPr>
                <w:rFonts w:ascii="Calibri" w:hAnsi="Calibri" w:cs="Calibri"/>
                <w:color w:val="000000"/>
                <w:sz w:val="19"/>
                <w:szCs w:val="19"/>
              </w:rPr>
              <w:t>Vendbanimet e</w:t>
            </w:r>
            <w:r w:rsidR="006A52F1">
              <w:rPr>
                <w:rFonts w:ascii="Calibri" w:hAnsi="Calibri" w:cs="Calibri"/>
                <w:color w:val="000000"/>
                <w:sz w:val="19"/>
                <w:szCs w:val="19"/>
              </w:rPr>
              <w:t xml:space="preserve"> përfshira në </w:t>
            </w:r>
            <w:r>
              <w:rPr>
                <w:rFonts w:ascii="Calibri" w:hAnsi="Calibri" w:cs="Calibri"/>
                <w:color w:val="000000"/>
                <w:sz w:val="19"/>
                <w:szCs w:val="19"/>
              </w:rPr>
              <w:t>transport</w:t>
            </w:r>
            <w:r w:rsidR="006A52F1">
              <w:rPr>
                <w:rFonts w:ascii="Calibri" w:hAnsi="Calibri" w:cs="Calibri"/>
                <w:color w:val="000000"/>
                <w:sz w:val="19"/>
                <w:szCs w:val="19"/>
              </w:rPr>
              <w:t>in lokal</w:t>
            </w:r>
            <w:r>
              <w:rPr>
                <w:rFonts w:ascii="Calibri" w:hAnsi="Calibri" w:cs="Calibri"/>
                <w:color w:val="000000"/>
                <w:sz w:val="19"/>
                <w:szCs w:val="19"/>
              </w:rPr>
              <w:t xml:space="preserve"> publik </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3540E2B2" w14:textId="77777777" w:rsidR="005C7893" w:rsidRPr="004D2E1C" w:rsidRDefault="005C7893" w:rsidP="005C7893">
            <w:pPr>
              <w:jc w:val="center"/>
              <w:rPr>
                <w:rFonts w:ascii="Calibri" w:eastAsia="Calibri" w:hAnsi="Calibri"/>
                <w:color w:val="000000"/>
                <w:sz w:val="19"/>
                <w:szCs w:val="19"/>
                <w:highlight w:val="green"/>
              </w:rPr>
            </w:pPr>
            <w:r w:rsidRPr="005C7893">
              <w:rPr>
                <w:rFonts w:ascii="Calibri" w:eastAsia="Calibri" w:hAnsi="Calibri"/>
                <w:color w:val="000000"/>
                <w:sz w:val="19"/>
                <w:szCs w:val="19"/>
              </w:rPr>
              <w:t>3</w:t>
            </w:r>
          </w:p>
        </w:tc>
      </w:tr>
      <w:tr w:rsidR="005C7893" w:rsidRPr="004D2E1C" w14:paraId="4FB8EC85"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tcPr>
          <w:p w14:paraId="27A78F04" w14:textId="77777777" w:rsidR="005C7893" w:rsidRPr="004D2E1C" w:rsidRDefault="004D316E" w:rsidP="005C7893">
            <w:pPr>
              <w:jc w:val="center"/>
              <w:rPr>
                <w:rFonts w:ascii="Calibri" w:eastAsia="Calibri" w:hAnsi="Calibri"/>
                <w:color w:val="000000"/>
                <w:sz w:val="19"/>
                <w:szCs w:val="19"/>
              </w:rPr>
            </w:pPr>
            <w:r>
              <w:rPr>
                <w:rFonts w:ascii="Calibri" w:eastAsia="Calibri" w:hAnsi="Calibri"/>
                <w:color w:val="000000"/>
                <w:sz w:val="19"/>
                <w:szCs w:val="19"/>
              </w:rPr>
              <w:t>26</w:t>
            </w:r>
          </w:p>
        </w:tc>
        <w:tc>
          <w:tcPr>
            <w:tcW w:w="7268"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14:paraId="62265761" w14:textId="77777777" w:rsidR="005C7893" w:rsidRDefault="003D309A" w:rsidP="005C7893">
            <w:pPr>
              <w:spacing w:before="20"/>
              <w:rPr>
                <w:rFonts w:ascii="Calibri" w:hAnsi="Calibri" w:cs="Calibri"/>
                <w:color w:val="000000"/>
                <w:sz w:val="19"/>
                <w:szCs w:val="19"/>
              </w:rPr>
            </w:pPr>
            <w:r>
              <w:rPr>
                <w:rFonts w:ascii="Calibri" w:hAnsi="Calibri" w:cs="Calibri"/>
                <w:color w:val="000000"/>
                <w:sz w:val="19"/>
                <w:szCs w:val="19"/>
              </w:rPr>
              <w:t>Realizimi i</w:t>
            </w:r>
            <w:r w:rsidR="005C7893">
              <w:rPr>
                <w:rFonts w:ascii="Calibri" w:hAnsi="Calibri" w:cs="Calibri"/>
                <w:color w:val="000000"/>
                <w:sz w:val="19"/>
                <w:szCs w:val="19"/>
              </w:rPr>
              <w:t xml:space="preserve"> plani</w:t>
            </w:r>
            <w:r>
              <w:rPr>
                <w:rFonts w:ascii="Calibri" w:hAnsi="Calibri" w:cs="Calibri"/>
                <w:color w:val="000000"/>
                <w:sz w:val="19"/>
                <w:szCs w:val="19"/>
              </w:rPr>
              <w:t>t</w:t>
            </w:r>
            <w:r w:rsidR="005C7893">
              <w:rPr>
                <w:rFonts w:ascii="Calibri" w:hAnsi="Calibri" w:cs="Calibri"/>
                <w:color w:val="000000"/>
                <w:sz w:val="19"/>
                <w:szCs w:val="19"/>
              </w:rPr>
              <w:t xml:space="preserve"> lokal t</w:t>
            </w:r>
            <w:r w:rsidR="00494E44">
              <w:rPr>
                <w:rFonts w:ascii="Calibri" w:hAnsi="Calibri" w:cs="Calibri"/>
                <w:color w:val="000000"/>
                <w:sz w:val="19"/>
                <w:szCs w:val="19"/>
              </w:rPr>
              <w:t>ë</w:t>
            </w:r>
            <w:r w:rsidR="005C7893">
              <w:rPr>
                <w:rFonts w:ascii="Calibri" w:hAnsi="Calibri" w:cs="Calibri"/>
                <w:color w:val="000000"/>
                <w:sz w:val="19"/>
                <w:szCs w:val="19"/>
              </w:rPr>
              <w:t xml:space="preserve"> veprimit</w:t>
            </w:r>
            <w:r>
              <w:rPr>
                <w:rFonts w:ascii="Calibri" w:hAnsi="Calibri" w:cs="Calibri"/>
                <w:color w:val="000000"/>
                <w:sz w:val="19"/>
                <w:szCs w:val="19"/>
              </w:rPr>
              <w:t xml:space="preserve"> në mjedis</w:t>
            </w:r>
          </w:p>
        </w:tc>
        <w:tc>
          <w:tcPr>
            <w:tcW w:w="852" w:type="dxa"/>
            <w:tcBorders>
              <w:top w:val="single" w:sz="4" w:space="0" w:color="auto"/>
              <w:left w:val="single" w:sz="4" w:space="0" w:color="auto"/>
              <w:bottom w:val="single" w:sz="8" w:space="0" w:color="auto"/>
              <w:right w:val="single" w:sz="12" w:space="0" w:color="auto"/>
            </w:tcBorders>
            <w:shd w:val="clear" w:color="auto" w:fill="C4D79B"/>
            <w:tcMar>
              <w:top w:w="0" w:type="dxa"/>
              <w:left w:w="108" w:type="dxa"/>
              <w:bottom w:w="0" w:type="dxa"/>
              <w:right w:w="108" w:type="dxa"/>
            </w:tcMar>
            <w:vAlign w:val="center"/>
          </w:tcPr>
          <w:p w14:paraId="73F316A7"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2</w:t>
            </w:r>
          </w:p>
        </w:tc>
      </w:tr>
      <w:tr w:rsidR="005C7893" w:rsidRPr="004D2E1C" w14:paraId="371E373D"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4567ADE" w14:textId="77777777" w:rsidR="005C7893" w:rsidRPr="006A52F1" w:rsidRDefault="004D316E" w:rsidP="003B5AB6">
            <w:pPr>
              <w:rPr>
                <w:rFonts w:ascii="Calibri" w:eastAsia="Calibri" w:hAnsi="Calibri"/>
                <w:color w:val="000000"/>
                <w:sz w:val="19"/>
                <w:szCs w:val="19"/>
              </w:rPr>
            </w:pPr>
            <w:r w:rsidRPr="006A52F1">
              <w:rPr>
                <w:rFonts w:ascii="Calibri" w:eastAsia="Calibri" w:hAnsi="Calibri"/>
                <w:b/>
                <w:color w:val="000000"/>
                <w:sz w:val="18"/>
                <w:szCs w:val="18"/>
              </w:rPr>
              <w:t>IX</w:t>
            </w:r>
          </w:p>
        </w:tc>
        <w:tc>
          <w:tcPr>
            <w:tcW w:w="7268"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4B4543E" w14:textId="77777777" w:rsidR="005C7893" w:rsidRPr="006A52F1" w:rsidRDefault="005C7893" w:rsidP="005C7893">
            <w:pPr>
              <w:spacing w:before="20"/>
              <w:rPr>
                <w:rFonts w:ascii="Calibri" w:hAnsi="Calibri" w:cs="Calibri"/>
                <w:color w:val="000000"/>
                <w:sz w:val="19"/>
                <w:szCs w:val="19"/>
              </w:rPr>
            </w:pPr>
            <w:r w:rsidRPr="006A52F1">
              <w:rPr>
                <w:rFonts w:ascii="Calibri" w:eastAsia="Calibri" w:hAnsi="Calibri"/>
                <w:b/>
                <w:bCs/>
                <w:color w:val="000000"/>
                <w:sz w:val="20"/>
                <w:szCs w:val="20"/>
              </w:rPr>
              <w:t>Arsimi para-universitar</w:t>
            </w:r>
          </w:p>
        </w:tc>
        <w:tc>
          <w:tcPr>
            <w:tcW w:w="852"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15108DD7" w14:textId="31AEAE21" w:rsidR="005C7893" w:rsidRPr="0082148E" w:rsidRDefault="00876839" w:rsidP="005C7893">
            <w:pPr>
              <w:jc w:val="center"/>
              <w:rPr>
                <w:rFonts w:ascii="Calibri" w:eastAsia="Calibri" w:hAnsi="Calibri"/>
                <w:b/>
                <w:color w:val="000000"/>
                <w:sz w:val="19"/>
                <w:szCs w:val="19"/>
              </w:rPr>
            </w:pPr>
            <w:r>
              <w:rPr>
                <w:rFonts w:ascii="Calibri" w:eastAsia="Calibri" w:hAnsi="Calibri"/>
                <w:b/>
                <w:color w:val="000000"/>
                <w:sz w:val="19"/>
                <w:szCs w:val="19"/>
              </w:rPr>
              <w:t>4</w:t>
            </w:r>
          </w:p>
        </w:tc>
      </w:tr>
      <w:tr w:rsidR="005C7893" w:rsidRPr="004D2E1C" w14:paraId="08399A3A"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14:paraId="1D39F99A" w14:textId="77777777" w:rsidR="005C7893" w:rsidRPr="006A52F1" w:rsidRDefault="004D316E" w:rsidP="005C7893">
            <w:pPr>
              <w:jc w:val="center"/>
              <w:rPr>
                <w:rFonts w:ascii="Calibri" w:eastAsia="Calibri" w:hAnsi="Calibri"/>
                <w:color w:val="000000"/>
                <w:sz w:val="18"/>
                <w:szCs w:val="18"/>
              </w:rPr>
            </w:pPr>
            <w:r w:rsidRPr="006A52F1">
              <w:rPr>
                <w:rFonts w:ascii="Calibri" w:eastAsia="Calibri" w:hAnsi="Calibri"/>
                <w:color w:val="000000"/>
                <w:sz w:val="18"/>
                <w:szCs w:val="18"/>
              </w:rPr>
              <w:t>27</w:t>
            </w:r>
          </w:p>
        </w:tc>
        <w:tc>
          <w:tcPr>
            <w:tcW w:w="7268"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14:paraId="542945A3" w14:textId="029CD3CF" w:rsidR="005C7893" w:rsidRPr="006A52F1" w:rsidRDefault="006A52F1" w:rsidP="003D309A">
            <w:pPr>
              <w:spacing w:before="20"/>
              <w:rPr>
                <w:rFonts w:ascii="Calibri" w:hAnsi="Calibri" w:cs="Calibri"/>
                <w:color w:val="000000"/>
                <w:sz w:val="19"/>
                <w:szCs w:val="19"/>
              </w:rPr>
            </w:pPr>
            <w:r w:rsidRPr="0052538C">
              <w:rPr>
                <w:rFonts w:ascii="Calibri" w:hAnsi="Calibri" w:cs="Calibri"/>
                <w:color w:val="000000"/>
                <w:sz w:val="19"/>
                <w:szCs w:val="19"/>
              </w:rPr>
              <w:t>Fëmijët që vijojnë kopshtin - rural dhe përgjithësi</w:t>
            </w:r>
            <w:r w:rsidR="00046BCA">
              <w:rPr>
                <w:rStyle w:val="FootnoteReference"/>
                <w:rFonts w:ascii="Calibri" w:hAnsi="Calibri" w:cs="Calibri"/>
                <w:color w:val="000000"/>
                <w:sz w:val="19"/>
                <w:szCs w:val="19"/>
              </w:rPr>
              <w:footnoteReference w:id="9"/>
            </w:r>
          </w:p>
        </w:tc>
        <w:tc>
          <w:tcPr>
            <w:tcW w:w="852"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tcPr>
          <w:p w14:paraId="4E615D00"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4</w:t>
            </w:r>
          </w:p>
        </w:tc>
      </w:tr>
      <w:tr w:rsidR="005C7893" w:rsidRPr="004D2E1C" w14:paraId="7C0601CA"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4DE52A7" w14:textId="77777777" w:rsidR="005C7893" w:rsidRPr="00F63969" w:rsidRDefault="004D316E" w:rsidP="005C7893">
            <w:pPr>
              <w:jc w:val="center"/>
              <w:rPr>
                <w:rFonts w:ascii="Calibri" w:eastAsia="Calibri" w:hAnsi="Calibri"/>
                <w:color w:val="000000"/>
                <w:sz w:val="18"/>
                <w:szCs w:val="18"/>
              </w:rPr>
            </w:pPr>
            <w:r w:rsidRPr="00F63969">
              <w:rPr>
                <w:rFonts w:ascii="Calibri" w:eastAsia="Calibri" w:hAnsi="Calibri"/>
                <w:color w:val="000000"/>
                <w:sz w:val="18"/>
                <w:szCs w:val="18"/>
              </w:rPr>
              <w:t>28</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00159143" w14:textId="77777777" w:rsidR="005C7893" w:rsidRPr="00F63969" w:rsidRDefault="006A52F1" w:rsidP="005C7893">
            <w:pPr>
              <w:spacing w:before="20"/>
              <w:rPr>
                <w:rFonts w:ascii="Calibri" w:hAnsi="Calibri" w:cs="Calibri"/>
                <w:color w:val="000000"/>
                <w:sz w:val="19"/>
                <w:szCs w:val="19"/>
              </w:rPr>
            </w:pPr>
            <w:r w:rsidRPr="006A52F1">
              <w:rPr>
                <w:rFonts w:ascii="Calibri" w:hAnsi="Calibri" w:cs="Calibri"/>
                <w:color w:val="000000"/>
                <w:sz w:val="19"/>
                <w:szCs w:val="19"/>
              </w:rPr>
              <w:t>Kalueshmëria në maturën kombëtare kl.12</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6725A7B"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4</w:t>
            </w:r>
          </w:p>
        </w:tc>
      </w:tr>
      <w:tr w:rsidR="005C7893" w:rsidRPr="004D2E1C" w14:paraId="363AC9AF"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D7F9973" w14:textId="77777777" w:rsidR="005C7893" w:rsidRPr="006A52F1" w:rsidRDefault="004D316E" w:rsidP="003B5AB6">
            <w:pPr>
              <w:rPr>
                <w:rFonts w:ascii="Calibri" w:eastAsia="Calibri" w:hAnsi="Calibri"/>
                <w:b/>
                <w:color w:val="000000"/>
                <w:sz w:val="18"/>
                <w:szCs w:val="18"/>
              </w:rPr>
            </w:pPr>
            <w:r w:rsidRPr="006A52F1">
              <w:rPr>
                <w:rFonts w:ascii="Calibri" w:eastAsia="Calibri" w:hAnsi="Calibri"/>
                <w:b/>
                <w:color w:val="000000"/>
                <w:sz w:val="18"/>
                <w:szCs w:val="18"/>
              </w:rPr>
              <w:t>X</w:t>
            </w:r>
          </w:p>
        </w:tc>
        <w:tc>
          <w:tcPr>
            <w:tcW w:w="7268"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32E7604" w14:textId="77777777" w:rsidR="005C7893" w:rsidRPr="006A52F1" w:rsidRDefault="005C7893" w:rsidP="005C7893">
            <w:pPr>
              <w:spacing w:before="20"/>
              <w:rPr>
                <w:rFonts w:ascii="Calibri" w:eastAsia="Calibri" w:hAnsi="Calibri"/>
                <w:b/>
                <w:bCs/>
                <w:color w:val="000000"/>
                <w:sz w:val="20"/>
                <w:szCs w:val="20"/>
              </w:rPr>
            </w:pPr>
            <w:r w:rsidRPr="006A52F1">
              <w:rPr>
                <w:rFonts w:ascii="Calibri" w:eastAsia="Calibri" w:hAnsi="Calibri"/>
                <w:b/>
                <w:bCs/>
                <w:color w:val="000000"/>
                <w:sz w:val="20"/>
                <w:szCs w:val="20"/>
              </w:rPr>
              <w:t>Kujdesi par</w:t>
            </w:r>
            <w:r w:rsidR="00494E44" w:rsidRPr="006A52F1">
              <w:rPr>
                <w:rFonts w:ascii="Calibri" w:eastAsia="Calibri" w:hAnsi="Calibri"/>
                <w:b/>
                <w:bCs/>
                <w:color w:val="000000"/>
                <w:sz w:val="20"/>
                <w:szCs w:val="20"/>
              </w:rPr>
              <w:t>ë</w:t>
            </w:r>
            <w:r w:rsidRPr="006A52F1">
              <w:rPr>
                <w:rFonts w:ascii="Calibri" w:eastAsia="Calibri" w:hAnsi="Calibri"/>
                <w:b/>
                <w:bCs/>
                <w:color w:val="000000"/>
                <w:sz w:val="20"/>
                <w:szCs w:val="20"/>
              </w:rPr>
              <w:t>sor sh</w:t>
            </w:r>
            <w:r w:rsidR="00494E44" w:rsidRPr="006A52F1">
              <w:rPr>
                <w:rFonts w:ascii="Calibri" w:eastAsia="Calibri" w:hAnsi="Calibri"/>
                <w:b/>
                <w:bCs/>
                <w:color w:val="000000"/>
                <w:sz w:val="20"/>
                <w:szCs w:val="20"/>
              </w:rPr>
              <w:t>ë</w:t>
            </w:r>
            <w:r w:rsidRPr="006A52F1">
              <w:rPr>
                <w:rFonts w:ascii="Calibri" w:eastAsia="Calibri" w:hAnsi="Calibri"/>
                <w:b/>
                <w:bCs/>
                <w:color w:val="000000"/>
                <w:sz w:val="20"/>
                <w:szCs w:val="20"/>
              </w:rPr>
              <w:t>ndet</w:t>
            </w:r>
            <w:r w:rsidR="00494E44" w:rsidRPr="006A52F1">
              <w:rPr>
                <w:rFonts w:ascii="Calibri" w:eastAsia="Calibri" w:hAnsi="Calibri"/>
                <w:b/>
                <w:bCs/>
                <w:color w:val="000000"/>
                <w:sz w:val="20"/>
                <w:szCs w:val="20"/>
              </w:rPr>
              <w:t>ë</w:t>
            </w:r>
            <w:r w:rsidRPr="006A52F1">
              <w:rPr>
                <w:rFonts w:ascii="Calibri" w:eastAsia="Calibri" w:hAnsi="Calibri"/>
                <w:b/>
                <w:bCs/>
                <w:color w:val="000000"/>
                <w:sz w:val="20"/>
                <w:szCs w:val="20"/>
              </w:rPr>
              <w:t>sor</w:t>
            </w:r>
            <w:r w:rsidR="00D90AB0" w:rsidRPr="006A52F1">
              <w:rPr>
                <w:rFonts w:ascii="Calibri" w:eastAsia="Calibri" w:hAnsi="Calibri"/>
                <w:b/>
                <w:bCs/>
                <w:color w:val="000000"/>
                <w:sz w:val="20"/>
                <w:szCs w:val="20"/>
              </w:rPr>
              <w:t xml:space="preserve"> (KPSh)</w:t>
            </w:r>
          </w:p>
        </w:tc>
        <w:tc>
          <w:tcPr>
            <w:tcW w:w="852"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58725BDB" w14:textId="77777777" w:rsidR="005C7893" w:rsidRPr="0082148E" w:rsidRDefault="005C7893" w:rsidP="005C7893">
            <w:pPr>
              <w:jc w:val="center"/>
              <w:rPr>
                <w:rFonts w:ascii="Calibri" w:eastAsia="Calibri" w:hAnsi="Calibri"/>
                <w:b/>
                <w:color w:val="000000"/>
                <w:sz w:val="19"/>
                <w:szCs w:val="19"/>
              </w:rPr>
            </w:pPr>
            <w:r w:rsidRPr="0082148E">
              <w:rPr>
                <w:rFonts w:ascii="Calibri" w:eastAsia="Calibri" w:hAnsi="Calibri"/>
                <w:b/>
                <w:color w:val="000000"/>
                <w:sz w:val="19"/>
                <w:szCs w:val="19"/>
              </w:rPr>
              <w:t>8</w:t>
            </w:r>
          </w:p>
        </w:tc>
      </w:tr>
      <w:tr w:rsidR="005C7893" w:rsidRPr="004D2E1C" w14:paraId="5F31253F"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08581259" w14:textId="77777777" w:rsidR="005C7893" w:rsidRPr="006A52F1" w:rsidRDefault="004D316E" w:rsidP="005C7893">
            <w:pPr>
              <w:jc w:val="center"/>
              <w:rPr>
                <w:rFonts w:ascii="Calibri" w:eastAsia="Calibri" w:hAnsi="Calibri"/>
                <w:color w:val="000000"/>
                <w:sz w:val="18"/>
                <w:szCs w:val="18"/>
              </w:rPr>
            </w:pPr>
            <w:r w:rsidRPr="006A52F1">
              <w:rPr>
                <w:rFonts w:ascii="Calibri" w:eastAsia="Calibri" w:hAnsi="Calibri"/>
                <w:color w:val="000000"/>
                <w:sz w:val="18"/>
                <w:szCs w:val="18"/>
              </w:rPr>
              <w:t>29</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35C496A8" w14:textId="77777777" w:rsidR="005C7893" w:rsidRPr="006A52F1" w:rsidRDefault="006A52F1" w:rsidP="005C7893">
            <w:pPr>
              <w:spacing w:before="20"/>
              <w:rPr>
                <w:rFonts w:ascii="Calibri" w:eastAsia="Calibri" w:hAnsi="Calibri"/>
                <w:bCs/>
                <w:color w:val="000000"/>
                <w:sz w:val="20"/>
                <w:szCs w:val="20"/>
              </w:rPr>
            </w:pPr>
            <w:r w:rsidRPr="006A52F1">
              <w:rPr>
                <w:rFonts w:ascii="Calibri" w:eastAsia="Calibri" w:hAnsi="Calibri"/>
                <w:bCs/>
                <w:color w:val="000000"/>
                <w:sz w:val="20"/>
                <w:szCs w:val="20"/>
              </w:rPr>
              <w:t>m</w:t>
            </w:r>
            <w:r w:rsidRPr="00D812D8">
              <w:rPr>
                <w:rFonts w:ascii="Calibri" w:eastAsia="Calibri" w:hAnsi="Calibri"/>
                <w:bCs/>
                <w:color w:val="000000"/>
                <w:sz w:val="20"/>
                <w:szCs w:val="20"/>
                <w:vertAlign w:val="superscript"/>
              </w:rPr>
              <w:t>2</w:t>
            </w:r>
            <w:r w:rsidR="00A05BAE">
              <w:rPr>
                <w:rFonts w:ascii="Calibri" w:eastAsia="Calibri" w:hAnsi="Calibri"/>
                <w:bCs/>
                <w:color w:val="000000"/>
                <w:sz w:val="20"/>
                <w:szCs w:val="20"/>
              </w:rPr>
              <w:t xml:space="preserve"> të hapësirave të Kujdesit </w:t>
            </w:r>
            <w:r w:rsidRPr="006A52F1">
              <w:rPr>
                <w:rFonts w:ascii="Calibri" w:eastAsia="Calibri" w:hAnsi="Calibri"/>
                <w:bCs/>
                <w:color w:val="000000"/>
                <w:sz w:val="20"/>
                <w:szCs w:val="20"/>
              </w:rPr>
              <w:t>P</w:t>
            </w:r>
            <w:r w:rsidR="00A05BAE">
              <w:rPr>
                <w:rFonts w:ascii="Calibri" w:eastAsia="Calibri" w:hAnsi="Calibri"/>
                <w:bCs/>
                <w:color w:val="000000"/>
                <w:sz w:val="20"/>
                <w:szCs w:val="20"/>
              </w:rPr>
              <w:t xml:space="preserve">rimar </w:t>
            </w:r>
            <w:r w:rsidRPr="006A52F1">
              <w:rPr>
                <w:rFonts w:ascii="Calibri" w:eastAsia="Calibri" w:hAnsi="Calibri"/>
                <w:bCs/>
                <w:color w:val="000000"/>
                <w:sz w:val="20"/>
                <w:szCs w:val="20"/>
              </w:rPr>
              <w:t>S</w:t>
            </w:r>
            <w:r w:rsidR="002A1D77">
              <w:rPr>
                <w:rFonts w:ascii="Calibri" w:eastAsia="Calibri" w:hAnsi="Calibri"/>
                <w:bCs/>
                <w:color w:val="000000"/>
                <w:sz w:val="20"/>
                <w:szCs w:val="20"/>
              </w:rPr>
              <w:t>h</w:t>
            </w:r>
            <w:r w:rsidR="00A05BAE">
              <w:rPr>
                <w:rFonts w:ascii="Calibri" w:eastAsia="Calibri" w:hAnsi="Calibri"/>
                <w:bCs/>
                <w:color w:val="000000"/>
                <w:sz w:val="20"/>
                <w:szCs w:val="20"/>
              </w:rPr>
              <w:t>ëndetësor</w:t>
            </w:r>
            <w:r w:rsidRPr="006A52F1">
              <w:rPr>
                <w:rFonts w:ascii="Calibri" w:eastAsia="Calibri" w:hAnsi="Calibri"/>
                <w:bCs/>
                <w:color w:val="000000"/>
                <w:sz w:val="20"/>
                <w:szCs w:val="20"/>
              </w:rPr>
              <w:t xml:space="preserve"> për 10000 banorë</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1D478F5"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3</w:t>
            </w:r>
          </w:p>
        </w:tc>
      </w:tr>
      <w:tr w:rsidR="005C7893" w:rsidRPr="004D2E1C" w14:paraId="27C00D34" w14:textId="77777777" w:rsidTr="00852D64">
        <w:trPr>
          <w:trHeight w:val="255"/>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B6EBE58" w14:textId="77777777" w:rsidR="005C7893" w:rsidRPr="006A52F1" w:rsidRDefault="004D316E" w:rsidP="005C7893">
            <w:pPr>
              <w:jc w:val="center"/>
              <w:rPr>
                <w:rFonts w:ascii="Calibri" w:eastAsia="Calibri" w:hAnsi="Calibri"/>
                <w:color w:val="000000"/>
                <w:sz w:val="18"/>
                <w:szCs w:val="18"/>
              </w:rPr>
            </w:pPr>
            <w:r w:rsidRPr="006A52F1">
              <w:rPr>
                <w:rFonts w:ascii="Calibri" w:eastAsia="Calibri" w:hAnsi="Calibri"/>
                <w:color w:val="000000"/>
                <w:sz w:val="18"/>
                <w:szCs w:val="18"/>
              </w:rPr>
              <w:t>30</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2893BB7" w14:textId="77777777" w:rsidR="005C7893" w:rsidRPr="006A52F1" w:rsidRDefault="006A52F1" w:rsidP="00F63969">
            <w:pPr>
              <w:spacing w:before="20"/>
              <w:rPr>
                <w:rFonts w:ascii="Calibri" w:eastAsia="Calibri" w:hAnsi="Calibri"/>
                <w:bCs/>
                <w:color w:val="000000"/>
                <w:sz w:val="20"/>
                <w:szCs w:val="20"/>
              </w:rPr>
            </w:pPr>
            <w:r w:rsidRPr="006A52F1">
              <w:rPr>
                <w:rFonts w:ascii="Calibri" w:eastAsia="Calibri" w:hAnsi="Calibri"/>
                <w:bCs/>
                <w:color w:val="000000"/>
                <w:sz w:val="20"/>
                <w:szCs w:val="20"/>
              </w:rPr>
              <w:t>Niveli i pajtueshmërisë me raportin 1 mjek familjar</w:t>
            </w:r>
            <w:r w:rsidR="00B4288A">
              <w:rPr>
                <w:rFonts w:ascii="Calibri" w:eastAsia="Calibri" w:hAnsi="Calibri"/>
                <w:bCs/>
                <w:color w:val="000000"/>
                <w:sz w:val="20"/>
                <w:szCs w:val="20"/>
              </w:rPr>
              <w:t>ë</w:t>
            </w:r>
            <w:r w:rsidRPr="006A52F1">
              <w:rPr>
                <w:rFonts w:ascii="Calibri" w:eastAsia="Calibri" w:hAnsi="Calibri"/>
                <w:bCs/>
                <w:color w:val="000000"/>
                <w:sz w:val="20"/>
                <w:szCs w:val="20"/>
              </w:rPr>
              <w:t xml:space="preserve"> edhe 2 infermier</w:t>
            </w:r>
            <w:r w:rsidR="00B4288A">
              <w:rPr>
                <w:rFonts w:ascii="Calibri" w:eastAsia="Calibri" w:hAnsi="Calibri"/>
                <w:bCs/>
                <w:color w:val="000000"/>
                <w:sz w:val="20"/>
                <w:szCs w:val="20"/>
              </w:rPr>
              <w:t>ë</w:t>
            </w:r>
            <w:r w:rsidRPr="006A52F1">
              <w:rPr>
                <w:rFonts w:ascii="Calibri" w:eastAsia="Calibri" w:hAnsi="Calibri"/>
                <w:bCs/>
                <w:color w:val="000000"/>
                <w:sz w:val="20"/>
                <w:szCs w:val="20"/>
              </w:rPr>
              <w:t xml:space="preserve"> për 2000 banorë</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45C4BE29"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5</w:t>
            </w:r>
          </w:p>
        </w:tc>
      </w:tr>
      <w:tr w:rsidR="00995D2D" w:rsidRPr="004D2E1C" w14:paraId="1DE678D8" w14:textId="77777777" w:rsidTr="00852D64">
        <w:trPr>
          <w:trHeight w:val="255"/>
          <w:jc w:val="center"/>
        </w:trPr>
        <w:tc>
          <w:tcPr>
            <w:tcW w:w="836" w:type="dxa"/>
            <w:tcBorders>
              <w:top w:val="single" w:sz="4"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68D6332" w14:textId="45F197E7" w:rsidR="00995D2D" w:rsidRPr="006A52F1" w:rsidRDefault="00995D2D" w:rsidP="005C7893">
            <w:pPr>
              <w:jc w:val="center"/>
              <w:rPr>
                <w:rFonts w:ascii="Calibri" w:eastAsia="Calibri" w:hAnsi="Calibri"/>
                <w:color w:val="000000"/>
                <w:sz w:val="18"/>
                <w:szCs w:val="18"/>
              </w:rPr>
            </w:pPr>
            <w:r>
              <w:rPr>
                <w:rFonts w:ascii="Calibri" w:eastAsia="Calibri" w:hAnsi="Calibri"/>
                <w:color w:val="000000"/>
                <w:sz w:val="18"/>
                <w:szCs w:val="18"/>
              </w:rPr>
              <w:t>Totali i pikëve</w:t>
            </w:r>
          </w:p>
        </w:tc>
        <w:tc>
          <w:tcPr>
            <w:tcW w:w="7268" w:type="dxa"/>
            <w:tcBorders>
              <w:top w:val="single" w:sz="4"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9237465" w14:textId="77777777" w:rsidR="00995D2D" w:rsidRPr="006A52F1" w:rsidRDefault="00995D2D" w:rsidP="00F63969">
            <w:pPr>
              <w:spacing w:before="20"/>
              <w:rPr>
                <w:rFonts w:ascii="Calibri" w:eastAsia="Calibri" w:hAnsi="Calibri"/>
                <w:bCs/>
                <w:color w:val="000000"/>
                <w:sz w:val="20"/>
                <w:szCs w:val="20"/>
              </w:rPr>
            </w:pPr>
          </w:p>
        </w:tc>
        <w:tc>
          <w:tcPr>
            <w:tcW w:w="852" w:type="dxa"/>
            <w:tcBorders>
              <w:top w:val="single" w:sz="4"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0350AA7" w14:textId="60A8B909" w:rsidR="00995D2D" w:rsidRPr="00852D64" w:rsidRDefault="00995D2D" w:rsidP="005C7893">
            <w:pPr>
              <w:jc w:val="center"/>
              <w:rPr>
                <w:rFonts w:ascii="Calibri" w:eastAsia="Calibri" w:hAnsi="Calibri"/>
                <w:b/>
                <w:bCs/>
                <w:color w:val="000000"/>
                <w:sz w:val="22"/>
                <w:szCs w:val="22"/>
              </w:rPr>
            </w:pPr>
            <w:r w:rsidRPr="00852D64">
              <w:rPr>
                <w:rFonts w:ascii="Calibri" w:eastAsia="Calibri" w:hAnsi="Calibri"/>
                <w:b/>
                <w:bCs/>
                <w:color w:val="000000"/>
                <w:sz w:val="22"/>
                <w:szCs w:val="22"/>
              </w:rPr>
              <w:t>9</w:t>
            </w:r>
            <w:r w:rsidR="0039480B">
              <w:rPr>
                <w:rFonts w:ascii="Calibri" w:eastAsia="Calibri" w:hAnsi="Calibri"/>
                <w:b/>
                <w:bCs/>
                <w:color w:val="000000"/>
                <w:sz w:val="22"/>
                <w:szCs w:val="22"/>
              </w:rPr>
              <w:t>2</w:t>
            </w:r>
          </w:p>
        </w:tc>
      </w:tr>
    </w:tbl>
    <w:p w14:paraId="0DC7435C" w14:textId="77777777" w:rsidR="0086396D" w:rsidRPr="004D2E1C" w:rsidRDefault="0086396D" w:rsidP="00CD79F5">
      <w:pPr>
        <w:spacing w:before="60" w:line="264" w:lineRule="auto"/>
        <w:ind w:left="567"/>
        <w:jc w:val="both"/>
        <w:rPr>
          <w:rFonts w:asciiTheme="majorHAnsi" w:hAnsiTheme="majorHAnsi"/>
          <w:sz w:val="21"/>
          <w:szCs w:val="21"/>
        </w:rPr>
      </w:pPr>
    </w:p>
    <w:p w14:paraId="306FCE21"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Treguesit pasqyrojnë fushat e </w:t>
      </w:r>
      <w:r w:rsidR="00674C44">
        <w:rPr>
          <w:rFonts w:asciiTheme="majorHAnsi" w:hAnsiTheme="majorHAnsi"/>
          <w:sz w:val="21"/>
          <w:szCs w:val="21"/>
        </w:rPr>
        <w:t>performancës komunale</w:t>
      </w:r>
      <w:r w:rsidRPr="004D2E1C">
        <w:rPr>
          <w:rFonts w:asciiTheme="majorHAnsi" w:hAnsiTheme="majorHAnsi"/>
          <w:sz w:val="21"/>
          <w:szCs w:val="21"/>
        </w:rPr>
        <w:t xml:space="preserve"> që</w:t>
      </w:r>
      <w:r w:rsidR="00567F8F">
        <w:rPr>
          <w:rFonts w:asciiTheme="majorHAnsi" w:hAnsiTheme="majorHAnsi"/>
          <w:sz w:val="21"/>
          <w:szCs w:val="21"/>
        </w:rPr>
        <w:t>:</w:t>
      </w:r>
      <w:r w:rsidRPr="004D2E1C">
        <w:rPr>
          <w:rFonts w:asciiTheme="majorHAnsi" w:hAnsiTheme="majorHAnsi"/>
          <w:sz w:val="21"/>
          <w:szCs w:val="21"/>
        </w:rPr>
        <w:t xml:space="preserve"> (i) konsiderohen të rëndësishme për një funksionim të mirë të strukturave komunale si subjekte të qeverisjes lokale demokratike dhe (ii) konsiderohen të kenë hapësirë për përmirësim, në të gjitha nivelet për të gjitha komunat. </w:t>
      </w:r>
      <w:r w:rsidR="00B4288A">
        <w:rPr>
          <w:rFonts w:asciiTheme="majorHAnsi" w:hAnsiTheme="majorHAnsi"/>
          <w:sz w:val="21"/>
          <w:szCs w:val="21"/>
        </w:rPr>
        <w:t>GPK</w:t>
      </w:r>
      <w:r w:rsidRPr="004D2E1C">
        <w:rPr>
          <w:rFonts w:asciiTheme="majorHAnsi" w:hAnsiTheme="majorHAnsi"/>
          <w:sz w:val="21"/>
          <w:szCs w:val="21"/>
        </w:rPr>
        <w:t xml:space="preserve"> </w:t>
      </w:r>
      <w:r w:rsidR="0008450B" w:rsidRPr="004D2E1C">
        <w:rPr>
          <w:rFonts w:asciiTheme="majorHAnsi" w:hAnsiTheme="majorHAnsi"/>
          <w:sz w:val="21"/>
          <w:szCs w:val="21"/>
        </w:rPr>
        <w:t>përq</w:t>
      </w:r>
      <w:r w:rsidR="00210D4C">
        <w:rPr>
          <w:rFonts w:asciiTheme="majorHAnsi" w:hAnsiTheme="majorHAnsi"/>
          <w:sz w:val="21"/>
          <w:szCs w:val="21"/>
        </w:rPr>
        <w:t>ë</w:t>
      </w:r>
      <w:r w:rsidR="0008450B" w:rsidRPr="004D2E1C">
        <w:rPr>
          <w:rFonts w:asciiTheme="majorHAnsi" w:hAnsiTheme="majorHAnsi"/>
          <w:sz w:val="21"/>
          <w:szCs w:val="21"/>
        </w:rPr>
        <w:t>ndrohet</w:t>
      </w:r>
      <w:r w:rsidRPr="004D2E1C">
        <w:rPr>
          <w:rFonts w:asciiTheme="majorHAnsi" w:hAnsiTheme="majorHAnsi"/>
          <w:sz w:val="21"/>
          <w:szCs w:val="21"/>
        </w:rPr>
        <w:t xml:space="preserve"> në fushat ku </w:t>
      </w:r>
      <w:r w:rsidR="001974F9">
        <w:rPr>
          <w:rFonts w:asciiTheme="majorHAnsi" w:hAnsiTheme="majorHAnsi"/>
          <w:sz w:val="21"/>
          <w:szCs w:val="21"/>
        </w:rPr>
        <w:t xml:space="preserve">komunat </w:t>
      </w:r>
      <w:r w:rsidRPr="004D2E1C">
        <w:rPr>
          <w:rFonts w:asciiTheme="majorHAnsi" w:hAnsiTheme="majorHAnsi"/>
          <w:sz w:val="21"/>
          <w:szCs w:val="21"/>
        </w:rPr>
        <w:t>kanë nevojë dhe mund të bëjnë përmirësime të mëtejshme. Granti do të krijojë stimu</w:t>
      </w:r>
      <w:r w:rsidR="009E0008">
        <w:rPr>
          <w:rFonts w:asciiTheme="majorHAnsi" w:hAnsiTheme="majorHAnsi"/>
          <w:sz w:val="21"/>
          <w:szCs w:val="21"/>
        </w:rPr>
        <w:t xml:space="preserve">j </w:t>
      </w:r>
      <w:r w:rsidRPr="004D2E1C">
        <w:rPr>
          <w:rFonts w:asciiTheme="majorHAnsi" w:hAnsiTheme="majorHAnsi"/>
          <w:sz w:val="21"/>
          <w:szCs w:val="21"/>
        </w:rPr>
        <w:t xml:space="preserve">për të lehtësuar këtë ndryshim. </w:t>
      </w:r>
    </w:p>
    <w:p w14:paraId="4C439A2F" w14:textId="12DB1101"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Treguesit e ndryshëm kanë </w:t>
      </w:r>
      <w:r w:rsidR="000D61D9">
        <w:rPr>
          <w:rFonts w:asciiTheme="majorHAnsi" w:hAnsiTheme="majorHAnsi"/>
          <w:sz w:val="21"/>
          <w:szCs w:val="21"/>
        </w:rPr>
        <w:t>pik</w:t>
      </w:r>
      <w:r w:rsidR="000D61D9" w:rsidRPr="004D2E1C">
        <w:rPr>
          <w:rFonts w:asciiTheme="majorHAnsi" w:hAnsiTheme="majorHAnsi"/>
          <w:sz w:val="21"/>
          <w:szCs w:val="21"/>
        </w:rPr>
        <w:t>ë</w:t>
      </w:r>
      <w:r w:rsidR="000D61D9">
        <w:rPr>
          <w:rFonts w:asciiTheme="majorHAnsi" w:hAnsiTheme="majorHAnsi"/>
          <w:sz w:val="21"/>
          <w:szCs w:val="21"/>
        </w:rPr>
        <w:t xml:space="preserve"> </w:t>
      </w:r>
      <w:r w:rsidRPr="004D2E1C">
        <w:rPr>
          <w:rFonts w:asciiTheme="majorHAnsi" w:hAnsiTheme="majorHAnsi"/>
          <w:sz w:val="21"/>
          <w:szCs w:val="21"/>
        </w:rPr>
        <w:t xml:space="preserve">të ndryshme maksimale, në lidhje me peshën dhe rëndësinë e </w:t>
      </w:r>
      <w:r w:rsidR="00A134E5">
        <w:rPr>
          <w:rFonts w:asciiTheme="majorHAnsi" w:hAnsiTheme="majorHAnsi"/>
          <w:sz w:val="21"/>
          <w:szCs w:val="21"/>
        </w:rPr>
        <w:t>atrib</w:t>
      </w:r>
      <w:r w:rsidR="004F73B4" w:rsidRPr="004D2E1C">
        <w:rPr>
          <w:rFonts w:asciiTheme="majorHAnsi" w:hAnsiTheme="majorHAnsi"/>
          <w:sz w:val="21"/>
          <w:szCs w:val="21"/>
        </w:rPr>
        <w:t>uar të tyre</w:t>
      </w:r>
      <w:r w:rsidRPr="004D2E1C">
        <w:rPr>
          <w:rFonts w:asciiTheme="majorHAnsi" w:hAnsiTheme="majorHAnsi"/>
          <w:sz w:val="21"/>
          <w:szCs w:val="21"/>
        </w:rPr>
        <w:t xml:space="preserve">. Shtojca </w:t>
      </w:r>
      <w:r w:rsidR="00250BE5">
        <w:rPr>
          <w:rFonts w:asciiTheme="majorHAnsi" w:hAnsiTheme="majorHAnsi"/>
          <w:sz w:val="21"/>
          <w:szCs w:val="21"/>
        </w:rPr>
        <w:t>3</w:t>
      </w:r>
      <w:r w:rsidRPr="004D2E1C">
        <w:rPr>
          <w:rFonts w:asciiTheme="majorHAnsi" w:hAnsiTheme="majorHAnsi"/>
          <w:sz w:val="21"/>
          <w:szCs w:val="21"/>
        </w:rPr>
        <w:t xml:space="preserve"> ka një udhëzues të detajuar mbi </w:t>
      </w:r>
      <w:r w:rsidR="004F73B4" w:rsidRPr="004D2E1C">
        <w:rPr>
          <w:rFonts w:asciiTheme="majorHAnsi" w:hAnsiTheme="majorHAnsi"/>
          <w:sz w:val="21"/>
          <w:szCs w:val="21"/>
        </w:rPr>
        <w:t>caktimin</w:t>
      </w:r>
      <w:r w:rsidRPr="004D2E1C">
        <w:rPr>
          <w:rFonts w:asciiTheme="majorHAnsi" w:hAnsiTheme="majorHAnsi"/>
          <w:sz w:val="21"/>
          <w:szCs w:val="21"/>
        </w:rPr>
        <w:t xml:space="preserve"> e pikëve brenda pikëve maksimale. Pikët </w:t>
      </w:r>
      <w:r w:rsidR="00D62F2A">
        <w:rPr>
          <w:rFonts w:asciiTheme="majorHAnsi" w:hAnsiTheme="majorHAnsi"/>
          <w:sz w:val="21"/>
          <w:szCs w:val="21"/>
        </w:rPr>
        <w:t>jan</w:t>
      </w:r>
      <w:r w:rsidR="00210D4C">
        <w:rPr>
          <w:rFonts w:asciiTheme="majorHAnsi" w:hAnsiTheme="majorHAnsi"/>
          <w:sz w:val="21"/>
          <w:szCs w:val="21"/>
        </w:rPr>
        <w:t>ë</w:t>
      </w:r>
      <w:r w:rsidR="00D62F2A">
        <w:rPr>
          <w:rFonts w:asciiTheme="majorHAnsi" w:hAnsiTheme="majorHAnsi"/>
          <w:sz w:val="21"/>
          <w:szCs w:val="21"/>
        </w:rPr>
        <w:t xml:space="preserve"> kalibruar </w:t>
      </w:r>
      <w:r w:rsidRPr="004D2E1C">
        <w:rPr>
          <w:rFonts w:asciiTheme="majorHAnsi" w:hAnsiTheme="majorHAnsi"/>
          <w:sz w:val="21"/>
          <w:szCs w:val="21"/>
        </w:rPr>
        <w:t xml:space="preserve">në mënyrë të tillë që të shpërblehen nivele të mira dhe të pranueshme të performancës, por </w:t>
      </w:r>
      <w:r w:rsidR="00D62F2A">
        <w:rPr>
          <w:rFonts w:asciiTheme="majorHAnsi" w:hAnsiTheme="majorHAnsi"/>
          <w:sz w:val="21"/>
          <w:szCs w:val="21"/>
        </w:rPr>
        <w:t>q</w:t>
      </w:r>
      <w:r w:rsidR="00210D4C">
        <w:rPr>
          <w:rFonts w:asciiTheme="majorHAnsi" w:hAnsiTheme="majorHAnsi"/>
          <w:sz w:val="21"/>
          <w:szCs w:val="21"/>
        </w:rPr>
        <w:t>ë</w:t>
      </w:r>
      <w:r w:rsidR="00D62F2A">
        <w:rPr>
          <w:rFonts w:asciiTheme="majorHAnsi" w:hAnsiTheme="majorHAnsi"/>
          <w:sz w:val="21"/>
          <w:szCs w:val="21"/>
        </w:rPr>
        <w:t xml:space="preserve"> </w:t>
      </w:r>
      <w:r w:rsidRPr="004D2E1C">
        <w:rPr>
          <w:rFonts w:asciiTheme="majorHAnsi" w:hAnsiTheme="majorHAnsi"/>
          <w:sz w:val="21"/>
          <w:szCs w:val="21"/>
        </w:rPr>
        <w:t xml:space="preserve">për secilin tregues, </w:t>
      </w:r>
      <w:r w:rsidR="004F73B4" w:rsidRPr="004D2E1C">
        <w:rPr>
          <w:rFonts w:asciiTheme="majorHAnsi" w:hAnsiTheme="majorHAnsi"/>
          <w:sz w:val="21"/>
          <w:szCs w:val="21"/>
        </w:rPr>
        <w:t xml:space="preserve">për </w:t>
      </w:r>
      <w:r w:rsidRPr="004D2E1C">
        <w:rPr>
          <w:rFonts w:asciiTheme="majorHAnsi" w:hAnsiTheme="majorHAnsi"/>
          <w:sz w:val="21"/>
          <w:szCs w:val="21"/>
        </w:rPr>
        <w:t>performancë</w:t>
      </w:r>
      <w:r w:rsidR="004F73B4" w:rsidRPr="004D2E1C">
        <w:rPr>
          <w:rFonts w:asciiTheme="majorHAnsi" w:hAnsiTheme="majorHAnsi"/>
          <w:sz w:val="21"/>
          <w:szCs w:val="21"/>
        </w:rPr>
        <w:t>n</w:t>
      </w:r>
      <w:r w:rsidRPr="004D2E1C">
        <w:rPr>
          <w:rFonts w:asciiTheme="majorHAnsi" w:hAnsiTheme="majorHAnsi"/>
          <w:sz w:val="21"/>
          <w:szCs w:val="21"/>
        </w:rPr>
        <w:t xml:space="preserve"> nën-optimale jepen shumë pak ose aspak pikë, që do të thotë se pikët </w:t>
      </w:r>
      <w:r w:rsidR="00D62F2A" w:rsidRPr="004D2E1C">
        <w:rPr>
          <w:rFonts w:asciiTheme="majorHAnsi" w:hAnsiTheme="majorHAnsi"/>
          <w:sz w:val="21"/>
          <w:szCs w:val="21"/>
        </w:rPr>
        <w:t xml:space="preserve">me të vërtetë </w:t>
      </w:r>
      <w:r w:rsidRPr="004D2E1C">
        <w:rPr>
          <w:rFonts w:asciiTheme="majorHAnsi" w:hAnsiTheme="majorHAnsi"/>
          <w:sz w:val="21"/>
          <w:szCs w:val="21"/>
        </w:rPr>
        <w:t xml:space="preserve">stimulojnë performancën e mirë (në vend të performancës mesatare). Kjo gjithashtu do të thotë se komunat që performojnë mirë në një numër treguesish do të marrin </w:t>
      </w:r>
      <w:r w:rsidR="00D62F2A">
        <w:rPr>
          <w:rFonts w:asciiTheme="majorHAnsi" w:hAnsiTheme="majorHAnsi"/>
          <w:sz w:val="21"/>
          <w:szCs w:val="21"/>
        </w:rPr>
        <w:t>ndjesh</w:t>
      </w:r>
      <w:r w:rsidR="00210D4C">
        <w:rPr>
          <w:rFonts w:asciiTheme="majorHAnsi" w:hAnsiTheme="majorHAnsi"/>
          <w:sz w:val="21"/>
          <w:szCs w:val="21"/>
        </w:rPr>
        <w:t>ë</w:t>
      </w:r>
      <w:r w:rsidR="00D62F2A">
        <w:rPr>
          <w:rFonts w:asciiTheme="majorHAnsi" w:hAnsiTheme="majorHAnsi"/>
          <w:sz w:val="21"/>
          <w:szCs w:val="21"/>
        </w:rPr>
        <w:t xml:space="preserve">m </w:t>
      </w:r>
      <w:r w:rsidRPr="004D2E1C">
        <w:rPr>
          <w:rFonts w:asciiTheme="majorHAnsi" w:hAnsiTheme="majorHAnsi"/>
          <w:sz w:val="21"/>
          <w:szCs w:val="21"/>
        </w:rPr>
        <w:t xml:space="preserve">më shumë pikë se ato që tregojnë performancë të zakonshme. </w:t>
      </w:r>
    </w:p>
    <w:p w14:paraId="587EE0E1"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Është e rëndësishme të theksohet se treguesit janë përzgjedhur dhe formuluar në mënyrë të tillë që të </w:t>
      </w:r>
      <w:r w:rsidR="007B1D25">
        <w:rPr>
          <w:rFonts w:asciiTheme="majorHAnsi" w:hAnsiTheme="majorHAnsi"/>
          <w:sz w:val="21"/>
          <w:szCs w:val="21"/>
        </w:rPr>
        <w:t>jen</w:t>
      </w:r>
      <w:r w:rsidR="00BB1193">
        <w:rPr>
          <w:rFonts w:asciiTheme="majorHAnsi" w:hAnsiTheme="majorHAnsi"/>
          <w:sz w:val="21"/>
          <w:szCs w:val="21"/>
        </w:rPr>
        <w:t>ë</w:t>
      </w:r>
      <w:r w:rsidR="007B1D25">
        <w:rPr>
          <w:rFonts w:asciiTheme="majorHAnsi" w:hAnsiTheme="majorHAnsi"/>
          <w:sz w:val="21"/>
          <w:szCs w:val="21"/>
        </w:rPr>
        <w:t xml:space="preserve"> </w:t>
      </w:r>
      <w:r w:rsidRPr="004D2E1C">
        <w:rPr>
          <w:rFonts w:asciiTheme="majorHAnsi" w:hAnsiTheme="majorHAnsi"/>
          <w:sz w:val="21"/>
          <w:szCs w:val="21"/>
        </w:rPr>
        <w:t xml:space="preserve">të arritshëm në të njëjtën mënyrë nga të gjitha komunat, pavarësisht nga popullsia, madhësia e </w:t>
      </w:r>
      <w:r w:rsidR="00392FB7" w:rsidRPr="004D2E1C">
        <w:rPr>
          <w:rFonts w:asciiTheme="majorHAnsi" w:hAnsiTheme="majorHAnsi"/>
          <w:sz w:val="21"/>
          <w:szCs w:val="21"/>
        </w:rPr>
        <w:t>territorit</w:t>
      </w:r>
      <w:r w:rsidRPr="004D2E1C">
        <w:rPr>
          <w:rFonts w:asciiTheme="majorHAnsi" w:hAnsiTheme="majorHAnsi"/>
          <w:sz w:val="21"/>
          <w:szCs w:val="21"/>
        </w:rPr>
        <w:t xml:space="preserve"> apo fuqia ekonomike. Në parim, treguesit pasqyrojnë atributet që të gjitha komunat </w:t>
      </w:r>
      <w:r w:rsidRPr="00792B62">
        <w:rPr>
          <w:rFonts w:asciiTheme="majorHAnsi" w:hAnsiTheme="majorHAnsi"/>
          <w:i/>
          <w:sz w:val="21"/>
          <w:szCs w:val="21"/>
        </w:rPr>
        <w:t>‘duhet t'i kenë</w:t>
      </w:r>
      <w:r w:rsidRPr="004D2E1C">
        <w:rPr>
          <w:rFonts w:asciiTheme="majorHAnsi" w:hAnsiTheme="majorHAnsi"/>
          <w:sz w:val="21"/>
          <w:szCs w:val="21"/>
        </w:rPr>
        <w:t>’ - pasi ato janë pjesë e qeverisjes së mirë lokale, gjë që ju takon të gjithë qytetarëve të Kosovës.</w:t>
      </w:r>
    </w:p>
    <w:p w14:paraId="1685EF7B" w14:textId="10CF3A42" w:rsidR="001974F9" w:rsidRPr="003D52B9" w:rsidRDefault="001974F9" w:rsidP="00363711">
      <w:pPr>
        <w:spacing w:before="60" w:line="264" w:lineRule="auto"/>
        <w:jc w:val="both"/>
        <w:rPr>
          <w:rFonts w:asciiTheme="majorHAnsi" w:hAnsiTheme="majorHAnsi"/>
          <w:b/>
          <w:bCs/>
          <w:sz w:val="21"/>
          <w:szCs w:val="21"/>
        </w:rPr>
      </w:pPr>
    </w:p>
    <w:p w14:paraId="31166138" w14:textId="700757B7" w:rsidR="0039480B" w:rsidRDefault="00EA0DB2" w:rsidP="00363711">
      <w:pPr>
        <w:spacing w:before="60" w:line="264" w:lineRule="auto"/>
        <w:jc w:val="both"/>
        <w:rPr>
          <w:rFonts w:asciiTheme="majorHAnsi" w:hAnsiTheme="majorHAnsi"/>
          <w:sz w:val="21"/>
          <w:szCs w:val="21"/>
        </w:rPr>
      </w:pPr>
      <w:r w:rsidRPr="00852D64">
        <w:rPr>
          <w:rFonts w:asciiTheme="majorHAnsi" w:hAnsiTheme="majorHAnsi"/>
          <w:sz w:val="21"/>
          <w:szCs w:val="21"/>
        </w:rPr>
        <w:lastRenderedPageBreak/>
        <w:t xml:space="preserve">Treguesi nr. </w:t>
      </w:r>
      <w:r w:rsidR="00AC7EB6">
        <w:rPr>
          <w:rFonts w:asciiTheme="majorHAnsi" w:hAnsiTheme="majorHAnsi"/>
          <w:sz w:val="21"/>
          <w:szCs w:val="21"/>
        </w:rPr>
        <w:t>3</w:t>
      </w:r>
      <w:r w:rsidR="004543DE">
        <w:rPr>
          <w:rFonts w:asciiTheme="majorHAnsi" w:hAnsiTheme="majorHAnsi"/>
          <w:sz w:val="21"/>
          <w:szCs w:val="21"/>
        </w:rPr>
        <w:t xml:space="preserve"> </w:t>
      </w:r>
      <w:r w:rsidR="00AC7EB6">
        <w:rPr>
          <w:rFonts w:asciiTheme="majorHAnsi" w:hAnsiTheme="majorHAnsi"/>
          <w:sz w:val="21"/>
          <w:szCs w:val="21"/>
        </w:rPr>
        <w:t>(me ngjyrë portokalli në Tabelën 2) është i ngrirë që do të thotë se rezultati për këtë tregues nuk do të merret parasysh në totalin e pikëve, për shkak të publikimit me vonesë të Raportit të Performancës Komunale për vititn 2020, nga MAPL.</w:t>
      </w:r>
    </w:p>
    <w:p w14:paraId="2BF07773" w14:textId="77777777" w:rsidR="00A64DB5" w:rsidRDefault="00A64DB5" w:rsidP="00A64DB5">
      <w:pPr>
        <w:spacing w:before="60" w:line="264" w:lineRule="auto"/>
        <w:jc w:val="both"/>
        <w:rPr>
          <w:rFonts w:asciiTheme="majorHAnsi" w:hAnsiTheme="majorHAnsi"/>
          <w:sz w:val="21"/>
          <w:szCs w:val="21"/>
        </w:rPr>
      </w:pPr>
      <w:r>
        <w:rPr>
          <w:rFonts w:asciiTheme="majorHAnsi" w:hAnsiTheme="majorHAnsi"/>
          <w:sz w:val="21"/>
          <w:szCs w:val="21"/>
        </w:rPr>
        <w:t xml:space="preserve">Treguesi nr.19 (me ngjyrë portokalli në Tabelën 2) është i ngrirë që do të thotë se rezultati për këtë tregues nuk do të merret parasysh në totalin e pikëve, </w:t>
      </w:r>
      <w:r w:rsidRPr="00D1404F">
        <w:rPr>
          <w:rFonts w:asciiTheme="majorHAnsi" w:hAnsiTheme="majorHAnsi"/>
          <w:sz w:val="21"/>
          <w:szCs w:val="21"/>
        </w:rPr>
        <w:t>për shkak të ndryshimit të l</w:t>
      </w:r>
      <w:r>
        <w:rPr>
          <w:rFonts w:asciiTheme="majorHAnsi" w:hAnsiTheme="majorHAnsi"/>
          <w:sz w:val="21"/>
          <w:szCs w:val="21"/>
        </w:rPr>
        <w:t>i</w:t>
      </w:r>
      <w:r w:rsidRPr="00D1404F">
        <w:rPr>
          <w:rFonts w:asciiTheme="majorHAnsi" w:hAnsiTheme="majorHAnsi"/>
          <w:sz w:val="21"/>
          <w:szCs w:val="21"/>
        </w:rPr>
        <w:t>gjit për zyrtarët publik dhe mungesës së legjislacionit sekondar lidhur me procedurat e rekrutimit në shërbimin civil.</w:t>
      </w:r>
    </w:p>
    <w:p w14:paraId="2B41100F" w14:textId="5CE36362" w:rsidR="00CC50B5" w:rsidRDefault="00885BE7" w:rsidP="00363711">
      <w:pPr>
        <w:spacing w:before="60" w:line="264" w:lineRule="auto"/>
        <w:jc w:val="both"/>
        <w:rPr>
          <w:rFonts w:asciiTheme="majorHAnsi" w:hAnsiTheme="majorHAnsi"/>
          <w:sz w:val="21"/>
          <w:szCs w:val="21"/>
        </w:rPr>
      </w:pPr>
      <w:r>
        <w:rPr>
          <w:rFonts w:asciiTheme="majorHAnsi" w:hAnsiTheme="majorHAnsi"/>
          <w:sz w:val="21"/>
          <w:szCs w:val="21"/>
        </w:rPr>
        <w:t xml:space="preserve">Treguesi </w:t>
      </w:r>
      <w:r w:rsidR="007B1D25">
        <w:rPr>
          <w:rFonts w:asciiTheme="majorHAnsi" w:hAnsiTheme="majorHAnsi"/>
          <w:sz w:val="21"/>
          <w:szCs w:val="21"/>
        </w:rPr>
        <w:t xml:space="preserve">nr. </w:t>
      </w:r>
      <w:r w:rsidR="00B65ED3">
        <w:rPr>
          <w:rFonts w:asciiTheme="majorHAnsi" w:hAnsiTheme="majorHAnsi"/>
          <w:sz w:val="21"/>
          <w:szCs w:val="21"/>
        </w:rPr>
        <w:t xml:space="preserve">27 </w:t>
      </w:r>
      <w:r w:rsidR="007B1D25">
        <w:rPr>
          <w:rFonts w:asciiTheme="majorHAnsi" w:hAnsiTheme="majorHAnsi"/>
          <w:sz w:val="21"/>
          <w:szCs w:val="21"/>
        </w:rPr>
        <w:t>(</w:t>
      </w:r>
      <w:r>
        <w:rPr>
          <w:rFonts w:asciiTheme="majorHAnsi" w:hAnsiTheme="majorHAnsi"/>
          <w:sz w:val="21"/>
          <w:szCs w:val="21"/>
        </w:rPr>
        <w:t xml:space="preserve">me </w:t>
      </w:r>
      <w:r w:rsidRPr="008E7C2A">
        <w:rPr>
          <w:rFonts w:asciiTheme="majorHAnsi" w:hAnsiTheme="majorHAnsi"/>
          <w:sz w:val="21"/>
          <w:szCs w:val="21"/>
        </w:rPr>
        <w:t>ngjyrë portokalli në Tabelën 2</w:t>
      </w:r>
      <w:r w:rsidR="007B1D25">
        <w:rPr>
          <w:rFonts w:asciiTheme="majorHAnsi" w:hAnsiTheme="majorHAnsi"/>
          <w:sz w:val="21"/>
          <w:szCs w:val="21"/>
        </w:rPr>
        <w:t>)</w:t>
      </w:r>
      <w:r w:rsidRPr="008E7C2A">
        <w:rPr>
          <w:rFonts w:asciiTheme="majorHAnsi" w:hAnsiTheme="majorHAnsi"/>
          <w:sz w:val="21"/>
          <w:szCs w:val="21"/>
        </w:rPr>
        <w:t xml:space="preserve"> </w:t>
      </w:r>
      <w:r w:rsidR="003D52B9" w:rsidRPr="004D2E1C">
        <w:rPr>
          <w:rFonts w:asciiTheme="majorHAnsi" w:hAnsiTheme="majorHAnsi"/>
          <w:sz w:val="21"/>
          <w:szCs w:val="21"/>
        </w:rPr>
        <w:t>ë</w:t>
      </w:r>
      <w:r w:rsidR="003D52B9">
        <w:rPr>
          <w:rFonts w:asciiTheme="majorHAnsi" w:hAnsiTheme="majorHAnsi"/>
          <w:sz w:val="21"/>
          <w:szCs w:val="21"/>
        </w:rPr>
        <w:t>sht</w:t>
      </w:r>
      <w:r w:rsidR="003D52B9" w:rsidRPr="004D2E1C">
        <w:rPr>
          <w:rFonts w:asciiTheme="majorHAnsi" w:hAnsiTheme="majorHAnsi"/>
          <w:sz w:val="21"/>
          <w:szCs w:val="21"/>
        </w:rPr>
        <w:t>ë</w:t>
      </w:r>
      <w:r w:rsidR="003D52B9">
        <w:rPr>
          <w:rFonts w:asciiTheme="majorHAnsi" w:hAnsiTheme="majorHAnsi"/>
          <w:sz w:val="21"/>
          <w:szCs w:val="21"/>
        </w:rPr>
        <w:t xml:space="preserve"> </w:t>
      </w:r>
      <w:r w:rsidRPr="008E7C2A">
        <w:rPr>
          <w:rFonts w:asciiTheme="majorHAnsi" w:hAnsiTheme="majorHAnsi"/>
          <w:sz w:val="21"/>
          <w:szCs w:val="21"/>
        </w:rPr>
        <w:t>'ngri</w:t>
      </w:r>
      <w:r w:rsidR="003D52B9">
        <w:rPr>
          <w:rFonts w:asciiTheme="majorHAnsi" w:hAnsiTheme="majorHAnsi"/>
          <w:sz w:val="21"/>
          <w:szCs w:val="21"/>
        </w:rPr>
        <w:t>r</w:t>
      </w:r>
      <w:r w:rsidR="003D52B9" w:rsidRPr="004D2E1C">
        <w:rPr>
          <w:rFonts w:asciiTheme="majorHAnsi" w:hAnsiTheme="majorHAnsi"/>
          <w:sz w:val="21"/>
          <w:szCs w:val="21"/>
        </w:rPr>
        <w:t>ë</w:t>
      </w:r>
      <w:r w:rsidRPr="008E7C2A">
        <w:rPr>
          <w:rFonts w:asciiTheme="majorHAnsi" w:hAnsiTheme="majorHAnsi"/>
          <w:sz w:val="21"/>
          <w:szCs w:val="21"/>
        </w:rPr>
        <w:t>'</w:t>
      </w:r>
      <w:r>
        <w:rPr>
          <w:rFonts w:asciiTheme="majorHAnsi" w:hAnsiTheme="majorHAnsi"/>
          <w:sz w:val="21"/>
          <w:szCs w:val="21"/>
        </w:rPr>
        <w:t xml:space="preserve"> q</w:t>
      </w:r>
      <w:r w:rsidR="00DC0362">
        <w:rPr>
          <w:rFonts w:asciiTheme="majorHAnsi" w:hAnsiTheme="majorHAnsi"/>
          <w:sz w:val="21"/>
          <w:szCs w:val="21"/>
        </w:rPr>
        <w:t>ë</w:t>
      </w:r>
      <w:r>
        <w:rPr>
          <w:rFonts w:asciiTheme="majorHAnsi" w:hAnsiTheme="majorHAnsi"/>
          <w:sz w:val="21"/>
          <w:szCs w:val="21"/>
        </w:rPr>
        <w:t xml:space="preserve"> </w:t>
      </w:r>
      <w:r w:rsidRPr="008E7C2A">
        <w:rPr>
          <w:rFonts w:asciiTheme="majorHAnsi" w:hAnsiTheme="majorHAnsi"/>
          <w:sz w:val="21"/>
          <w:szCs w:val="21"/>
        </w:rPr>
        <w:t>do të thotë se rezultati për kët</w:t>
      </w:r>
      <w:r w:rsidR="00C23851">
        <w:rPr>
          <w:rFonts w:asciiTheme="majorHAnsi" w:hAnsiTheme="majorHAnsi"/>
          <w:sz w:val="21"/>
          <w:szCs w:val="21"/>
        </w:rPr>
        <w:t>ë</w:t>
      </w:r>
      <w:r w:rsidRPr="008E7C2A">
        <w:rPr>
          <w:rFonts w:asciiTheme="majorHAnsi" w:hAnsiTheme="majorHAnsi"/>
          <w:sz w:val="21"/>
          <w:szCs w:val="21"/>
        </w:rPr>
        <w:t xml:space="preserve"> tregues nuk do të merret parasysh në totalin e pikëve</w:t>
      </w:r>
      <w:r w:rsidR="00CC50B5">
        <w:rPr>
          <w:rFonts w:asciiTheme="majorHAnsi" w:hAnsiTheme="majorHAnsi"/>
          <w:sz w:val="21"/>
          <w:szCs w:val="21"/>
        </w:rPr>
        <w:t>, p</w:t>
      </w:r>
      <w:r w:rsidR="00C87181">
        <w:rPr>
          <w:rFonts w:asciiTheme="majorHAnsi" w:hAnsiTheme="majorHAnsi"/>
          <w:sz w:val="21"/>
          <w:szCs w:val="21"/>
        </w:rPr>
        <w:t>ë</w:t>
      </w:r>
      <w:r w:rsidR="00CC50B5">
        <w:rPr>
          <w:rFonts w:asciiTheme="majorHAnsi" w:hAnsiTheme="majorHAnsi"/>
          <w:sz w:val="21"/>
          <w:szCs w:val="21"/>
        </w:rPr>
        <w:t xml:space="preserve">r arsye se </w:t>
      </w:r>
      <w:r w:rsidR="00AC7EB6">
        <w:rPr>
          <w:rFonts w:asciiTheme="majorHAnsi" w:hAnsiTheme="majorHAnsi"/>
          <w:sz w:val="21"/>
          <w:szCs w:val="21"/>
        </w:rPr>
        <w:t xml:space="preserve">nuk ka </w:t>
      </w:r>
      <w:r w:rsidR="00CC50B5">
        <w:rPr>
          <w:rFonts w:asciiTheme="majorHAnsi" w:hAnsiTheme="majorHAnsi"/>
          <w:sz w:val="21"/>
          <w:szCs w:val="21"/>
        </w:rPr>
        <w:t>t</w:t>
      </w:r>
      <w:r w:rsidR="00C87181">
        <w:rPr>
          <w:rFonts w:asciiTheme="majorHAnsi" w:hAnsiTheme="majorHAnsi"/>
          <w:sz w:val="21"/>
          <w:szCs w:val="21"/>
        </w:rPr>
        <w:t>ë</w:t>
      </w:r>
      <w:r w:rsidR="00CC50B5">
        <w:rPr>
          <w:rFonts w:asciiTheme="majorHAnsi" w:hAnsiTheme="majorHAnsi"/>
          <w:sz w:val="21"/>
          <w:szCs w:val="21"/>
        </w:rPr>
        <w:t xml:space="preserve"> dh</w:t>
      </w:r>
      <w:r w:rsidR="00C87181">
        <w:rPr>
          <w:rFonts w:asciiTheme="majorHAnsi" w:hAnsiTheme="majorHAnsi"/>
          <w:sz w:val="21"/>
          <w:szCs w:val="21"/>
        </w:rPr>
        <w:t>ë</w:t>
      </w:r>
      <w:r w:rsidR="00CC50B5">
        <w:rPr>
          <w:rFonts w:asciiTheme="majorHAnsi" w:hAnsiTheme="majorHAnsi"/>
          <w:sz w:val="21"/>
          <w:szCs w:val="21"/>
        </w:rPr>
        <w:t>na</w:t>
      </w:r>
      <w:r w:rsidR="00AC7EB6">
        <w:rPr>
          <w:rFonts w:asciiTheme="majorHAnsi" w:hAnsiTheme="majorHAnsi"/>
          <w:sz w:val="21"/>
          <w:szCs w:val="21"/>
        </w:rPr>
        <w:t xml:space="preserve"> të sakta për këtë tregues dhe nuk janë </w:t>
      </w:r>
      <w:r w:rsidR="00CC50B5">
        <w:rPr>
          <w:rFonts w:asciiTheme="majorHAnsi" w:hAnsiTheme="majorHAnsi"/>
          <w:sz w:val="21"/>
          <w:szCs w:val="21"/>
        </w:rPr>
        <w:t>raport</w:t>
      </w:r>
      <w:r w:rsidR="00AC7EB6">
        <w:rPr>
          <w:rFonts w:asciiTheme="majorHAnsi" w:hAnsiTheme="majorHAnsi"/>
          <w:sz w:val="21"/>
          <w:szCs w:val="21"/>
        </w:rPr>
        <w:t>uar në</w:t>
      </w:r>
      <w:r w:rsidR="00CC50B5">
        <w:rPr>
          <w:rFonts w:asciiTheme="majorHAnsi" w:hAnsiTheme="majorHAnsi"/>
          <w:sz w:val="21"/>
          <w:szCs w:val="21"/>
        </w:rPr>
        <w:t xml:space="preserve"> SMPK p</w:t>
      </w:r>
      <w:r w:rsidR="00C87181">
        <w:rPr>
          <w:rFonts w:asciiTheme="majorHAnsi" w:hAnsiTheme="majorHAnsi"/>
          <w:sz w:val="21"/>
          <w:szCs w:val="21"/>
        </w:rPr>
        <w:t>ë</w:t>
      </w:r>
      <w:r w:rsidR="00CC50B5">
        <w:rPr>
          <w:rFonts w:asciiTheme="majorHAnsi" w:hAnsiTheme="majorHAnsi"/>
          <w:sz w:val="21"/>
          <w:szCs w:val="21"/>
        </w:rPr>
        <w:t xml:space="preserve">r vitin </w:t>
      </w:r>
      <w:r w:rsidR="587F5080" w:rsidRPr="799B2072">
        <w:rPr>
          <w:rFonts w:asciiTheme="majorHAnsi" w:hAnsiTheme="majorHAnsi"/>
          <w:sz w:val="21"/>
          <w:szCs w:val="21"/>
        </w:rPr>
        <w:t>20</w:t>
      </w:r>
      <w:r w:rsidR="12426D2A" w:rsidRPr="799B2072">
        <w:rPr>
          <w:rFonts w:asciiTheme="majorHAnsi" w:hAnsiTheme="majorHAnsi"/>
          <w:sz w:val="21"/>
          <w:szCs w:val="21"/>
        </w:rPr>
        <w:t>2</w:t>
      </w:r>
      <w:r w:rsidR="00AC7EB6">
        <w:rPr>
          <w:rFonts w:asciiTheme="majorHAnsi" w:hAnsiTheme="majorHAnsi"/>
          <w:sz w:val="21"/>
          <w:szCs w:val="21"/>
        </w:rPr>
        <w:t>1</w:t>
      </w:r>
      <w:r w:rsidR="587F5080" w:rsidRPr="799B2072">
        <w:rPr>
          <w:rFonts w:asciiTheme="majorHAnsi" w:hAnsiTheme="majorHAnsi"/>
          <w:sz w:val="21"/>
          <w:szCs w:val="21"/>
        </w:rPr>
        <w:t>.</w:t>
      </w:r>
    </w:p>
    <w:p w14:paraId="7A11E923" w14:textId="77777777" w:rsidR="00CD79F5" w:rsidRPr="00A05BAE" w:rsidRDefault="00CD79F5" w:rsidP="00A05BAE"/>
    <w:p w14:paraId="1C29CDD1" w14:textId="29DB0B41" w:rsidR="00CD79F5" w:rsidRPr="004D2E1C" w:rsidRDefault="00CD79F5" w:rsidP="00CD79F5">
      <w:pPr>
        <w:pStyle w:val="Heading1"/>
        <w:numPr>
          <w:ilvl w:val="1"/>
          <w:numId w:val="6"/>
        </w:numPr>
        <w:tabs>
          <w:tab w:val="left" w:pos="540"/>
        </w:tabs>
        <w:ind w:hanging="1800"/>
        <w:rPr>
          <w:rFonts w:asciiTheme="majorHAnsi" w:hAnsiTheme="majorHAnsi"/>
          <w:color w:val="C0504D"/>
          <w:lang w:val="sq-AL"/>
        </w:rPr>
      </w:pPr>
      <w:bookmarkStart w:id="36" w:name="_Toc61062523"/>
      <w:r w:rsidRPr="7D684930">
        <w:rPr>
          <w:rFonts w:asciiTheme="majorHAnsi" w:hAnsiTheme="majorHAnsi"/>
          <w:color w:val="C0504D" w:themeColor="accent2"/>
          <w:lang w:val="sq-AL"/>
        </w:rPr>
        <w:t>Burimet e financimit të grant</w:t>
      </w:r>
      <w:r w:rsidR="00392FB7" w:rsidRPr="7D684930">
        <w:rPr>
          <w:rFonts w:asciiTheme="majorHAnsi" w:hAnsiTheme="majorHAnsi"/>
          <w:color w:val="C0504D" w:themeColor="accent2"/>
          <w:lang w:val="sq-AL"/>
        </w:rPr>
        <w:t xml:space="preserve">it të </w:t>
      </w:r>
      <w:r w:rsidR="00674C44" w:rsidRPr="7D684930">
        <w:rPr>
          <w:rFonts w:asciiTheme="majorHAnsi" w:hAnsiTheme="majorHAnsi"/>
          <w:color w:val="C0504D" w:themeColor="accent2"/>
          <w:lang w:val="sq-AL"/>
        </w:rPr>
        <w:t>performancës komunale</w:t>
      </w:r>
      <w:bookmarkEnd w:id="36"/>
    </w:p>
    <w:p w14:paraId="173C3344" w14:textId="1A688431" w:rsidR="000B3F69" w:rsidRDefault="000B3F69" w:rsidP="00852D6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lang w:val="sq-AL"/>
        </w:rPr>
        <w:t>GPK </w:t>
      </w:r>
      <w:r w:rsidR="0043034A">
        <w:rPr>
          <w:rStyle w:val="normaltextrun"/>
          <w:rFonts w:ascii="Calibri" w:hAnsi="Calibri" w:cs="Calibri"/>
          <w:sz w:val="21"/>
          <w:szCs w:val="21"/>
          <w:lang w:val="sq-AL"/>
        </w:rPr>
        <w:t>për vitin 202</w:t>
      </w:r>
      <w:r w:rsidR="00AC7EB6">
        <w:rPr>
          <w:rStyle w:val="normaltextrun"/>
          <w:rFonts w:ascii="Calibri" w:hAnsi="Calibri" w:cs="Calibri"/>
          <w:sz w:val="21"/>
          <w:szCs w:val="21"/>
          <w:lang w:val="sq-AL"/>
        </w:rPr>
        <w:t>3</w:t>
      </w:r>
      <w:r w:rsidR="0043034A">
        <w:rPr>
          <w:rStyle w:val="normaltextrun"/>
          <w:rFonts w:ascii="Calibri" w:hAnsi="Calibri" w:cs="Calibri"/>
          <w:sz w:val="21"/>
          <w:szCs w:val="21"/>
          <w:lang w:val="sq-AL"/>
        </w:rPr>
        <w:t xml:space="preserve"> pritet të </w:t>
      </w:r>
      <w:r>
        <w:rPr>
          <w:rStyle w:val="normaltextrun"/>
          <w:rFonts w:ascii="Calibri" w:hAnsi="Calibri" w:cs="Calibri"/>
          <w:sz w:val="21"/>
          <w:szCs w:val="21"/>
          <w:lang w:val="sq-AL"/>
        </w:rPr>
        <w:t>bashkëfinancohet nga Qeveria e Kosovës (nga alokimi buxhetor i</w:t>
      </w:r>
      <w:r w:rsidR="00164F19">
        <w:rPr>
          <w:rStyle w:val="normaltextrun"/>
          <w:rFonts w:ascii="Calibri" w:hAnsi="Calibri" w:cs="Calibri"/>
          <w:sz w:val="21"/>
          <w:szCs w:val="21"/>
          <w:lang w:val="sq-AL"/>
        </w:rPr>
        <w:t xml:space="preserve"> MAPL-së</w:t>
      </w:r>
      <w:r>
        <w:rPr>
          <w:rStyle w:val="normaltextrun"/>
          <w:rFonts w:ascii="Calibri" w:hAnsi="Calibri" w:cs="Calibri"/>
          <w:sz w:val="21"/>
          <w:szCs w:val="21"/>
          <w:lang w:val="sq-AL"/>
        </w:rPr>
        <w:t> ), </w:t>
      </w:r>
      <w:r w:rsidR="00164F19">
        <w:rPr>
          <w:rStyle w:val="normaltextrun"/>
          <w:rFonts w:ascii="Calibri" w:hAnsi="Calibri" w:cs="Calibri"/>
          <w:sz w:val="21"/>
          <w:szCs w:val="21"/>
          <w:lang w:val="sq-AL"/>
        </w:rPr>
        <w:t>Suedia dhe Bashkimi Europian, Zvicra, dhe Norvegjia.</w:t>
      </w:r>
      <w:r>
        <w:rPr>
          <w:rStyle w:val="eop"/>
          <w:rFonts w:ascii="Calibri" w:hAnsi="Calibri" w:cs="Calibri"/>
          <w:sz w:val="21"/>
          <w:szCs w:val="21"/>
        </w:rPr>
        <w:t> </w:t>
      </w:r>
    </w:p>
    <w:p w14:paraId="217671A4" w14:textId="77777777" w:rsidR="00487093" w:rsidRDefault="00487093" w:rsidP="00487093">
      <w:pPr>
        <w:pStyle w:val="paragraph"/>
        <w:spacing w:before="0" w:beforeAutospacing="0" w:after="0" w:afterAutospacing="0"/>
        <w:jc w:val="both"/>
        <w:textAlignment w:val="baseline"/>
        <w:rPr>
          <w:rStyle w:val="normaltextrun"/>
          <w:rFonts w:ascii="Calibri" w:hAnsi="Calibri" w:cs="Calibri"/>
          <w:sz w:val="21"/>
          <w:szCs w:val="21"/>
          <w:lang w:val="sq-AL"/>
        </w:rPr>
      </w:pPr>
    </w:p>
    <w:p w14:paraId="7B8768DA" w14:textId="36A41143" w:rsidR="000B3F69" w:rsidRDefault="000B3F69" w:rsidP="00852D64">
      <w:pPr>
        <w:pStyle w:val="paragraph"/>
        <w:spacing w:before="0" w:beforeAutospacing="0" w:after="0" w:afterAutospacing="0"/>
        <w:jc w:val="both"/>
        <w:textAlignment w:val="baseline"/>
        <w:rPr>
          <w:rStyle w:val="normaltextrun"/>
          <w:rFonts w:ascii="Calibri" w:hAnsi="Calibri" w:cs="Calibri"/>
          <w:sz w:val="21"/>
          <w:szCs w:val="21"/>
          <w:lang w:val="sq-AL"/>
        </w:rPr>
      </w:pPr>
      <w:r>
        <w:rPr>
          <w:rStyle w:val="normaltextrun"/>
          <w:rFonts w:ascii="Calibri" w:hAnsi="Calibri" w:cs="Calibri"/>
          <w:sz w:val="21"/>
          <w:szCs w:val="21"/>
          <w:lang w:val="sq-AL"/>
        </w:rPr>
        <w:t>Plani i financimit të GPK për vitin 202</w:t>
      </w:r>
      <w:r w:rsidR="00AC7EB6">
        <w:rPr>
          <w:rStyle w:val="normaltextrun"/>
          <w:rFonts w:ascii="Calibri" w:hAnsi="Calibri" w:cs="Calibri"/>
          <w:sz w:val="21"/>
          <w:szCs w:val="21"/>
          <w:lang w:val="sq-AL"/>
        </w:rPr>
        <w:t>3</w:t>
      </w:r>
      <w:r>
        <w:rPr>
          <w:rStyle w:val="normaltextrun"/>
          <w:rFonts w:ascii="Calibri" w:hAnsi="Calibri" w:cs="Calibri"/>
          <w:sz w:val="21"/>
          <w:szCs w:val="21"/>
          <w:lang w:val="sq-AL"/>
        </w:rPr>
        <w:t xml:space="preserve"> është siç tregohet në Tabelën 3 më poshtë. </w:t>
      </w:r>
      <w:r w:rsidR="00876839" w:rsidRPr="00876839">
        <w:rPr>
          <w:rStyle w:val="normaltextrun"/>
          <w:rFonts w:ascii="Calibri" w:hAnsi="Calibri" w:cs="Calibri"/>
          <w:sz w:val="21"/>
          <w:szCs w:val="21"/>
          <w:lang w:val="sq-AL"/>
        </w:rPr>
        <w:t xml:space="preserve">Të gjitha shumat e planifikuara për GPK janë indikative dhe janë subjekt i aprovimit nga Kuvendi i Republikës së Kosovës dhe </w:t>
      </w:r>
      <w:r w:rsidR="00B754CA">
        <w:rPr>
          <w:rStyle w:val="normaltextrun"/>
          <w:rFonts w:ascii="Calibri" w:hAnsi="Calibri" w:cs="Calibri"/>
          <w:sz w:val="21"/>
          <w:szCs w:val="21"/>
          <w:lang w:val="sq-AL"/>
        </w:rPr>
        <w:t>kontributdhënësve</w:t>
      </w:r>
      <w:r w:rsidR="00876839">
        <w:rPr>
          <w:rStyle w:val="normaltextrun"/>
          <w:rFonts w:ascii="Calibri" w:hAnsi="Calibri" w:cs="Calibri"/>
          <w:sz w:val="21"/>
          <w:szCs w:val="21"/>
          <w:lang w:val="sq-AL"/>
        </w:rPr>
        <w:t xml:space="preserve">. </w:t>
      </w:r>
    </w:p>
    <w:p w14:paraId="4CE760F8" w14:textId="637FF41E" w:rsidR="0004541B" w:rsidRDefault="0004541B" w:rsidP="00852D64">
      <w:pPr>
        <w:pStyle w:val="paragraph"/>
        <w:spacing w:before="0" w:beforeAutospacing="0" w:after="0" w:afterAutospacing="0"/>
        <w:jc w:val="both"/>
        <w:textAlignment w:val="baseline"/>
        <w:rPr>
          <w:rStyle w:val="normaltextrun"/>
          <w:rFonts w:ascii="Calibri" w:hAnsi="Calibri" w:cs="Calibri"/>
          <w:sz w:val="21"/>
          <w:szCs w:val="21"/>
          <w:lang w:val="sq-AL"/>
        </w:rPr>
      </w:pPr>
    </w:p>
    <w:p w14:paraId="3EC4FD90" w14:textId="0B0BAC62" w:rsidR="0004541B" w:rsidRDefault="003B5AB6" w:rsidP="00852D64">
      <w:pPr>
        <w:pStyle w:val="paragraph"/>
        <w:spacing w:before="0" w:beforeAutospacing="0" w:after="0" w:afterAutospacing="0"/>
        <w:jc w:val="both"/>
        <w:textAlignment w:val="baseline"/>
        <w:rPr>
          <w:rFonts w:ascii="Segoe UI" w:hAnsi="Segoe UI" w:cs="Segoe UI"/>
          <w:sz w:val="18"/>
          <w:szCs w:val="18"/>
        </w:rPr>
      </w:pPr>
      <w:proofErr w:type="spellStart"/>
      <w:r w:rsidRPr="00BC0788">
        <w:rPr>
          <w:rFonts w:asciiTheme="majorHAnsi" w:hAnsiTheme="majorHAnsi"/>
          <w:sz w:val="21"/>
          <w:szCs w:val="21"/>
        </w:rPr>
        <w:t>Për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të</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monitoruar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ndikimin</w:t>
      </w:r>
      <w:proofErr w:type="spellEnd"/>
      <w:r w:rsidRPr="00BC0788">
        <w:rPr>
          <w:rFonts w:asciiTheme="majorHAnsi" w:hAnsiTheme="majorHAnsi"/>
          <w:sz w:val="21"/>
          <w:szCs w:val="21"/>
        </w:rPr>
        <w:t xml:space="preserve"> e </w:t>
      </w:r>
      <w:proofErr w:type="spellStart"/>
      <w:r w:rsidRPr="00BC0788">
        <w:rPr>
          <w:rFonts w:asciiTheme="majorHAnsi" w:hAnsiTheme="majorHAnsi"/>
          <w:sz w:val="21"/>
          <w:szCs w:val="21"/>
        </w:rPr>
        <w:t>projekteve</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tek</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qytetarët</w:t>
      </w:r>
      <w:proofErr w:type="spellEnd"/>
      <w:r w:rsidRPr="00BC0788">
        <w:rPr>
          <w:rFonts w:asciiTheme="majorHAnsi" w:hAnsiTheme="majorHAnsi"/>
          <w:sz w:val="21"/>
          <w:szCs w:val="21"/>
        </w:rPr>
        <w:t xml:space="preserve">, do </w:t>
      </w:r>
      <w:proofErr w:type="spellStart"/>
      <w:r w:rsidRPr="00BC0788">
        <w:rPr>
          <w:rFonts w:asciiTheme="majorHAnsi" w:hAnsiTheme="majorHAnsi"/>
          <w:sz w:val="21"/>
          <w:szCs w:val="21"/>
        </w:rPr>
        <w:t>të</w:t>
      </w:r>
      <w:proofErr w:type="spellEnd"/>
      <w:r w:rsidRPr="00BC0788">
        <w:rPr>
          <w:rFonts w:asciiTheme="majorHAnsi" w:hAnsiTheme="majorHAnsi"/>
          <w:sz w:val="21"/>
          <w:szCs w:val="21"/>
        </w:rPr>
        <w:t xml:space="preserve"> </w:t>
      </w:r>
      <w:proofErr w:type="spellStart"/>
      <w:r w:rsidR="00DE654F">
        <w:rPr>
          <w:rFonts w:asciiTheme="majorHAnsi" w:hAnsiTheme="majorHAnsi"/>
          <w:sz w:val="21"/>
          <w:szCs w:val="21"/>
        </w:rPr>
        <w:t>implementohet</w:t>
      </w:r>
      <w:proofErr w:type="spellEnd"/>
      <w:r w:rsidR="00DE654F" w:rsidRPr="00BC0788">
        <w:rPr>
          <w:rFonts w:asciiTheme="majorHAnsi" w:hAnsiTheme="majorHAnsi"/>
          <w:sz w:val="21"/>
          <w:szCs w:val="21"/>
        </w:rPr>
        <w:t xml:space="preserve"> </w:t>
      </w:r>
      <w:proofErr w:type="spellStart"/>
      <w:r w:rsidRPr="00BC0788">
        <w:rPr>
          <w:rFonts w:asciiTheme="majorHAnsi" w:hAnsiTheme="majorHAnsi"/>
          <w:sz w:val="21"/>
          <w:szCs w:val="21"/>
        </w:rPr>
        <w:t>auditimi</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s</w:t>
      </w:r>
      <w:r>
        <w:rPr>
          <w:rFonts w:asciiTheme="majorHAnsi" w:hAnsiTheme="majorHAnsi"/>
          <w:sz w:val="21"/>
          <w:szCs w:val="21"/>
        </w:rPr>
        <w:t>hoqëror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në</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kuadër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të</w:t>
      </w:r>
      <w:proofErr w:type="spellEnd"/>
      <w:r w:rsidRPr="00BC0788">
        <w:rPr>
          <w:rFonts w:asciiTheme="majorHAnsi" w:hAnsiTheme="majorHAnsi"/>
          <w:sz w:val="21"/>
          <w:szCs w:val="21"/>
        </w:rPr>
        <w:t xml:space="preserve"> </w:t>
      </w:r>
      <w:r>
        <w:rPr>
          <w:rFonts w:asciiTheme="majorHAnsi" w:hAnsiTheme="majorHAnsi"/>
          <w:sz w:val="21"/>
          <w:szCs w:val="21"/>
        </w:rPr>
        <w:t>GPK</w:t>
      </w:r>
      <w:r w:rsidRPr="00BC0788">
        <w:rPr>
          <w:rFonts w:asciiTheme="majorHAnsi" w:hAnsiTheme="majorHAnsi"/>
          <w:sz w:val="21"/>
          <w:szCs w:val="21"/>
        </w:rPr>
        <w:t xml:space="preserve">. </w:t>
      </w:r>
      <w:proofErr w:type="spellStart"/>
      <w:r w:rsidR="0004541B">
        <w:rPr>
          <w:rFonts w:asciiTheme="majorHAnsi" w:hAnsiTheme="majorHAnsi"/>
          <w:sz w:val="21"/>
          <w:szCs w:val="21"/>
        </w:rPr>
        <w:t>Shuma</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për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auditimin</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shoqëror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për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vitin</w:t>
      </w:r>
      <w:proofErr w:type="spellEnd"/>
      <w:r w:rsidR="0004541B">
        <w:rPr>
          <w:rFonts w:asciiTheme="majorHAnsi" w:hAnsiTheme="majorHAnsi"/>
          <w:sz w:val="21"/>
          <w:szCs w:val="21"/>
        </w:rPr>
        <w:t xml:space="preserve"> 202</w:t>
      </w:r>
      <w:r w:rsidR="00AC7EB6">
        <w:rPr>
          <w:rFonts w:asciiTheme="majorHAnsi" w:hAnsiTheme="majorHAnsi"/>
          <w:sz w:val="21"/>
          <w:szCs w:val="21"/>
        </w:rPr>
        <w:t>3</w:t>
      </w:r>
      <w:r w:rsidR="0004541B">
        <w:rPr>
          <w:rFonts w:asciiTheme="majorHAnsi" w:hAnsiTheme="majorHAnsi"/>
          <w:sz w:val="21"/>
          <w:szCs w:val="21"/>
        </w:rPr>
        <w:t xml:space="preserve"> </w:t>
      </w:r>
      <w:proofErr w:type="spellStart"/>
      <w:r w:rsidR="0004541B">
        <w:rPr>
          <w:rFonts w:asciiTheme="majorHAnsi" w:hAnsiTheme="majorHAnsi"/>
          <w:sz w:val="21"/>
          <w:szCs w:val="21"/>
        </w:rPr>
        <w:t>është</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zbritur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nga</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totali</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i</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shumës</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së</w:t>
      </w:r>
      <w:proofErr w:type="spellEnd"/>
      <w:r w:rsidR="0004541B">
        <w:rPr>
          <w:rFonts w:asciiTheme="majorHAnsi" w:hAnsiTheme="majorHAnsi"/>
          <w:sz w:val="21"/>
          <w:szCs w:val="21"/>
        </w:rPr>
        <w:t xml:space="preserve"> GPK</w:t>
      </w:r>
      <w:r w:rsidR="00D44DF7">
        <w:rPr>
          <w:rFonts w:asciiTheme="majorHAnsi" w:hAnsiTheme="majorHAnsi"/>
          <w:sz w:val="21"/>
          <w:szCs w:val="21"/>
        </w:rPr>
        <w:t xml:space="preserve">. </w:t>
      </w:r>
      <w:proofErr w:type="spellStart"/>
      <w:r w:rsidR="00D44DF7">
        <w:rPr>
          <w:rFonts w:asciiTheme="majorHAnsi" w:hAnsiTheme="majorHAnsi"/>
          <w:sz w:val="21"/>
          <w:szCs w:val="21"/>
        </w:rPr>
        <w:t>Andaj</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në</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tabelën</w:t>
      </w:r>
      <w:proofErr w:type="spellEnd"/>
      <w:r w:rsidR="00D44DF7">
        <w:rPr>
          <w:rFonts w:asciiTheme="majorHAnsi" w:hAnsiTheme="majorHAnsi"/>
          <w:sz w:val="21"/>
          <w:szCs w:val="21"/>
        </w:rPr>
        <w:t xml:space="preserve"> 3 </w:t>
      </w:r>
      <w:proofErr w:type="spellStart"/>
      <w:r w:rsidR="00D44DF7">
        <w:rPr>
          <w:rFonts w:asciiTheme="majorHAnsi" w:hAnsiTheme="majorHAnsi"/>
          <w:sz w:val="21"/>
          <w:szCs w:val="21"/>
        </w:rPr>
        <w:t>është</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paraqitur</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shuma</w:t>
      </w:r>
      <w:proofErr w:type="spellEnd"/>
      <w:r w:rsidR="00D44DF7">
        <w:rPr>
          <w:rFonts w:asciiTheme="majorHAnsi" w:hAnsiTheme="majorHAnsi"/>
          <w:sz w:val="21"/>
          <w:szCs w:val="21"/>
        </w:rPr>
        <w:t xml:space="preserve"> </w:t>
      </w:r>
      <w:r w:rsidR="00A62F59">
        <w:rPr>
          <w:rFonts w:asciiTheme="majorHAnsi" w:hAnsiTheme="majorHAnsi"/>
          <w:sz w:val="21"/>
          <w:szCs w:val="21"/>
        </w:rPr>
        <w:t xml:space="preserve">indicative </w:t>
      </w:r>
      <w:r w:rsidR="00D44DF7">
        <w:rPr>
          <w:rFonts w:asciiTheme="majorHAnsi" w:hAnsiTheme="majorHAnsi"/>
          <w:sz w:val="21"/>
          <w:szCs w:val="21"/>
        </w:rPr>
        <w:t xml:space="preserve">e GPK </w:t>
      </w:r>
      <w:proofErr w:type="spellStart"/>
      <w:r w:rsidR="00D44DF7">
        <w:rPr>
          <w:rFonts w:asciiTheme="majorHAnsi" w:hAnsiTheme="majorHAnsi"/>
          <w:sz w:val="21"/>
          <w:szCs w:val="21"/>
        </w:rPr>
        <w:t>që</w:t>
      </w:r>
      <w:proofErr w:type="spellEnd"/>
      <w:r w:rsidR="00D44DF7">
        <w:rPr>
          <w:rFonts w:asciiTheme="majorHAnsi" w:hAnsiTheme="majorHAnsi"/>
          <w:sz w:val="21"/>
          <w:szCs w:val="21"/>
        </w:rPr>
        <w:t xml:space="preserve"> do </w:t>
      </w:r>
      <w:proofErr w:type="spellStart"/>
      <w:r w:rsidR="00D44DF7">
        <w:rPr>
          <w:rFonts w:asciiTheme="majorHAnsi" w:hAnsiTheme="majorHAnsi"/>
          <w:sz w:val="21"/>
          <w:szCs w:val="21"/>
        </w:rPr>
        <w:t>t</w:t>
      </w:r>
      <w:r>
        <w:rPr>
          <w:rFonts w:asciiTheme="majorHAnsi" w:hAnsiTheme="majorHAnsi"/>
          <w:sz w:val="21"/>
          <w:szCs w:val="21"/>
        </w:rPr>
        <w:t>’</w:t>
      </w:r>
      <w:r w:rsidR="00D44DF7">
        <w:rPr>
          <w:rFonts w:asciiTheme="majorHAnsi" w:hAnsiTheme="majorHAnsi"/>
          <w:sz w:val="21"/>
          <w:szCs w:val="21"/>
        </w:rPr>
        <w:t>i</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alokohet</w:t>
      </w:r>
      <w:proofErr w:type="spellEnd"/>
      <w:r w:rsidR="00D44DF7">
        <w:rPr>
          <w:rFonts w:asciiTheme="majorHAnsi" w:hAnsiTheme="majorHAnsi"/>
          <w:sz w:val="21"/>
          <w:szCs w:val="21"/>
        </w:rPr>
        <w:t xml:space="preserve"> </w:t>
      </w:r>
      <w:proofErr w:type="spellStart"/>
      <w:r w:rsidR="0004541B">
        <w:rPr>
          <w:rFonts w:asciiTheme="majorHAnsi" w:hAnsiTheme="majorHAnsi"/>
          <w:sz w:val="21"/>
          <w:szCs w:val="21"/>
        </w:rPr>
        <w:t>k</w:t>
      </w:r>
      <w:r w:rsidR="00D44DF7">
        <w:rPr>
          <w:rFonts w:asciiTheme="majorHAnsi" w:hAnsiTheme="majorHAnsi"/>
          <w:sz w:val="21"/>
          <w:szCs w:val="21"/>
        </w:rPr>
        <w:t>omunave</w:t>
      </w:r>
      <w:proofErr w:type="spellEnd"/>
      <w:r w:rsidR="00D44DF7">
        <w:rPr>
          <w:rFonts w:asciiTheme="majorHAnsi" w:hAnsiTheme="majorHAnsi"/>
          <w:sz w:val="21"/>
          <w:szCs w:val="21"/>
        </w:rPr>
        <w:t xml:space="preserve">. </w:t>
      </w:r>
    </w:p>
    <w:p w14:paraId="14CE7965" w14:textId="424E8FFF" w:rsidR="000B3F69" w:rsidRDefault="000B3F69" w:rsidP="00852D64">
      <w:pPr>
        <w:pStyle w:val="paragraph"/>
        <w:spacing w:before="0" w:beforeAutospacing="0" w:after="0" w:afterAutospacing="0"/>
        <w:textAlignment w:val="baseline"/>
        <w:rPr>
          <w:rFonts w:ascii="Segoe UI" w:hAnsi="Segoe UI" w:cs="Segoe UI"/>
          <w:sz w:val="18"/>
          <w:szCs w:val="18"/>
        </w:rPr>
      </w:pPr>
    </w:p>
    <w:p w14:paraId="5013D774" w14:textId="59E0E0A6" w:rsidR="000B3F69" w:rsidRDefault="000B3F69" w:rsidP="00852D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lang w:val="sq-AL"/>
        </w:rPr>
        <w:t>Tabela 3: Burimet e financimit të grantit të performancës komunale 202</w:t>
      </w:r>
      <w:r w:rsidR="00AC7EB6">
        <w:rPr>
          <w:rStyle w:val="normaltextrun"/>
          <w:rFonts w:ascii="Calibri" w:hAnsi="Calibri" w:cs="Calibri"/>
          <w:b/>
          <w:bCs/>
          <w:sz w:val="21"/>
          <w:szCs w:val="21"/>
          <w:lang w:val="sq-AL"/>
        </w:rPr>
        <w:t>3</w:t>
      </w:r>
      <w:r>
        <w:rPr>
          <w:rStyle w:val="normaltextrun"/>
          <w:rFonts w:ascii="Calibri" w:hAnsi="Calibri" w:cs="Calibri"/>
          <w:b/>
          <w:bCs/>
          <w:sz w:val="21"/>
          <w:szCs w:val="21"/>
          <w:lang w:val="sq-AL"/>
        </w:rPr>
        <w:t> (në Euro)</w:t>
      </w:r>
      <w:r>
        <w:rPr>
          <w:rStyle w:val="eop"/>
          <w:rFonts w:ascii="Calibri" w:hAnsi="Calibri" w:cs="Calibri"/>
          <w:sz w:val="21"/>
          <w:szCs w:val="21"/>
        </w:rPr>
        <w:t> </w:t>
      </w:r>
    </w:p>
    <w:tbl>
      <w:tblPr>
        <w:tblW w:w="79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535"/>
        <w:gridCol w:w="2836"/>
      </w:tblGrid>
      <w:tr w:rsidR="00A62F59" w14:paraId="729E2CB1" w14:textId="77777777" w:rsidTr="007935B8">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C0504D"/>
          </w:tcPr>
          <w:p w14:paraId="5472CB56" w14:textId="7F564435" w:rsidR="00A62F59" w:rsidRDefault="00A62F59" w:rsidP="000B3F69">
            <w:pPr>
              <w:pStyle w:val="paragraph"/>
              <w:spacing w:before="0" w:beforeAutospacing="0" w:after="0" w:afterAutospacing="0"/>
              <w:jc w:val="center"/>
              <w:textAlignment w:val="baseline"/>
              <w:rPr>
                <w:rStyle w:val="normaltextrun"/>
                <w:rFonts w:ascii="Arial" w:hAnsi="Arial" w:cs="Arial"/>
                <w:b/>
                <w:bCs/>
                <w:color w:val="FFFFFF"/>
                <w:sz w:val="19"/>
                <w:szCs w:val="19"/>
                <w:lang w:val="sq-AL"/>
              </w:rPr>
            </w:pPr>
            <w:r>
              <w:rPr>
                <w:rStyle w:val="normaltextrun"/>
                <w:rFonts w:ascii="Arial" w:hAnsi="Arial" w:cs="Arial"/>
                <w:b/>
                <w:bCs/>
                <w:color w:val="FFFFFF"/>
                <w:sz w:val="19"/>
                <w:szCs w:val="19"/>
                <w:lang w:val="sq-AL"/>
              </w:rPr>
              <w:t>Fondet</w:t>
            </w:r>
          </w:p>
        </w:tc>
        <w:tc>
          <w:tcPr>
            <w:tcW w:w="2535" w:type="dxa"/>
            <w:tcBorders>
              <w:top w:val="single" w:sz="6" w:space="0" w:color="auto"/>
              <w:left w:val="single" w:sz="6" w:space="0" w:color="auto"/>
              <w:bottom w:val="single" w:sz="6" w:space="0" w:color="auto"/>
              <w:right w:val="single" w:sz="6" w:space="0" w:color="auto"/>
            </w:tcBorders>
            <w:shd w:val="clear" w:color="auto" w:fill="C0504D"/>
            <w:vAlign w:val="center"/>
            <w:hideMark/>
          </w:tcPr>
          <w:p w14:paraId="243D6D16" w14:textId="4CAAEDD4" w:rsidR="00A62F59" w:rsidRDefault="00A62F59" w:rsidP="000B3F69">
            <w:pPr>
              <w:pStyle w:val="paragraph"/>
              <w:spacing w:before="0" w:beforeAutospacing="0" w:after="0" w:afterAutospacing="0"/>
              <w:jc w:val="center"/>
              <w:textAlignment w:val="baseline"/>
            </w:pPr>
            <w:r>
              <w:rPr>
                <w:rStyle w:val="normaltextrun"/>
                <w:rFonts w:ascii="Arial" w:hAnsi="Arial" w:cs="Arial"/>
                <w:b/>
                <w:bCs/>
                <w:color w:val="FFFFFF"/>
                <w:sz w:val="19"/>
                <w:szCs w:val="19"/>
                <w:lang w:val="sq-AL"/>
              </w:rPr>
              <w:t>Burimi</w:t>
            </w:r>
            <w:r>
              <w:rPr>
                <w:rStyle w:val="eop"/>
                <w:rFonts w:ascii="Arial" w:hAnsi="Arial" w:cs="Arial"/>
                <w:color w:val="FFFFFF"/>
                <w:sz w:val="19"/>
                <w:szCs w:val="19"/>
              </w:rPr>
              <w:t> </w:t>
            </w:r>
          </w:p>
        </w:tc>
        <w:tc>
          <w:tcPr>
            <w:tcW w:w="2836" w:type="dxa"/>
            <w:tcBorders>
              <w:top w:val="single" w:sz="6" w:space="0" w:color="auto"/>
              <w:left w:val="single" w:sz="6" w:space="0" w:color="auto"/>
              <w:bottom w:val="single" w:sz="6" w:space="0" w:color="auto"/>
              <w:right w:val="single" w:sz="6" w:space="0" w:color="auto"/>
            </w:tcBorders>
            <w:shd w:val="clear" w:color="auto" w:fill="C0504D"/>
            <w:vAlign w:val="bottom"/>
            <w:hideMark/>
          </w:tcPr>
          <w:p w14:paraId="638EA6B4" w14:textId="23173139" w:rsidR="00A62F59" w:rsidRDefault="00A62F59" w:rsidP="000B3F69">
            <w:pPr>
              <w:pStyle w:val="paragraph"/>
              <w:spacing w:before="0" w:beforeAutospacing="0" w:after="0" w:afterAutospacing="0"/>
              <w:jc w:val="center"/>
              <w:textAlignment w:val="baseline"/>
            </w:pPr>
            <w:r>
              <w:rPr>
                <w:rStyle w:val="normaltextrun"/>
                <w:rFonts w:ascii="Calibri" w:hAnsi="Calibri" w:cs="Calibri"/>
                <w:b/>
                <w:bCs/>
                <w:color w:val="FFFFFF"/>
                <w:sz w:val="19"/>
                <w:szCs w:val="19"/>
                <w:lang w:val="sq-AL"/>
              </w:rPr>
              <w:t>Total 202</w:t>
            </w:r>
            <w:r w:rsidR="00AC7EB6">
              <w:rPr>
                <w:rStyle w:val="normaltextrun"/>
                <w:rFonts w:ascii="Calibri" w:hAnsi="Calibri" w:cs="Calibri"/>
                <w:b/>
                <w:bCs/>
                <w:color w:val="FFFFFF"/>
                <w:sz w:val="19"/>
                <w:szCs w:val="19"/>
                <w:lang w:val="sq-AL"/>
              </w:rPr>
              <w:t>3</w:t>
            </w:r>
          </w:p>
        </w:tc>
      </w:tr>
      <w:tr w:rsidR="00A62F59" w14:paraId="3D79C8A6" w14:textId="77777777" w:rsidTr="007935B8">
        <w:trPr>
          <w:trHeight w:val="300"/>
          <w:jc w:val="center"/>
        </w:trPr>
        <w:tc>
          <w:tcPr>
            <w:tcW w:w="2535" w:type="dxa"/>
            <w:vMerge w:val="restart"/>
            <w:tcBorders>
              <w:top w:val="single" w:sz="6" w:space="0" w:color="auto"/>
              <w:left w:val="single" w:sz="6" w:space="0" w:color="auto"/>
              <w:right w:val="single" w:sz="6" w:space="0" w:color="auto"/>
            </w:tcBorders>
            <w:shd w:val="clear" w:color="auto" w:fill="EEECE1" w:themeFill="background2"/>
          </w:tcPr>
          <w:p w14:paraId="488C2265" w14:textId="5CF1BAC7"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Shuma indikative e GPK n</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 xml:space="preserve"> dispozicion p</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r komuna</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39257252" w14:textId="52EF7C9B" w:rsidR="00A62F59" w:rsidRPr="00A64DB5"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Qeveria e Kosovës /</w:t>
            </w:r>
            <w:r w:rsidRPr="00164F19">
              <w:rPr>
                <w:rStyle w:val="normaltextrun"/>
                <w:rFonts w:ascii="Calibri" w:hAnsi="Calibri" w:cs="Calibri"/>
                <w:color w:val="000000"/>
                <w:sz w:val="19"/>
                <w:szCs w:val="19"/>
                <w:lang w:val="sq-AL"/>
              </w:rPr>
              <w:t>MAPL</w:t>
            </w:r>
            <w:r w:rsidRPr="00A64DB5">
              <w:rPr>
                <w:rStyle w:val="normaltextrun"/>
                <w:lang w:val="sq-AL"/>
              </w:rPr>
              <w:t> </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hideMark/>
          </w:tcPr>
          <w:p w14:paraId="6C9F7C8B" w14:textId="5A58A78E" w:rsidR="00A62F59" w:rsidRPr="00CD55EA" w:rsidRDefault="00A62F59">
            <w:pPr>
              <w:pStyle w:val="paragraph"/>
              <w:spacing w:before="0" w:beforeAutospacing="0" w:after="0" w:afterAutospacing="0"/>
              <w:jc w:val="center"/>
              <w:textAlignment w:val="baseline"/>
              <w:rPr>
                <w:rStyle w:val="normaltextrun"/>
                <w:rFonts w:ascii="Calibri" w:hAnsi="Calibri" w:cs="Calibri"/>
                <w:sz w:val="19"/>
                <w:szCs w:val="19"/>
                <w:lang w:val="sq-AL"/>
              </w:rPr>
            </w:pPr>
            <w:r w:rsidRPr="00CD55EA">
              <w:rPr>
                <w:rStyle w:val="normaltextrun"/>
                <w:rFonts w:ascii="Calibri" w:hAnsi="Calibri" w:cs="Calibri"/>
                <w:sz w:val="19"/>
                <w:szCs w:val="19"/>
                <w:lang w:val="sq-AL"/>
              </w:rPr>
              <w:t>   3,</w:t>
            </w:r>
            <w:r w:rsidR="00CC454F" w:rsidRPr="00CD55EA">
              <w:rPr>
                <w:rStyle w:val="normaltextrun"/>
                <w:rFonts w:ascii="Calibri" w:hAnsi="Calibri" w:cs="Calibri"/>
                <w:sz w:val="19"/>
                <w:szCs w:val="19"/>
                <w:lang w:val="sq-AL"/>
              </w:rPr>
              <w:t>500</w:t>
            </w:r>
            <w:r w:rsidRPr="00CD55EA">
              <w:rPr>
                <w:rStyle w:val="normaltextrun"/>
                <w:rFonts w:ascii="Calibri" w:hAnsi="Calibri" w:cs="Calibri"/>
                <w:sz w:val="19"/>
                <w:szCs w:val="19"/>
                <w:lang w:val="sq-AL"/>
              </w:rPr>
              <w:t>,000</w:t>
            </w:r>
            <w:r w:rsidRPr="00CD55EA">
              <w:rPr>
                <w:rStyle w:val="normaltextrun"/>
                <w:lang w:val="sq-AL"/>
              </w:rPr>
              <w:t> </w:t>
            </w:r>
          </w:p>
        </w:tc>
      </w:tr>
      <w:tr w:rsidR="00A62F59" w14:paraId="5B793E18" w14:textId="77777777" w:rsidTr="007935B8">
        <w:trPr>
          <w:trHeight w:val="300"/>
          <w:jc w:val="center"/>
        </w:trPr>
        <w:tc>
          <w:tcPr>
            <w:tcW w:w="2535" w:type="dxa"/>
            <w:vMerge/>
            <w:tcBorders>
              <w:left w:val="single" w:sz="6" w:space="0" w:color="auto"/>
              <w:bottom w:val="single" w:sz="6" w:space="0" w:color="auto"/>
              <w:right w:val="single" w:sz="6" w:space="0" w:color="auto"/>
            </w:tcBorders>
            <w:shd w:val="clear" w:color="auto" w:fill="EEECE1" w:themeFill="background2"/>
          </w:tcPr>
          <w:p w14:paraId="6630416D" w14:textId="6488C6FE"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1F1FF66D" w14:textId="08998841"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Kontributdhënësit (</w:t>
            </w:r>
            <w:r w:rsidR="008C2B1A">
              <w:rPr>
                <w:rStyle w:val="normaltextrun"/>
                <w:rFonts w:ascii="Calibri" w:hAnsi="Calibri" w:cs="Calibri"/>
                <w:color w:val="000000"/>
                <w:sz w:val="19"/>
                <w:szCs w:val="19"/>
                <w:lang w:val="sq-AL"/>
              </w:rPr>
              <w:t xml:space="preserve">BE, </w:t>
            </w:r>
            <w:r>
              <w:rPr>
                <w:rStyle w:val="normaltextrun"/>
                <w:rFonts w:ascii="Calibri" w:hAnsi="Calibri" w:cs="Calibri"/>
                <w:color w:val="000000"/>
                <w:sz w:val="19"/>
                <w:szCs w:val="19"/>
                <w:lang w:val="sq-AL"/>
              </w:rPr>
              <w:t>Suedia, Zvicrra dhe Norvegjia)</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tcPr>
          <w:p w14:paraId="283D8738" w14:textId="45B49353" w:rsidR="00A62F59" w:rsidRPr="00CD55EA" w:rsidRDefault="00416ED3">
            <w:pPr>
              <w:pStyle w:val="paragraph"/>
              <w:spacing w:before="0" w:beforeAutospacing="0" w:after="0" w:afterAutospacing="0"/>
              <w:jc w:val="center"/>
              <w:textAlignment w:val="baseline"/>
              <w:rPr>
                <w:rStyle w:val="normaltextrun"/>
                <w:rFonts w:ascii="Calibri" w:hAnsi="Calibri" w:cs="Calibri"/>
                <w:sz w:val="19"/>
                <w:szCs w:val="19"/>
                <w:lang w:val="sq-AL"/>
              </w:rPr>
            </w:pPr>
            <w:r>
              <w:rPr>
                <w:rStyle w:val="normaltextrun"/>
                <w:rFonts w:ascii="Calibri" w:hAnsi="Calibri" w:cs="Calibri"/>
                <w:sz w:val="19"/>
                <w:szCs w:val="19"/>
                <w:lang w:val="sq-AL"/>
              </w:rPr>
              <w:t xml:space="preserve"> </w:t>
            </w:r>
            <w:r w:rsidR="00A62F59" w:rsidRPr="00CD55EA">
              <w:rPr>
                <w:rStyle w:val="normaltextrun"/>
                <w:rFonts w:ascii="Calibri" w:hAnsi="Calibri" w:cs="Calibri"/>
                <w:sz w:val="19"/>
                <w:szCs w:val="19"/>
                <w:lang w:val="sq-AL"/>
              </w:rPr>
              <w:t>4,</w:t>
            </w:r>
            <w:r w:rsidR="00DE654F" w:rsidRPr="00CD55EA">
              <w:rPr>
                <w:rStyle w:val="normaltextrun"/>
                <w:rFonts w:ascii="Calibri" w:hAnsi="Calibri" w:cs="Calibri"/>
                <w:sz w:val="19"/>
                <w:szCs w:val="19"/>
                <w:lang w:val="sq-AL"/>
              </w:rPr>
              <w:t>271,500</w:t>
            </w:r>
          </w:p>
        </w:tc>
      </w:tr>
      <w:tr w:rsidR="00A62F59" w14:paraId="50D55518" w14:textId="77777777" w:rsidTr="007935B8">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tcPr>
          <w:p w14:paraId="73F21521" w14:textId="207959DD" w:rsidR="00A62F59" w:rsidRPr="007935B8" w:rsidRDefault="00A62F59" w:rsidP="00A64DB5">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Buxheti p</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r auditim shoq</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ror</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29219763" w14:textId="37A58B26" w:rsidR="00A62F59" w:rsidRPr="007935B8" w:rsidRDefault="007935B8" w:rsidP="00A64DB5">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Kontributdhënësit (BE, Suedia, Zvicrra dhe Norvegjia)</w:t>
            </w:r>
          </w:p>
        </w:tc>
        <w:tc>
          <w:tcPr>
            <w:tcW w:w="283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8B9894F" w14:textId="5F8E94A8" w:rsidR="00A62F59" w:rsidRPr="00CD55EA" w:rsidRDefault="00416ED3" w:rsidP="00A64DB5">
            <w:pPr>
              <w:pStyle w:val="paragraph"/>
              <w:spacing w:before="0" w:beforeAutospacing="0" w:after="0" w:afterAutospacing="0"/>
              <w:jc w:val="center"/>
              <w:textAlignment w:val="baseline"/>
              <w:rPr>
                <w:rStyle w:val="normaltextrun"/>
                <w:rFonts w:ascii="Calibri" w:hAnsi="Calibri" w:cs="Calibri"/>
                <w:sz w:val="19"/>
                <w:szCs w:val="19"/>
                <w:lang w:val="sq-AL"/>
              </w:rPr>
            </w:pPr>
            <w:r>
              <w:rPr>
                <w:rStyle w:val="normaltextrun"/>
                <w:rFonts w:ascii="Calibri" w:hAnsi="Calibri" w:cs="Calibri"/>
                <w:sz w:val="19"/>
                <w:szCs w:val="19"/>
                <w:lang w:val="sq-AL"/>
              </w:rPr>
              <w:t xml:space="preserve"> </w:t>
            </w:r>
            <w:r>
              <w:rPr>
                <w:rStyle w:val="normaltextrun"/>
                <w:sz w:val="19"/>
                <w:szCs w:val="19"/>
                <w:lang w:val="sq-AL"/>
              </w:rPr>
              <w:t xml:space="preserve">     </w:t>
            </w:r>
            <w:r w:rsidR="00A62F59" w:rsidRPr="00CD55EA">
              <w:rPr>
                <w:rStyle w:val="normaltextrun"/>
                <w:rFonts w:ascii="Calibri" w:hAnsi="Calibri" w:cs="Calibri"/>
                <w:sz w:val="19"/>
                <w:szCs w:val="19"/>
                <w:lang w:val="sq-AL"/>
              </w:rPr>
              <w:t>78,500</w:t>
            </w:r>
          </w:p>
        </w:tc>
      </w:tr>
      <w:tr w:rsidR="00A62F59" w14:paraId="66D1DC42" w14:textId="77777777" w:rsidTr="007935B8">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666699"/>
          </w:tcPr>
          <w:p w14:paraId="2A4314CB" w14:textId="77777777" w:rsidR="00A62F59" w:rsidRDefault="00A62F59" w:rsidP="00A64DB5">
            <w:pPr>
              <w:pStyle w:val="paragraph"/>
              <w:spacing w:before="0" w:beforeAutospacing="0" w:after="0" w:afterAutospacing="0"/>
              <w:jc w:val="center"/>
              <w:textAlignment w:val="baseline"/>
              <w:rPr>
                <w:rStyle w:val="normaltextrun"/>
                <w:rFonts w:ascii="Arial" w:hAnsi="Arial" w:cs="Arial"/>
                <w:color w:val="FFFFFF"/>
                <w:sz w:val="19"/>
                <w:szCs w:val="19"/>
                <w:lang w:val="sq-AL"/>
              </w:rPr>
            </w:pPr>
          </w:p>
        </w:tc>
        <w:tc>
          <w:tcPr>
            <w:tcW w:w="2535"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5A22D1FB" w14:textId="644AF26C" w:rsidR="00A62F59" w:rsidRDefault="00A62F59" w:rsidP="00A64DB5">
            <w:pPr>
              <w:pStyle w:val="paragraph"/>
              <w:spacing w:before="0" w:beforeAutospacing="0" w:after="0" w:afterAutospacing="0"/>
              <w:jc w:val="center"/>
              <w:textAlignment w:val="baseline"/>
            </w:pPr>
            <w:r>
              <w:rPr>
                <w:rStyle w:val="normaltextrun"/>
                <w:rFonts w:ascii="Arial" w:hAnsi="Arial" w:cs="Arial"/>
                <w:color w:val="FFFFFF"/>
                <w:sz w:val="19"/>
                <w:szCs w:val="19"/>
                <w:lang w:val="sq-AL"/>
              </w:rPr>
              <w:t>Gjithsej</w:t>
            </w:r>
            <w:r>
              <w:rPr>
                <w:rStyle w:val="eop"/>
                <w:rFonts w:ascii="Arial" w:hAnsi="Arial" w:cs="Arial"/>
                <w:color w:val="FFFFFF"/>
                <w:sz w:val="19"/>
                <w:szCs w:val="19"/>
              </w:rPr>
              <w:t> </w:t>
            </w:r>
          </w:p>
        </w:tc>
        <w:tc>
          <w:tcPr>
            <w:tcW w:w="2836"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04DE7F9A" w14:textId="6CB1F001" w:rsidR="00A62F59" w:rsidRPr="00CD55EA" w:rsidRDefault="00416ED3" w:rsidP="00A64DB5">
            <w:pPr>
              <w:pStyle w:val="paragraph"/>
              <w:spacing w:before="0" w:beforeAutospacing="0" w:after="0" w:afterAutospacing="0"/>
              <w:jc w:val="center"/>
              <w:textAlignment w:val="baseline"/>
              <w:rPr>
                <w:rStyle w:val="normaltextrun"/>
                <w:rFonts w:ascii="Calibri" w:hAnsi="Calibri" w:cs="Calibri"/>
                <w:b/>
                <w:bCs/>
                <w:sz w:val="19"/>
                <w:szCs w:val="19"/>
                <w:lang w:val="sq-AL"/>
              </w:rPr>
            </w:pPr>
            <w:r>
              <w:rPr>
                <w:rStyle w:val="normaltextrun"/>
                <w:rFonts w:ascii="Calibri" w:hAnsi="Calibri" w:cs="Calibri"/>
                <w:b/>
                <w:bCs/>
                <w:sz w:val="19"/>
                <w:szCs w:val="19"/>
                <w:lang w:val="sq-AL"/>
              </w:rPr>
              <w:t xml:space="preserve"> </w:t>
            </w:r>
            <w:r>
              <w:rPr>
                <w:rStyle w:val="normaltextrun"/>
                <w:b/>
                <w:bCs/>
                <w:sz w:val="19"/>
                <w:szCs w:val="19"/>
                <w:lang w:val="sq-AL"/>
              </w:rPr>
              <w:t xml:space="preserve"> </w:t>
            </w:r>
            <w:r w:rsidR="007575BB" w:rsidRPr="00CD55EA">
              <w:rPr>
                <w:rStyle w:val="normaltextrun"/>
                <w:rFonts w:ascii="Calibri" w:hAnsi="Calibri" w:cs="Calibri"/>
                <w:b/>
                <w:bCs/>
                <w:sz w:val="19"/>
                <w:szCs w:val="19"/>
                <w:lang w:val="sq-AL"/>
              </w:rPr>
              <w:t>7,850,00</w:t>
            </w:r>
            <w:r>
              <w:rPr>
                <w:rStyle w:val="normaltextrun"/>
                <w:rFonts w:ascii="Calibri" w:hAnsi="Calibri" w:cs="Calibri"/>
                <w:b/>
                <w:bCs/>
                <w:sz w:val="19"/>
                <w:szCs w:val="19"/>
                <w:lang w:val="sq-AL"/>
              </w:rPr>
              <w:t>0</w:t>
            </w:r>
            <w:r w:rsidR="00A62F59" w:rsidRPr="00CD55EA">
              <w:rPr>
                <w:rStyle w:val="normaltextrun"/>
                <w:b/>
                <w:bCs/>
                <w:lang w:val="sq-AL"/>
              </w:rPr>
              <w:t> </w:t>
            </w:r>
          </w:p>
        </w:tc>
      </w:tr>
    </w:tbl>
    <w:p w14:paraId="660A709A" w14:textId="6E5F44D6" w:rsidR="008E3807" w:rsidRPr="00F4775E" w:rsidRDefault="000B3F69" w:rsidP="00F4775E">
      <w:pPr>
        <w:rPr>
          <w:b/>
        </w:rPr>
      </w:pPr>
      <w:r w:rsidRPr="000B3F69" w:rsidDel="000B3F69">
        <w:rPr>
          <w:rFonts w:asciiTheme="majorHAnsi" w:hAnsiTheme="majorHAnsi"/>
          <w:sz w:val="21"/>
          <w:szCs w:val="21"/>
        </w:rPr>
        <w:t xml:space="preserve"> </w:t>
      </w:r>
      <w:bookmarkStart w:id="37" w:name="_Toc236632746"/>
      <w:bookmarkStart w:id="38" w:name="_Toc170004024"/>
      <w:bookmarkStart w:id="39" w:name="_Toc170432965"/>
    </w:p>
    <w:p w14:paraId="398EA2E1" w14:textId="77777777" w:rsidR="00CD79F5" w:rsidRPr="004D2E1C" w:rsidRDefault="00CD79F5" w:rsidP="00CD79F5">
      <w:pPr>
        <w:pStyle w:val="Heading1"/>
        <w:numPr>
          <w:ilvl w:val="1"/>
          <w:numId w:val="6"/>
        </w:numPr>
        <w:tabs>
          <w:tab w:val="left" w:pos="540"/>
        </w:tabs>
        <w:ind w:hanging="1800"/>
        <w:rPr>
          <w:rFonts w:asciiTheme="majorHAnsi" w:hAnsiTheme="majorHAnsi"/>
          <w:color w:val="C0504D"/>
          <w:szCs w:val="28"/>
          <w:lang w:val="sq-AL"/>
        </w:rPr>
      </w:pPr>
      <w:bookmarkStart w:id="40" w:name="_Toc61062524"/>
      <w:bookmarkEnd w:id="37"/>
      <w:bookmarkEnd w:id="38"/>
      <w:bookmarkEnd w:id="39"/>
      <w:r w:rsidRPr="004D2E1C">
        <w:rPr>
          <w:rFonts w:asciiTheme="majorHAnsi" w:hAnsiTheme="majorHAnsi"/>
          <w:color w:val="C0504D"/>
          <w:szCs w:val="28"/>
          <w:lang w:val="sq-AL"/>
        </w:rPr>
        <w:t xml:space="preserve">Llogaritja e shumës së grantit të </w:t>
      </w:r>
      <w:r w:rsidR="00674C44">
        <w:rPr>
          <w:rFonts w:asciiTheme="majorHAnsi" w:hAnsiTheme="majorHAnsi"/>
          <w:color w:val="C0504D"/>
          <w:szCs w:val="28"/>
          <w:lang w:val="sq-AL"/>
        </w:rPr>
        <w:t>performancës komunale</w:t>
      </w:r>
      <w:bookmarkEnd w:id="40"/>
    </w:p>
    <w:p w14:paraId="300B70E6" w14:textId="77777777" w:rsidR="003A4F9A" w:rsidRDefault="00BF1FD5" w:rsidP="00363711">
      <w:pPr>
        <w:spacing w:before="60" w:line="264" w:lineRule="auto"/>
        <w:jc w:val="both"/>
        <w:rPr>
          <w:rFonts w:asciiTheme="majorHAnsi" w:hAnsiTheme="majorHAnsi"/>
          <w:sz w:val="21"/>
          <w:szCs w:val="21"/>
        </w:rPr>
      </w:pPr>
      <w:r w:rsidRPr="00BF1FD5">
        <w:rPr>
          <w:rFonts w:asciiTheme="majorHAnsi" w:hAnsiTheme="majorHAnsi"/>
          <w:sz w:val="21"/>
          <w:szCs w:val="21"/>
        </w:rPr>
        <w:t xml:space="preserve">Treguesit janë definuar në mënyrë të tillë që të gjitha komunat, pavarësisht nga madhësia, vendndodhja apo fuqia ekonomike, mund të jenë një performues i mirë, me kusht që të bëjnë përpjekje për të performuar si një qeveri lokale demokratike që i shërben popullatës së saj. </w:t>
      </w:r>
    </w:p>
    <w:p w14:paraId="41F6F541" w14:textId="77777777" w:rsidR="003A4F9A" w:rsidRDefault="00437380" w:rsidP="00363711">
      <w:pPr>
        <w:spacing w:before="60" w:line="264" w:lineRule="auto"/>
        <w:jc w:val="both"/>
        <w:rPr>
          <w:rFonts w:asciiTheme="majorHAnsi" w:hAnsiTheme="majorHAnsi"/>
          <w:sz w:val="21"/>
          <w:szCs w:val="21"/>
        </w:rPr>
      </w:pPr>
      <w:r>
        <w:rPr>
          <w:rFonts w:asciiTheme="majorHAnsi" w:hAnsiTheme="majorHAnsi"/>
          <w:sz w:val="21"/>
          <w:szCs w:val="21"/>
        </w:rPr>
        <w:t>90% e shum</w:t>
      </w:r>
      <w:r w:rsidR="00396427">
        <w:rPr>
          <w:rFonts w:asciiTheme="majorHAnsi" w:hAnsiTheme="majorHAnsi"/>
          <w:sz w:val="21"/>
          <w:szCs w:val="21"/>
        </w:rPr>
        <w:t>ë</w:t>
      </w:r>
      <w:r>
        <w:rPr>
          <w:rFonts w:asciiTheme="majorHAnsi" w:hAnsiTheme="majorHAnsi"/>
          <w:sz w:val="21"/>
          <w:szCs w:val="21"/>
        </w:rPr>
        <w:t>s s</w:t>
      </w:r>
      <w:r w:rsidR="00396427">
        <w:rPr>
          <w:rFonts w:asciiTheme="majorHAnsi" w:hAnsiTheme="majorHAnsi"/>
          <w:sz w:val="21"/>
          <w:szCs w:val="21"/>
        </w:rPr>
        <w:t>ë</w:t>
      </w:r>
      <w:r>
        <w:rPr>
          <w:rFonts w:asciiTheme="majorHAnsi" w:hAnsiTheme="majorHAnsi"/>
          <w:sz w:val="21"/>
          <w:szCs w:val="21"/>
        </w:rPr>
        <w:t xml:space="preserve"> p</w:t>
      </w:r>
      <w:r w:rsidR="00396427">
        <w:rPr>
          <w:rFonts w:asciiTheme="majorHAnsi" w:hAnsiTheme="majorHAnsi"/>
          <w:sz w:val="21"/>
          <w:szCs w:val="21"/>
        </w:rPr>
        <w:t>ë</w:t>
      </w:r>
      <w:r>
        <w:rPr>
          <w:rFonts w:asciiTheme="majorHAnsi" w:hAnsiTheme="majorHAnsi"/>
          <w:sz w:val="21"/>
          <w:szCs w:val="21"/>
        </w:rPr>
        <w:t>rgjit</w:t>
      </w:r>
      <w:r w:rsidR="0016501C">
        <w:rPr>
          <w:rFonts w:asciiTheme="majorHAnsi" w:hAnsiTheme="majorHAnsi"/>
          <w:sz w:val="21"/>
          <w:szCs w:val="21"/>
        </w:rPr>
        <w:t>h</w:t>
      </w:r>
      <w:r>
        <w:rPr>
          <w:rFonts w:asciiTheme="majorHAnsi" w:hAnsiTheme="majorHAnsi"/>
          <w:sz w:val="21"/>
          <w:szCs w:val="21"/>
        </w:rPr>
        <w:t>shme t</w:t>
      </w:r>
      <w:r w:rsidR="00396427">
        <w:rPr>
          <w:rFonts w:asciiTheme="majorHAnsi" w:hAnsiTheme="majorHAnsi"/>
          <w:sz w:val="21"/>
          <w:szCs w:val="21"/>
        </w:rPr>
        <w:t>ë</w:t>
      </w:r>
      <w:r w:rsidR="0016501C">
        <w:rPr>
          <w:rFonts w:asciiTheme="majorHAnsi" w:hAnsiTheme="majorHAnsi"/>
          <w:sz w:val="21"/>
          <w:szCs w:val="21"/>
        </w:rPr>
        <w:t xml:space="preserve"> GPK</w:t>
      </w:r>
      <w:r>
        <w:rPr>
          <w:rFonts w:asciiTheme="majorHAnsi" w:hAnsiTheme="majorHAnsi"/>
          <w:sz w:val="21"/>
          <w:szCs w:val="21"/>
        </w:rPr>
        <w:t xml:space="preserve"> ndahet bazuar n</w:t>
      </w:r>
      <w:r w:rsidR="00396427">
        <w:rPr>
          <w:rFonts w:asciiTheme="majorHAnsi" w:hAnsiTheme="majorHAnsi"/>
          <w:sz w:val="21"/>
          <w:szCs w:val="21"/>
        </w:rPr>
        <w:t>ë</w:t>
      </w:r>
      <w:r>
        <w:rPr>
          <w:rFonts w:asciiTheme="majorHAnsi" w:hAnsiTheme="majorHAnsi"/>
          <w:sz w:val="21"/>
          <w:szCs w:val="21"/>
        </w:rPr>
        <w:t xml:space="preserve"> formul</w:t>
      </w:r>
      <w:r w:rsidR="00396427">
        <w:rPr>
          <w:rFonts w:asciiTheme="majorHAnsi" w:hAnsiTheme="majorHAnsi"/>
          <w:sz w:val="21"/>
          <w:szCs w:val="21"/>
        </w:rPr>
        <w:t>ë</w:t>
      </w:r>
      <w:r>
        <w:rPr>
          <w:rFonts w:asciiTheme="majorHAnsi" w:hAnsiTheme="majorHAnsi"/>
          <w:sz w:val="21"/>
          <w:szCs w:val="21"/>
        </w:rPr>
        <w:t>, nd</w:t>
      </w:r>
      <w:r w:rsidR="00396427">
        <w:rPr>
          <w:rFonts w:asciiTheme="majorHAnsi" w:hAnsiTheme="majorHAnsi"/>
          <w:sz w:val="21"/>
          <w:szCs w:val="21"/>
        </w:rPr>
        <w:t>ë</w:t>
      </w:r>
      <w:r>
        <w:rPr>
          <w:rFonts w:asciiTheme="majorHAnsi" w:hAnsiTheme="majorHAnsi"/>
          <w:sz w:val="21"/>
          <w:szCs w:val="21"/>
        </w:rPr>
        <w:t xml:space="preserve">rsa 10% e </w:t>
      </w:r>
      <w:r w:rsidRPr="00051852">
        <w:rPr>
          <w:rFonts w:asciiTheme="majorHAnsi" w:hAnsiTheme="majorHAnsi"/>
          <w:sz w:val="21"/>
          <w:szCs w:val="21"/>
        </w:rPr>
        <w:t>shum</w:t>
      </w:r>
      <w:r w:rsidR="00396427" w:rsidRPr="00051852">
        <w:rPr>
          <w:rFonts w:asciiTheme="majorHAnsi" w:hAnsiTheme="majorHAnsi"/>
          <w:sz w:val="21"/>
          <w:szCs w:val="21"/>
        </w:rPr>
        <w:t>ë</w:t>
      </w:r>
      <w:r w:rsidRPr="00051852">
        <w:rPr>
          <w:rFonts w:asciiTheme="majorHAnsi" w:hAnsiTheme="majorHAnsi"/>
          <w:sz w:val="21"/>
          <w:szCs w:val="21"/>
        </w:rPr>
        <w:t>s s</w:t>
      </w:r>
      <w:r w:rsidR="00396427" w:rsidRPr="00051852">
        <w:rPr>
          <w:rFonts w:asciiTheme="majorHAnsi" w:hAnsiTheme="majorHAnsi"/>
          <w:sz w:val="21"/>
          <w:szCs w:val="21"/>
        </w:rPr>
        <w:t>ë</w:t>
      </w:r>
      <w:r w:rsidRPr="00051852">
        <w:rPr>
          <w:rFonts w:asciiTheme="majorHAnsi" w:hAnsiTheme="majorHAnsi"/>
          <w:sz w:val="21"/>
          <w:szCs w:val="21"/>
        </w:rPr>
        <w:t xml:space="preserve"> p</w:t>
      </w:r>
      <w:r w:rsidR="00396427" w:rsidRPr="00051852">
        <w:rPr>
          <w:rFonts w:asciiTheme="majorHAnsi" w:hAnsiTheme="majorHAnsi"/>
          <w:sz w:val="21"/>
          <w:szCs w:val="21"/>
        </w:rPr>
        <w:t>ë</w:t>
      </w:r>
      <w:r w:rsidRPr="00051852">
        <w:rPr>
          <w:rFonts w:asciiTheme="majorHAnsi" w:hAnsiTheme="majorHAnsi"/>
          <w:sz w:val="21"/>
          <w:szCs w:val="21"/>
        </w:rPr>
        <w:t>rgjithshme ndahet p</w:t>
      </w:r>
      <w:r w:rsidR="00396427" w:rsidRPr="00051852">
        <w:rPr>
          <w:rFonts w:asciiTheme="majorHAnsi" w:hAnsiTheme="majorHAnsi"/>
          <w:sz w:val="21"/>
          <w:szCs w:val="21"/>
        </w:rPr>
        <w:t>ë</w:t>
      </w:r>
      <w:r w:rsidRPr="00051852">
        <w:rPr>
          <w:rFonts w:asciiTheme="majorHAnsi" w:hAnsiTheme="majorHAnsi"/>
          <w:sz w:val="21"/>
          <w:szCs w:val="21"/>
        </w:rPr>
        <w:t>r shp</w:t>
      </w:r>
      <w:r w:rsidR="00396427" w:rsidRPr="00051852">
        <w:rPr>
          <w:rFonts w:asciiTheme="majorHAnsi" w:hAnsiTheme="majorHAnsi"/>
          <w:sz w:val="21"/>
          <w:szCs w:val="21"/>
        </w:rPr>
        <w:t>ë</w:t>
      </w:r>
      <w:r w:rsidRPr="00051852">
        <w:rPr>
          <w:rFonts w:asciiTheme="majorHAnsi" w:hAnsiTheme="majorHAnsi"/>
          <w:sz w:val="21"/>
          <w:szCs w:val="21"/>
        </w:rPr>
        <w:t>rblime shtes</w:t>
      </w:r>
      <w:r w:rsidR="00396427" w:rsidRPr="00051852">
        <w:rPr>
          <w:rFonts w:asciiTheme="majorHAnsi" w:hAnsiTheme="majorHAnsi"/>
          <w:sz w:val="21"/>
          <w:szCs w:val="21"/>
        </w:rPr>
        <w:t>ë</w:t>
      </w:r>
      <w:r w:rsidRPr="00051852">
        <w:rPr>
          <w:rFonts w:asciiTheme="majorHAnsi" w:hAnsiTheme="majorHAnsi"/>
          <w:sz w:val="21"/>
          <w:szCs w:val="21"/>
        </w:rPr>
        <w:t xml:space="preserve"> p</w:t>
      </w:r>
      <w:r w:rsidR="00396427" w:rsidRPr="00051852">
        <w:rPr>
          <w:rFonts w:asciiTheme="majorHAnsi" w:hAnsiTheme="majorHAnsi"/>
          <w:sz w:val="21"/>
          <w:szCs w:val="21"/>
        </w:rPr>
        <w:t>ë</w:t>
      </w:r>
      <w:r w:rsidRPr="00051852">
        <w:rPr>
          <w:rFonts w:asciiTheme="majorHAnsi" w:hAnsiTheme="majorHAnsi"/>
          <w:sz w:val="21"/>
          <w:szCs w:val="21"/>
        </w:rPr>
        <w:t xml:space="preserve">r komunat </w:t>
      </w:r>
      <w:r w:rsidR="00665282">
        <w:rPr>
          <w:rFonts w:asciiTheme="majorHAnsi" w:hAnsiTheme="majorHAnsi"/>
          <w:sz w:val="21"/>
          <w:szCs w:val="21"/>
        </w:rPr>
        <w:t xml:space="preserve">në 3 vendet e para </w:t>
      </w:r>
      <w:r w:rsidRPr="00051852">
        <w:rPr>
          <w:rFonts w:asciiTheme="majorHAnsi" w:hAnsiTheme="majorHAnsi"/>
          <w:sz w:val="21"/>
          <w:szCs w:val="21"/>
        </w:rPr>
        <w:t>me performan</w:t>
      </w:r>
      <w:r w:rsidR="00DB3CC0">
        <w:rPr>
          <w:rFonts w:asciiTheme="majorHAnsi" w:hAnsiTheme="majorHAnsi"/>
          <w:sz w:val="21"/>
          <w:szCs w:val="21"/>
        </w:rPr>
        <w:t>c</w:t>
      </w:r>
      <w:r w:rsidR="00396427" w:rsidRPr="00051852">
        <w:rPr>
          <w:rFonts w:asciiTheme="majorHAnsi" w:hAnsiTheme="majorHAnsi"/>
          <w:sz w:val="21"/>
          <w:szCs w:val="21"/>
        </w:rPr>
        <w:t>ë</w:t>
      </w:r>
      <w:r w:rsidRPr="00051852">
        <w:rPr>
          <w:rFonts w:asciiTheme="majorHAnsi" w:hAnsiTheme="majorHAnsi"/>
          <w:sz w:val="21"/>
          <w:szCs w:val="21"/>
        </w:rPr>
        <w:t>n m</w:t>
      </w:r>
      <w:r w:rsidR="00396427" w:rsidRPr="00051852">
        <w:rPr>
          <w:rFonts w:asciiTheme="majorHAnsi" w:hAnsiTheme="majorHAnsi"/>
          <w:sz w:val="21"/>
          <w:szCs w:val="21"/>
        </w:rPr>
        <w:t>ë</w:t>
      </w:r>
      <w:r w:rsidRPr="00051852">
        <w:rPr>
          <w:rFonts w:asciiTheme="majorHAnsi" w:hAnsiTheme="majorHAnsi"/>
          <w:sz w:val="21"/>
          <w:szCs w:val="21"/>
        </w:rPr>
        <w:t xml:space="preserve"> t</w:t>
      </w:r>
      <w:r w:rsidR="00396427" w:rsidRPr="00051852">
        <w:rPr>
          <w:rFonts w:asciiTheme="majorHAnsi" w:hAnsiTheme="majorHAnsi"/>
          <w:sz w:val="21"/>
          <w:szCs w:val="21"/>
        </w:rPr>
        <w:t>ë</w:t>
      </w:r>
      <w:r w:rsidRPr="00051852">
        <w:rPr>
          <w:rFonts w:asciiTheme="majorHAnsi" w:hAnsiTheme="majorHAnsi"/>
          <w:sz w:val="21"/>
          <w:szCs w:val="21"/>
        </w:rPr>
        <w:t xml:space="preserve"> mir</w:t>
      </w:r>
      <w:r w:rsidR="00396427" w:rsidRPr="00051852">
        <w:rPr>
          <w:rFonts w:asciiTheme="majorHAnsi" w:hAnsiTheme="majorHAnsi"/>
          <w:sz w:val="21"/>
          <w:szCs w:val="21"/>
        </w:rPr>
        <w:t>ë</w:t>
      </w:r>
      <w:r w:rsidRPr="00051852">
        <w:rPr>
          <w:rFonts w:asciiTheme="majorHAnsi" w:hAnsiTheme="majorHAnsi"/>
          <w:sz w:val="21"/>
          <w:szCs w:val="21"/>
        </w:rPr>
        <w:t>.</w:t>
      </w:r>
      <w:r w:rsidR="009D085D" w:rsidRPr="00051852">
        <w:rPr>
          <w:rFonts w:asciiTheme="majorHAnsi" w:hAnsiTheme="majorHAnsi"/>
          <w:sz w:val="21"/>
          <w:szCs w:val="21"/>
        </w:rPr>
        <w:t xml:space="preserve"> </w:t>
      </w:r>
    </w:p>
    <w:p w14:paraId="3A2BA651" w14:textId="77777777" w:rsidR="003A4F9A" w:rsidRDefault="00C552EE" w:rsidP="00363711">
      <w:pPr>
        <w:spacing w:before="60" w:line="264" w:lineRule="auto"/>
        <w:jc w:val="both"/>
        <w:rPr>
          <w:rFonts w:asciiTheme="majorHAnsi" w:hAnsiTheme="majorHAnsi"/>
          <w:sz w:val="21"/>
          <w:szCs w:val="21"/>
        </w:rPr>
      </w:pPr>
      <w:r w:rsidRPr="00051852">
        <w:rPr>
          <w:rFonts w:asciiTheme="majorHAnsi" w:hAnsiTheme="majorHAnsi"/>
          <w:sz w:val="21"/>
          <w:szCs w:val="21"/>
        </w:rPr>
        <w:t>Vendi i par</w:t>
      </w:r>
      <w:r w:rsidR="005E2ECA" w:rsidRPr="00051852">
        <w:rPr>
          <w:rFonts w:asciiTheme="majorHAnsi" w:hAnsiTheme="majorHAnsi"/>
          <w:sz w:val="21"/>
          <w:szCs w:val="21"/>
        </w:rPr>
        <w:t>ë</w:t>
      </w:r>
      <w:r w:rsidRPr="00051852">
        <w:rPr>
          <w:rFonts w:asciiTheme="majorHAnsi" w:hAnsiTheme="majorHAnsi"/>
          <w:sz w:val="21"/>
          <w:szCs w:val="21"/>
        </w:rPr>
        <w:t xml:space="preserve"> </w:t>
      </w:r>
      <w:r w:rsidR="00665282">
        <w:rPr>
          <w:rFonts w:asciiTheme="majorHAnsi" w:hAnsiTheme="majorHAnsi"/>
          <w:sz w:val="21"/>
          <w:szCs w:val="21"/>
        </w:rPr>
        <w:t>i</w:t>
      </w:r>
      <w:r w:rsidR="004035B7" w:rsidRPr="00051852">
        <w:rPr>
          <w:rFonts w:asciiTheme="majorHAnsi" w:hAnsiTheme="majorHAnsi"/>
          <w:sz w:val="21"/>
          <w:szCs w:val="21"/>
        </w:rPr>
        <w:t xml:space="preserve"> </w:t>
      </w:r>
      <w:r w:rsidRPr="00051852">
        <w:rPr>
          <w:rFonts w:asciiTheme="majorHAnsi" w:hAnsiTheme="majorHAnsi"/>
          <w:sz w:val="21"/>
          <w:szCs w:val="21"/>
        </w:rPr>
        <w:t>merr 5% t</w:t>
      </w:r>
      <w:r w:rsidR="005E2ECA" w:rsidRPr="00051852">
        <w:rPr>
          <w:rFonts w:asciiTheme="majorHAnsi" w:hAnsiTheme="majorHAnsi"/>
          <w:sz w:val="21"/>
          <w:szCs w:val="21"/>
        </w:rPr>
        <w:t>ë</w:t>
      </w:r>
      <w:r w:rsidRPr="00051852">
        <w:rPr>
          <w:rFonts w:asciiTheme="majorHAnsi" w:hAnsiTheme="majorHAnsi"/>
          <w:sz w:val="21"/>
          <w:szCs w:val="21"/>
        </w:rPr>
        <w:t xml:space="preserve"> shum</w:t>
      </w:r>
      <w:r w:rsidR="005E2ECA" w:rsidRPr="00051852">
        <w:rPr>
          <w:rFonts w:asciiTheme="majorHAnsi" w:hAnsiTheme="majorHAnsi"/>
          <w:sz w:val="21"/>
          <w:szCs w:val="21"/>
        </w:rPr>
        <w:t>ë</w:t>
      </w:r>
      <w:r w:rsidRPr="00051852">
        <w:rPr>
          <w:rFonts w:asciiTheme="majorHAnsi" w:hAnsiTheme="majorHAnsi"/>
          <w:sz w:val="21"/>
          <w:szCs w:val="21"/>
        </w:rPr>
        <w:t xml:space="preserve">s </w:t>
      </w:r>
      <w:r w:rsidR="00092D17" w:rsidRPr="00051852">
        <w:rPr>
          <w:rFonts w:asciiTheme="majorHAnsi" w:hAnsiTheme="majorHAnsi"/>
          <w:sz w:val="21"/>
          <w:szCs w:val="21"/>
        </w:rPr>
        <w:t>totale t</w:t>
      </w:r>
      <w:r w:rsidR="005E2ECA" w:rsidRPr="00051852">
        <w:rPr>
          <w:rFonts w:asciiTheme="majorHAnsi" w:hAnsiTheme="majorHAnsi"/>
          <w:sz w:val="21"/>
          <w:szCs w:val="21"/>
        </w:rPr>
        <w:t>ë</w:t>
      </w:r>
      <w:r w:rsidRPr="00051852">
        <w:rPr>
          <w:rFonts w:asciiTheme="majorHAnsi" w:hAnsiTheme="majorHAnsi"/>
          <w:sz w:val="21"/>
          <w:szCs w:val="21"/>
        </w:rPr>
        <w:t xml:space="preserve"> grantit; ve</w:t>
      </w:r>
      <w:r w:rsidR="00092D17" w:rsidRPr="00051852">
        <w:rPr>
          <w:rFonts w:asciiTheme="majorHAnsi" w:hAnsiTheme="majorHAnsi"/>
          <w:sz w:val="21"/>
          <w:szCs w:val="21"/>
        </w:rPr>
        <w:t>ndi i dyt</w:t>
      </w:r>
      <w:r w:rsidR="005E2ECA" w:rsidRPr="00051852">
        <w:rPr>
          <w:rFonts w:asciiTheme="majorHAnsi" w:hAnsiTheme="majorHAnsi"/>
          <w:sz w:val="21"/>
          <w:szCs w:val="21"/>
        </w:rPr>
        <w:t>ë</w:t>
      </w:r>
      <w:r w:rsidR="00092D17" w:rsidRPr="00051852">
        <w:rPr>
          <w:rFonts w:asciiTheme="majorHAnsi" w:hAnsiTheme="majorHAnsi"/>
          <w:sz w:val="21"/>
          <w:szCs w:val="21"/>
        </w:rPr>
        <w:t xml:space="preserve"> </w:t>
      </w:r>
      <w:r w:rsidR="00665282">
        <w:rPr>
          <w:rFonts w:asciiTheme="majorHAnsi" w:hAnsiTheme="majorHAnsi"/>
          <w:sz w:val="21"/>
          <w:szCs w:val="21"/>
        </w:rPr>
        <w:t>i</w:t>
      </w:r>
      <w:r w:rsidR="004035B7" w:rsidRPr="00051852">
        <w:rPr>
          <w:rFonts w:asciiTheme="majorHAnsi" w:hAnsiTheme="majorHAnsi"/>
          <w:sz w:val="21"/>
          <w:szCs w:val="21"/>
        </w:rPr>
        <w:t xml:space="preserve"> </w:t>
      </w:r>
      <w:r w:rsidR="00092D17" w:rsidRPr="00051852">
        <w:rPr>
          <w:rFonts w:asciiTheme="majorHAnsi" w:hAnsiTheme="majorHAnsi"/>
          <w:sz w:val="21"/>
          <w:szCs w:val="21"/>
        </w:rPr>
        <w:t>merr 3% t</w:t>
      </w:r>
      <w:r w:rsidR="005E2ECA" w:rsidRPr="00051852">
        <w:rPr>
          <w:rFonts w:asciiTheme="majorHAnsi" w:hAnsiTheme="majorHAnsi"/>
          <w:sz w:val="21"/>
          <w:szCs w:val="21"/>
        </w:rPr>
        <w:t>ë</w:t>
      </w:r>
      <w:r w:rsidR="00092D17" w:rsidRPr="00051852">
        <w:rPr>
          <w:rFonts w:asciiTheme="majorHAnsi" w:hAnsiTheme="majorHAnsi"/>
          <w:sz w:val="21"/>
          <w:szCs w:val="21"/>
        </w:rPr>
        <w:t xml:space="preserve"> shum</w:t>
      </w:r>
      <w:r w:rsidR="005E2ECA" w:rsidRPr="00051852">
        <w:rPr>
          <w:rFonts w:asciiTheme="majorHAnsi" w:hAnsiTheme="majorHAnsi"/>
          <w:sz w:val="21"/>
          <w:szCs w:val="21"/>
        </w:rPr>
        <w:t>ë</w:t>
      </w:r>
      <w:r w:rsidR="00092D17" w:rsidRPr="00051852">
        <w:rPr>
          <w:rFonts w:asciiTheme="majorHAnsi" w:hAnsiTheme="majorHAnsi"/>
          <w:sz w:val="21"/>
          <w:szCs w:val="21"/>
        </w:rPr>
        <w:t>s totale t</w:t>
      </w:r>
      <w:r w:rsidR="005E2ECA" w:rsidRPr="00051852">
        <w:rPr>
          <w:rFonts w:asciiTheme="majorHAnsi" w:hAnsiTheme="majorHAnsi"/>
          <w:sz w:val="21"/>
          <w:szCs w:val="21"/>
        </w:rPr>
        <w:t>ë</w:t>
      </w:r>
      <w:r w:rsidRPr="00051852">
        <w:rPr>
          <w:rFonts w:asciiTheme="majorHAnsi" w:hAnsiTheme="majorHAnsi"/>
          <w:sz w:val="21"/>
          <w:szCs w:val="21"/>
        </w:rPr>
        <w:t xml:space="preserve"> grantit dhe vendi i tret</w:t>
      </w:r>
      <w:r w:rsidR="005E2ECA" w:rsidRPr="00051852">
        <w:rPr>
          <w:rFonts w:asciiTheme="majorHAnsi" w:hAnsiTheme="majorHAnsi"/>
          <w:sz w:val="21"/>
          <w:szCs w:val="21"/>
        </w:rPr>
        <w:t>ë</w:t>
      </w:r>
      <w:r w:rsidRPr="00051852">
        <w:rPr>
          <w:rFonts w:asciiTheme="majorHAnsi" w:hAnsiTheme="majorHAnsi"/>
          <w:sz w:val="21"/>
          <w:szCs w:val="21"/>
        </w:rPr>
        <w:t xml:space="preserve"> </w:t>
      </w:r>
      <w:r w:rsidR="00665282">
        <w:rPr>
          <w:rFonts w:asciiTheme="majorHAnsi" w:hAnsiTheme="majorHAnsi"/>
          <w:sz w:val="21"/>
          <w:szCs w:val="21"/>
        </w:rPr>
        <w:t>i</w:t>
      </w:r>
      <w:r w:rsidR="004035B7" w:rsidRPr="00051852">
        <w:rPr>
          <w:rFonts w:asciiTheme="majorHAnsi" w:hAnsiTheme="majorHAnsi"/>
          <w:sz w:val="21"/>
          <w:szCs w:val="21"/>
        </w:rPr>
        <w:t xml:space="preserve"> </w:t>
      </w:r>
      <w:r w:rsidRPr="00051852">
        <w:rPr>
          <w:rFonts w:asciiTheme="majorHAnsi" w:hAnsiTheme="majorHAnsi"/>
          <w:sz w:val="21"/>
          <w:szCs w:val="21"/>
        </w:rPr>
        <w:t>merr 2% t</w:t>
      </w:r>
      <w:r w:rsidR="005E2ECA" w:rsidRPr="00051852">
        <w:rPr>
          <w:rFonts w:asciiTheme="majorHAnsi" w:hAnsiTheme="majorHAnsi"/>
          <w:sz w:val="21"/>
          <w:szCs w:val="21"/>
        </w:rPr>
        <w:t>ë</w:t>
      </w:r>
      <w:r w:rsidRPr="00051852">
        <w:rPr>
          <w:rFonts w:asciiTheme="majorHAnsi" w:hAnsiTheme="majorHAnsi"/>
          <w:sz w:val="21"/>
          <w:szCs w:val="21"/>
        </w:rPr>
        <w:t xml:space="preserve"> shum</w:t>
      </w:r>
      <w:r w:rsidR="005E2ECA" w:rsidRPr="00051852">
        <w:rPr>
          <w:rFonts w:asciiTheme="majorHAnsi" w:hAnsiTheme="majorHAnsi"/>
          <w:sz w:val="21"/>
          <w:szCs w:val="21"/>
        </w:rPr>
        <w:t>ë</w:t>
      </w:r>
      <w:r w:rsidRPr="00051852">
        <w:rPr>
          <w:rFonts w:asciiTheme="majorHAnsi" w:hAnsiTheme="majorHAnsi"/>
          <w:sz w:val="21"/>
          <w:szCs w:val="21"/>
        </w:rPr>
        <w:t>s</w:t>
      </w:r>
      <w:r w:rsidR="00092D17" w:rsidRPr="00051852">
        <w:rPr>
          <w:rFonts w:asciiTheme="majorHAnsi" w:hAnsiTheme="majorHAnsi"/>
          <w:sz w:val="21"/>
          <w:szCs w:val="21"/>
        </w:rPr>
        <w:t xml:space="preserve"> totale t</w:t>
      </w:r>
      <w:r w:rsidR="005E2ECA" w:rsidRPr="00051852">
        <w:rPr>
          <w:rFonts w:asciiTheme="majorHAnsi" w:hAnsiTheme="majorHAnsi"/>
          <w:sz w:val="21"/>
          <w:szCs w:val="21"/>
        </w:rPr>
        <w:t>ë</w:t>
      </w:r>
      <w:r w:rsidRPr="00051852">
        <w:rPr>
          <w:rFonts w:asciiTheme="majorHAnsi" w:hAnsiTheme="majorHAnsi"/>
          <w:sz w:val="21"/>
          <w:szCs w:val="21"/>
        </w:rPr>
        <w:t xml:space="preserve"> grantit. </w:t>
      </w:r>
    </w:p>
    <w:p w14:paraId="379833E3" w14:textId="77777777" w:rsidR="00340208" w:rsidRDefault="00092D17" w:rsidP="00363711">
      <w:pPr>
        <w:spacing w:before="60" w:line="264" w:lineRule="auto"/>
        <w:jc w:val="both"/>
        <w:rPr>
          <w:rFonts w:asciiTheme="majorHAnsi" w:hAnsiTheme="majorHAnsi"/>
          <w:sz w:val="21"/>
          <w:szCs w:val="21"/>
        </w:rPr>
      </w:pPr>
      <w:r w:rsidRPr="00051852">
        <w:rPr>
          <w:rFonts w:asciiTheme="majorHAnsi" w:hAnsiTheme="majorHAnsi"/>
          <w:sz w:val="21"/>
          <w:szCs w:val="21"/>
        </w:rPr>
        <w:t>N</w:t>
      </w:r>
      <w:r w:rsidR="005E2ECA" w:rsidRPr="00051852">
        <w:rPr>
          <w:rFonts w:asciiTheme="majorHAnsi" w:hAnsiTheme="majorHAnsi"/>
          <w:sz w:val="21"/>
          <w:szCs w:val="21"/>
        </w:rPr>
        <w:t>ë</w:t>
      </w:r>
      <w:r w:rsidRPr="00051852">
        <w:rPr>
          <w:rFonts w:asciiTheme="majorHAnsi" w:hAnsiTheme="majorHAnsi"/>
          <w:sz w:val="21"/>
          <w:szCs w:val="21"/>
        </w:rPr>
        <w:t>se dy e m</w:t>
      </w:r>
      <w:r w:rsidR="005E2ECA" w:rsidRPr="00051852">
        <w:rPr>
          <w:rFonts w:asciiTheme="majorHAnsi" w:hAnsiTheme="majorHAnsi"/>
          <w:sz w:val="21"/>
          <w:szCs w:val="21"/>
        </w:rPr>
        <w:t>ë</w:t>
      </w:r>
      <w:r w:rsidRPr="00051852">
        <w:rPr>
          <w:rFonts w:asciiTheme="majorHAnsi" w:hAnsiTheme="majorHAnsi"/>
          <w:sz w:val="21"/>
          <w:szCs w:val="21"/>
        </w:rPr>
        <w:t xml:space="preserve"> shum</w:t>
      </w:r>
      <w:r w:rsidR="005E2ECA" w:rsidRPr="00051852">
        <w:rPr>
          <w:rFonts w:asciiTheme="majorHAnsi" w:hAnsiTheme="majorHAnsi"/>
          <w:sz w:val="21"/>
          <w:szCs w:val="21"/>
        </w:rPr>
        <w:t>ë</w:t>
      </w:r>
      <w:r w:rsidRPr="00051852">
        <w:rPr>
          <w:rFonts w:asciiTheme="majorHAnsi" w:hAnsiTheme="majorHAnsi"/>
          <w:sz w:val="21"/>
          <w:szCs w:val="21"/>
        </w:rPr>
        <w:t xml:space="preserve"> komuna </w:t>
      </w:r>
      <w:r w:rsidR="004035B7" w:rsidRPr="00051852">
        <w:rPr>
          <w:rFonts w:asciiTheme="majorHAnsi" w:hAnsiTheme="majorHAnsi"/>
          <w:sz w:val="21"/>
          <w:szCs w:val="21"/>
        </w:rPr>
        <w:t>kan</w:t>
      </w:r>
      <w:r w:rsidR="00396427" w:rsidRPr="00051852">
        <w:rPr>
          <w:rFonts w:asciiTheme="majorHAnsi" w:hAnsiTheme="majorHAnsi"/>
          <w:sz w:val="21"/>
          <w:szCs w:val="21"/>
        </w:rPr>
        <w:t>ë</w:t>
      </w:r>
      <w:r w:rsidR="004035B7" w:rsidRPr="00051852">
        <w:rPr>
          <w:rFonts w:asciiTheme="majorHAnsi" w:hAnsiTheme="majorHAnsi"/>
          <w:sz w:val="21"/>
          <w:szCs w:val="21"/>
        </w:rPr>
        <w:t xml:space="preserve"> t</w:t>
      </w:r>
      <w:r w:rsidR="00396427" w:rsidRPr="00051852">
        <w:rPr>
          <w:rFonts w:asciiTheme="majorHAnsi" w:hAnsiTheme="majorHAnsi"/>
          <w:sz w:val="21"/>
          <w:szCs w:val="21"/>
        </w:rPr>
        <w:t>ë</w:t>
      </w:r>
      <w:r w:rsidR="004035B7" w:rsidRPr="00051852">
        <w:rPr>
          <w:rFonts w:asciiTheme="majorHAnsi" w:hAnsiTheme="majorHAnsi"/>
          <w:sz w:val="21"/>
          <w:szCs w:val="21"/>
        </w:rPr>
        <w:t xml:space="preserve"> nj</w:t>
      </w:r>
      <w:r w:rsidR="00396427" w:rsidRPr="00051852">
        <w:rPr>
          <w:rFonts w:asciiTheme="majorHAnsi" w:hAnsiTheme="majorHAnsi"/>
          <w:sz w:val="21"/>
          <w:szCs w:val="21"/>
        </w:rPr>
        <w:t>ë</w:t>
      </w:r>
      <w:r w:rsidR="004035B7" w:rsidRPr="00051852">
        <w:rPr>
          <w:rFonts w:asciiTheme="majorHAnsi" w:hAnsiTheme="majorHAnsi"/>
          <w:sz w:val="21"/>
          <w:szCs w:val="21"/>
        </w:rPr>
        <w:t>jt</w:t>
      </w:r>
      <w:r w:rsidR="001C0FBC" w:rsidRPr="00051852">
        <w:rPr>
          <w:rFonts w:asciiTheme="majorHAnsi" w:hAnsiTheme="majorHAnsi"/>
          <w:sz w:val="21"/>
          <w:szCs w:val="21"/>
        </w:rPr>
        <w:t>in rezultat t</w:t>
      </w:r>
      <w:r w:rsidR="00396427" w:rsidRPr="00051852">
        <w:rPr>
          <w:rFonts w:asciiTheme="majorHAnsi" w:hAnsiTheme="majorHAnsi"/>
          <w:sz w:val="21"/>
          <w:szCs w:val="21"/>
        </w:rPr>
        <w:t>ë</w:t>
      </w:r>
      <w:r w:rsidR="001C0FBC" w:rsidRPr="00051852">
        <w:rPr>
          <w:rFonts w:asciiTheme="majorHAnsi" w:hAnsiTheme="majorHAnsi"/>
          <w:sz w:val="21"/>
          <w:szCs w:val="21"/>
        </w:rPr>
        <w:t xml:space="preserve"> performanc</w:t>
      </w:r>
      <w:r w:rsidR="00396427" w:rsidRPr="00051852">
        <w:rPr>
          <w:rFonts w:asciiTheme="majorHAnsi" w:hAnsiTheme="majorHAnsi"/>
          <w:sz w:val="21"/>
          <w:szCs w:val="21"/>
        </w:rPr>
        <w:t>ë</w:t>
      </w:r>
      <w:r w:rsidR="001C0FBC" w:rsidRPr="00051852">
        <w:rPr>
          <w:rFonts w:asciiTheme="majorHAnsi" w:hAnsiTheme="majorHAnsi"/>
          <w:sz w:val="21"/>
          <w:szCs w:val="21"/>
        </w:rPr>
        <w:t>s,</w:t>
      </w:r>
      <w:r w:rsidR="00DE53C1" w:rsidRPr="00051852">
        <w:rPr>
          <w:rFonts w:asciiTheme="majorHAnsi" w:hAnsiTheme="majorHAnsi"/>
          <w:sz w:val="21"/>
          <w:szCs w:val="21"/>
        </w:rPr>
        <w:t xml:space="preserve"> atëherë</w:t>
      </w:r>
      <w:r w:rsidRPr="00051852">
        <w:rPr>
          <w:rFonts w:asciiTheme="majorHAnsi" w:hAnsiTheme="majorHAnsi"/>
          <w:sz w:val="21"/>
          <w:szCs w:val="21"/>
        </w:rPr>
        <w:t xml:space="preserve"> shuma e shp</w:t>
      </w:r>
      <w:r w:rsidR="005E2ECA" w:rsidRPr="00051852">
        <w:rPr>
          <w:rFonts w:asciiTheme="majorHAnsi" w:hAnsiTheme="majorHAnsi"/>
          <w:sz w:val="21"/>
          <w:szCs w:val="21"/>
        </w:rPr>
        <w:t>ë</w:t>
      </w:r>
      <w:r w:rsidRPr="00051852">
        <w:rPr>
          <w:rFonts w:asciiTheme="majorHAnsi" w:hAnsiTheme="majorHAnsi"/>
          <w:sz w:val="21"/>
          <w:szCs w:val="21"/>
        </w:rPr>
        <w:t>rblimit p</w:t>
      </w:r>
      <w:r w:rsidR="005E2ECA" w:rsidRPr="00051852">
        <w:rPr>
          <w:rFonts w:asciiTheme="majorHAnsi" w:hAnsiTheme="majorHAnsi"/>
          <w:sz w:val="21"/>
          <w:szCs w:val="21"/>
        </w:rPr>
        <w:t>ë</w:t>
      </w:r>
      <w:r w:rsidRPr="00051852">
        <w:rPr>
          <w:rFonts w:asciiTheme="majorHAnsi" w:hAnsiTheme="majorHAnsi"/>
          <w:sz w:val="21"/>
          <w:szCs w:val="21"/>
        </w:rPr>
        <w:t>r vendin e p</w:t>
      </w:r>
      <w:r w:rsidR="005E2ECA" w:rsidRPr="00051852">
        <w:rPr>
          <w:rFonts w:asciiTheme="majorHAnsi" w:hAnsiTheme="majorHAnsi"/>
          <w:sz w:val="21"/>
          <w:szCs w:val="21"/>
        </w:rPr>
        <w:t>ë</w:t>
      </w:r>
      <w:r w:rsidRPr="00051852">
        <w:rPr>
          <w:rFonts w:asciiTheme="majorHAnsi" w:hAnsiTheme="majorHAnsi"/>
          <w:sz w:val="21"/>
          <w:szCs w:val="21"/>
        </w:rPr>
        <w:t>rcaktuar ndahet n</w:t>
      </w:r>
      <w:r w:rsidR="005E2ECA" w:rsidRPr="00051852">
        <w:rPr>
          <w:rFonts w:asciiTheme="majorHAnsi" w:hAnsiTheme="majorHAnsi"/>
          <w:sz w:val="21"/>
          <w:szCs w:val="21"/>
        </w:rPr>
        <w:t>ë</w:t>
      </w:r>
      <w:r w:rsidRPr="00051852">
        <w:rPr>
          <w:rFonts w:asciiTheme="majorHAnsi" w:hAnsiTheme="majorHAnsi"/>
          <w:sz w:val="21"/>
          <w:szCs w:val="21"/>
        </w:rPr>
        <w:t xml:space="preserve"> m</w:t>
      </w:r>
      <w:r w:rsidR="005E2ECA" w:rsidRPr="00051852">
        <w:rPr>
          <w:rFonts w:asciiTheme="majorHAnsi" w:hAnsiTheme="majorHAnsi"/>
          <w:sz w:val="21"/>
          <w:szCs w:val="21"/>
        </w:rPr>
        <w:t>ë</w:t>
      </w:r>
      <w:r w:rsidRPr="00051852">
        <w:rPr>
          <w:rFonts w:asciiTheme="majorHAnsi" w:hAnsiTheme="majorHAnsi"/>
          <w:sz w:val="21"/>
          <w:szCs w:val="21"/>
        </w:rPr>
        <w:t>nyr</w:t>
      </w:r>
      <w:r w:rsidR="005E2ECA" w:rsidRPr="00051852">
        <w:rPr>
          <w:rFonts w:asciiTheme="majorHAnsi" w:hAnsiTheme="majorHAnsi"/>
          <w:sz w:val="21"/>
          <w:szCs w:val="21"/>
        </w:rPr>
        <w:t>ë</w:t>
      </w:r>
      <w:r w:rsidRPr="00051852">
        <w:rPr>
          <w:rFonts w:asciiTheme="majorHAnsi" w:hAnsiTheme="majorHAnsi"/>
          <w:sz w:val="21"/>
          <w:szCs w:val="21"/>
        </w:rPr>
        <w:t xml:space="preserve"> proporcinale</w:t>
      </w:r>
      <w:r w:rsidR="00DB3CC0">
        <w:rPr>
          <w:rFonts w:asciiTheme="majorHAnsi" w:hAnsiTheme="majorHAnsi"/>
          <w:sz w:val="21"/>
          <w:szCs w:val="21"/>
        </w:rPr>
        <w:t xml:space="preserve"> p</w:t>
      </w:r>
      <w:r w:rsidR="00E04BE3">
        <w:rPr>
          <w:rFonts w:asciiTheme="majorHAnsi" w:hAnsiTheme="majorHAnsi"/>
          <w:sz w:val="21"/>
          <w:szCs w:val="21"/>
        </w:rPr>
        <w:t>ë</w:t>
      </w:r>
      <w:r w:rsidR="00DB3CC0">
        <w:rPr>
          <w:rFonts w:asciiTheme="majorHAnsi" w:hAnsiTheme="majorHAnsi"/>
          <w:sz w:val="21"/>
          <w:szCs w:val="21"/>
        </w:rPr>
        <w:t>r at</w:t>
      </w:r>
      <w:r w:rsidR="00E04BE3">
        <w:rPr>
          <w:rFonts w:asciiTheme="majorHAnsi" w:hAnsiTheme="majorHAnsi"/>
          <w:sz w:val="21"/>
          <w:szCs w:val="21"/>
        </w:rPr>
        <w:t>ë</w:t>
      </w:r>
      <w:r w:rsidR="00DB3CC0">
        <w:rPr>
          <w:rFonts w:asciiTheme="majorHAnsi" w:hAnsiTheme="majorHAnsi"/>
          <w:sz w:val="21"/>
          <w:szCs w:val="21"/>
        </w:rPr>
        <w:t xml:space="preserve"> num</w:t>
      </w:r>
      <w:r w:rsidR="00E04BE3">
        <w:rPr>
          <w:rFonts w:asciiTheme="majorHAnsi" w:hAnsiTheme="majorHAnsi"/>
          <w:sz w:val="21"/>
          <w:szCs w:val="21"/>
        </w:rPr>
        <w:t>ë</w:t>
      </w:r>
      <w:r w:rsidR="00DB3CC0">
        <w:rPr>
          <w:rFonts w:asciiTheme="majorHAnsi" w:hAnsiTheme="majorHAnsi"/>
          <w:sz w:val="21"/>
          <w:szCs w:val="21"/>
        </w:rPr>
        <w:t>r t</w:t>
      </w:r>
      <w:r w:rsidR="00E04BE3">
        <w:rPr>
          <w:rFonts w:asciiTheme="majorHAnsi" w:hAnsiTheme="majorHAnsi"/>
          <w:sz w:val="21"/>
          <w:szCs w:val="21"/>
        </w:rPr>
        <w:t>ë</w:t>
      </w:r>
      <w:r w:rsidR="00DB3CC0">
        <w:rPr>
          <w:rFonts w:asciiTheme="majorHAnsi" w:hAnsiTheme="majorHAnsi"/>
          <w:sz w:val="21"/>
          <w:szCs w:val="21"/>
        </w:rPr>
        <w:t xml:space="preserve"> komunave me rezultat t</w:t>
      </w:r>
      <w:r w:rsidR="00E04BE3">
        <w:rPr>
          <w:rFonts w:asciiTheme="majorHAnsi" w:hAnsiTheme="majorHAnsi"/>
          <w:sz w:val="21"/>
          <w:szCs w:val="21"/>
        </w:rPr>
        <w:t>ë</w:t>
      </w:r>
      <w:r w:rsidR="00DB3CC0">
        <w:rPr>
          <w:rFonts w:asciiTheme="majorHAnsi" w:hAnsiTheme="majorHAnsi"/>
          <w:sz w:val="21"/>
          <w:szCs w:val="21"/>
        </w:rPr>
        <w:t xml:space="preserve"> njejt</w:t>
      </w:r>
      <w:r w:rsidR="00E04BE3">
        <w:rPr>
          <w:rFonts w:asciiTheme="majorHAnsi" w:hAnsiTheme="majorHAnsi"/>
          <w:sz w:val="21"/>
          <w:szCs w:val="21"/>
        </w:rPr>
        <w:t>ë</w:t>
      </w:r>
      <w:r w:rsidRPr="00051852">
        <w:rPr>
          <w:rFonts w:asciiTheme="majorHAnsi" w:hAnsiTheme="majorHAnsi"/>
          <w:sz w:val="21"/>
          <w:szCs w:val="21"/>
        </w:rPr>
        <w:t xml:space="preserve">. </w:t>
      </w:r>
    </w:p>
    <w:p w14:paraId="650B69B9" w14:textId="77777777" w:rsidR="00340208" w:rsidRDefault="00BF1FD5" w:rsidP="00363711">
      <w:pPr>
        <w:spacing w:before="60" w:line="264" w:lineRule="auto"/>
        <w:jc w:val="both"/>
        <w:rPr>
          <w:rFonts w:asciiTheme="majorHAnsi" w:hAnsiTheme="majorHAnsi"/>
          <w:sz w:val="21"/>
          <w:szCs w:val="21"/>
        </w:rPr>
      </w:pPr>
      <w:r w:rsidRPr="00051852">
        <w:rPr>
          <w:rFonts w:asciiTheme="majorHAnsi" w:hAnsiTheme="majorHAnsi"/>
          <w:sz w:val="21"/>
          <w:szCs w:val="21"/>
        </w:rPr>
        <w:t xml:space="preserve">Shuma e </w:t>
      </w:r>
      <w:r w:rsidR="008D7A2B" w:rsidRPr="00051852">
        <w:rPr>
          <w:rFonts w:asciiTheme="majorHAnsi" w:hAnsiTheme="majorHAnsi"/>
          <w:sz w:val="21"/>
          <w:szCs w:val="21"/>
        </w:rPr>
        <w:t>GPK bazuar në form</w:t>
      </w:r>
      <w:r w:rsidR="008D7A2B" w:rsidRPr="00B01597">
        <w:rPr>
          <w:rFonts w:asciiTheme="majorHAnsi" w:hAnsiTheme="majorHAnsi"/>
          <w:sz w:val="21"/>
          <w:szCs w:val="21"/>
        </w:rPr>
        <w:t>ulë</w:t>
      </w:r>
      <w:r w:rsidR="00051852">
        <w:rPr>
          <w:rFonts w:asciiTheme="majorHAnsi" w:hAnsiTheme="majorHAnsi"/>
          <w:sz w:val="21"/>
          <w:szCs w:val="21"/>
        </w:rPr>
        <w:t xml:space="preserve"> </w:t>
      </w:r>
      <w:r w:rsidR="008D7A2B" w:rsidRPr="00051852">
        <w:rPr>
          <w:rFonts w:asciiTheme="majorHAnsi" w:hAnsiTheme="majorHAnsi"/>
          <w:sz w:val="21"/>
          <w:szCs w:val="21"/>
        </w:rPr>
        <w:t>(90% e shum</w:t>
      </w:r>
      <w:r w:rsidR="00396427" w:rsidRPr="00051852">
        <w:rPr>
          <w:rFonts w:asciiTheme="majorHAnsi" w:hAnsiTheme="majorHAnsi"/>
          <w:sz w:val="21"/>
          <w:szCs w:val="21"/>
        </w:rPr>
        <w:t>ë</w:t>
      </w:r>
      <w:r w:rsidR="008D7A2B" w:rsidRPr="00051852">
        <w:rPr>
          <w:rFonts w:asciiTheme="majorHAnsi" w:hAnsiTheme="majorHAnsi"/>
          <w:sz w:val="21"/>
          <w:szCs w:val="21"/>
        </w:rPr>
        <w:t>s s</w:t>
      </w:r>
      <w:r w:rsidR="00396427" w:rsidRPr="00051852">
        <w:rPr>
          <w:rFonts w:asciiTheme="majorHAnsi" w:hAnsiTheme="majorHAnsi"/>
          <w:sz w:val="21"/>
          <w:szCs w:val="21"/>
        </w:rPr>
        <w:t>ë</w:t>
      </w:r>
      <w:r w:rsidR="008D7A2B" w:rsidRPr="00051852">
        <w:rPr>
          <w:rFonts w:asciiTheme="majorHAnsi" w:hAnsiTheme="majorHAnsi"/>
          <w:sz w:val="21"/>
          <w:szCs w:val="21"/>
        </w:rPr>
        <w:t xml:space="preserve"> p</w:t>
      </w:r>
      <w:r w:rsidR="00396427" w:rsidRPr="00051852">
        <w:rPr>
          <w:rFonts w:asciiTheme="majorHAnsi" w:hAnsiTheme="majorHAnsi"/>
          <w:sz w:val="21"/>
          <w:szCs w:val="21"/>
        </w:rPr>
        <w:t>ë</w:t>
      </w:r>
      <w:r w:rsidR="008D7A2B" w:rsidRPr="00051852">
        <w:rPr>
          <w:rFonts w:asciiTheme="majorHAnsi" w:hAnsiTheme="majorHAnsi"/>
          <w:sz w:val="21"/>
          <w:szCs w:val="21"/>
        </w:rPr>
        <w:t>rgjithshme t</w:t>
      </w:r>
      <w:r w:rsidR="00396427" w:rsidRPr="00051852">
        <w:rPr>
          <w:rFonts w:asciiTheme="majorHAnsi" w:hAnsiTheme="majorHAnsi"/>
          <w:sz w:val="21"/>
          <w:szCs w:val="21"/>
        </w:rPr>
        <w:t>ë</w:t>
      </w:r>
      <w:r w:rsidR="008D7A2B" w:rsidRPr="00051852">
        <w:rPr>
          <w:rFonts w:asciiTheme="majorHAnsi" w:hAnsiTheme="majorHAnsi"/>
          <w:sz w:val="21"/>
          <w:szCs w:val="21"/>
        </w:rPr>
        <w:t xml:space="preserve"> GPK)</w:t>
      </w:r>
      <w:r w:rsidRPr="00051852">
        <w:rPr>
          <w:rFonts w:asciiTheme="majorHAnsi" w:hAnsiTheme="majorHAnsi"/>
          <w:sz w:val="21"/>
          <w:szCs w:val="21"/>
        </w:rPr>
        <w:t xml:space="preserve"> </w:t>
      </w:r>
      <w:r w:rsidR="00CD79F5" w:rsidRPr="00051852">
        <w:rPr>
          <w:rFonts w:asciiTheme="majorHAnsi" w:hAnsiTheme="majorHAnsi"/>
          <w:sz w:val="21"/>
          <w:szCs w:val="21"/>
        </w:rPr>
        <w:t>përcaktohet nga</w:t>
      </w:r>
      <w:r w:rsidR="00340208">
        <w:rPr>
          <w:rFonts w:asciiTheme="majorHAnsi" w:hAnsiTheme="majorHAnsi"/>
          <w:sz w:val="21"/>
          <w:szCs w:val="21"/>
        </w:rPr>
        <w:t>:</w:t>
      </w:r>
      <w:r w:rsidR="00CD79F5" w:rsidRPr="00051852">
        <w:rPr>
          <w:rFonts w:asciiTheme="majorHAnsi" w:hAnsiTheme="majorHAnsi"/>
          <w:sz w:val="21"/>
          <w:szCs w:val="21"/>
        </w:rPr>
        <w:t xml:space="preserve"> </w:t>
      </w:r>
    </w:p>
    <w:p w14:paraId="01E3CB62" w14:textId="77777777" w:rsidR="00340208" w:rsidRPr="00D812D8" w:rsidRDefault="007B1D25" w:rsidP="009A3BEC">
      <w:pPr>
        <w:pStyle w:val="ListParagraph"/>
        <w:numPr>
          <w:ilvl w:val="2"/>
          <w:numId w:val="27"/>
        </w:numPr>
        <w:spacing w:after="0" w:line="264" w:lineRule="auto"/>
        <w:ind w:left="907"/>
        <w:jc w:val="both"/>
        <w:rPr>
          <w:rFonts w:asciiTheme="majorHAnsi" w:hAnsiTheme="majorHAnsi"/>
          <w:sz w:val="21"/>
          <w:szCs w:val="21"/>
        </w:rPr>
      </w:pPr>
      <w:r>
        <w:rPr>
          <w:rFonts w:asciiTheme="majorHAnsi" w:hAnsiTheme="majorHAnsi"/>
          <w:sz w:val="21"/>
          <w:szCs w:val="21"/>
        </w:rPr>
        <w:t>P</w:t>
      </w:r>
      <w:r w:rsidR="00CD79F5" w:rsidRPr="00D812D8">
        <w:rPr>
          <w:rFonts w:asciiTheme="majorHAnsi" w:hAnsiTheme="majorHAnsi"/>
          <w:sz w:val="21"/>
          <w:szCs w:val="21"/>
        </w:rPr>
        <w:t>erformanca relative e secilës komunë e matur sipas treguesve të përcaktuar të performancës</w:t>
      </w:r>
      <w:r>
        <w:rPr>
          <w:rFonts w:asciiTheme="majorHAnsi" w:hAnsiTheme="majorHAnsi"/>
          <w:sz w:val="21"/>
          <w:szCs w:val="21"/>
        </w:rPr>
        <w:t>;</w:t>
      </w:r>
      <w:r w:rsidR="00CD79F5" w:rsidRPr="00D812D8">
        <w:rPr>
          <w:rFonts w:asciiTheme="majorHAnsi" w:hAnsiTheme="majorHAnsi"/>
          <w:sz w:val="21"/>
          <w:szCs w:val="21"/>
        </w:rPr>
        <w:t xml:space="preserve"> dhe </w:t>
      </w:r>
    </w:p>
    <w:p w14:paraId="1AFE14AB" w14:textId="77777777" w:rsidR="00340208" w:rsidRPr="00D812D8" w:rsidRDefault="007B1D25" w:rsidP="009A3BEC">
      <w:pPr>
        <w:pStyle w:val="ListParagraph"/>
        <w:numPr>
          <w:ilvl w:val="2"/>
          <w:numId w:val="27"/>
        </w:numPr>
        <w:spacing w:after="0" w:line="264" w:lineRule="auto"/>
        <w:ind w:left="907"/>
        <w:jc w:val="both"/>
        <w:rPr>
          <w:rFonts w:asciiTheme="majorHAnsi" w:hAnsiTheme="majorHAnsi"/>
          <w:sz w:val="21"/>
          <w:szCs w:val="21"/>
        </w:rPr>
      </w:pPr>
      <w:r>
        <w:rPr>
          <w:rFonts w:asciiTheme="majorHAnsi" w:hAnsiTheme="majorHAnsi"/>
          <w:sz w:val="21"/>
          <w:szCs w:val="21"/>
        </w:rPr>
        <w:t>P</w:t>
      </w:r>
      <w:r w:rsidR="00CD79F5" w:rsidRPr="00D812D8">
        <w:rPr>
          <w:rFonts w:asciiTheme="majorHAnsi" w:hAnsiTheme="majorHAnsi"/>
          <w:sz w:val="21"/>
          <w:szCs w:val="21"/>
        </w:rPr>
        <w:t xml:space="preserve">esha e </w:t>
      </w:r>
      <w:r w:rsidR="00FB0B7E" w:rsidRPr="00D812D8">
        <w:rPr>
          <w:rFonts w:asciiTheme="majorHAnsi" w:hAnsiTheme="majorHAnsi"/>
          <w:sz w:val="21"/>
          <w:szCs w:val="21"/>
        </w:rPr>
        <w:t>grantit t</w:t>
      </w:r>
      <w:r w:rsidR="00210D4C" w:rsidRPr="00D812D8">
        <w:rPr>
          <w:rFonts w:asciiTheme="majorHAnsi" w:hAnsiTheme="majorHAnsi"/>
          <w:sz w:val="21"/>
          <w:szCs w:val="21"/>
        </w:rPr>
        <w:t>ë</w:t>
      </w:r>
      <w:r w:rsidR="00FB0B7E" w:rsidRPr="00D812D8">
        <w:rPr>
          <w:rFonts w:asciiTheme="majorHAnsi" w:hAnsiTheme="majorHAnsi"/>
          <w:sz w:val="21"/>
          <w:szCs w:val="21"/>
        </w:rPr>
        <w:t xml:space="preserve"> </w:t>
      </w:r>
      <w:r w:rsidR="00674C44" w:rsidRPr="00D812D8">
        <w:rPr>
          <w:rFonts w:asciiTheme="majorHAnsi" w:hAnsiTheme="majorHAnsi"/>
          <w:sz w:val="21"/>
          <w:szCs w:val="21"/>
        </w:rPr>
        <w:t>performancës komunale</w:t>
      </w:r>
      <w:r w:rsidR="00FB0B7E" w:rsidRPr="00D812D8">
        <w:rPr>
          <w:rFonts w:asciiTheme="majorHAnsi" w:hAnsiTheme="majorHAnsi"/>
          <w:sz w:val="21"/>
          <w:szCs w:val="21"/>
        </w:rPr>
        <w:t xml:space="preserve"> </w:t>
      </w:r>
      <w:r w:rsidR="00CD79F5" w:rsidRPr="00D812D8">
        <w:rPr>
          <w:rFonts w:asciiTheme="majorHAnsi" w:hAnsiTheme="majorHAnsi"/>
          <w:sz w:val="21"/>
          <w:szCs w:val="21"/>
        </w:rPr>
        <w:t>në grant</w:t>
      </w:r>
      <w:r w:rsidR="00A74A89" w:rsidRPr="00D812D8">
        <w:rPr>
          <w:rFonts w:asciiTheme="majorHAnsi" w:hAnsiTheme="majorHAnsi"/>
          <w:sz w:val="21"/>
          <w:szCs w:val="21"/>
        </w:rPr>
        <w:t>i</w:t>
      </w:r>
      <w:r w:rsidR="00FB0B7E" w:rsidRPr="00D812D8">
        <w:rPr>
          <w:rFonts w:asciiTheme="majorHAnsi" w:hAnsiTheme="majorHAnsi"/>
          <w:sz w:val="21"/>
          <w:szCs w:val="21"/>
        </w:rPr>
        <w:t>n</w:t>
      </w:r>
      <w:r w:rsidR="00A74A89" w:rsidRPr="00D812D8">
        <w:rPr>
          <w:rFonts w:asciiTheme="majorHAnsi" w:hAnsiTheme="majorHAnsi"/>
          <w:sz w:val="21"/>
          <w:szCs w:val="21"/>
        </w:rPr>
        <w:t xml:space="preserve"> </w:t>
      </w:r>
      <w:r w:rsidR="00FB0B7E" w:rsidRPr="00D812D8">
        <w:rPr>
          <w:rFonts w:asciiTheme="majorHAnsi" w:hAnsiTheme="majorHAnsi"/>
          <w:sz w:val="21"/>
          <w:szCs w:val="21"/>
        </w:rPr>
        <w:t>e</w:t>
      </w:r>
      <w:r w:rsidR="00A74A89" w:rsidRPr="00D812D8">
        <w:rPr>
          <w:rFonts w:asciiTheme="majorHAnsi" w:hAnsiTheme="majorHAnsi"/>
          <w:sz w:val="21"/>
          <w:szCs w:val="21"/>
        </w:rPr>
        <w:t xml:space="preserve"> përgjithshëm</w:t>
      </w:r>
      <w:r w:rsidR="00FB0B7E" w:rsidRPr="00D812D8">
        <w:rPr>
          <w:rFonts w:asciiTheme="majorHAnsi" w:hAnsiTheme="majorHAnsi"/>
          <w:sz w:val="21"/>
          <w:szCs w:val="21"/>
        </w:rPr>
        <w:t xml:space="preserve"> t</w:t>
      </w:r>
      <w:r w:rsidR="00210D4C" w:rsidRPr="00D812D8">
        <w:rPr>
          <w:rFonts w:asciiTheme="majorHAnsi" w:hAnsiTheme="majorHAnsi"/>
          <w:sz w:val="21"/>
          <w:szCs w:val="21"/>
        </w:rPr>
        <w:t>ë</w:t>
      </w:r>
      <w:r w:rsidR="00FB0B7E" w:rsidRPr="00D812D8">
        <w:rPr>
          <w:rFonts w:asciiTheme="majorHAnsi" w:hAnsiTheme="majorHAnsi"/>
          <w:sz w:val="21"/>
          <w:szCs w:val="21"/>
        </w:rPr>
        <w:t xml:space="preserve"> alokuar</w:t>
      </w:r>
      <w:r w:rsidR="00CD79F5" w:rsidRPr="00D812D8">
        <w:rPr>
          <w:rFonts w:asciiTheme="majorHAnsi" w:hAnsiTheme="majorHAnsi"/>
          <w:sz w:val="21"/>
          <w:szCs w:val="21"/>
        </w:rPr>
        <w:t xml:space="preserve">. </w:t>
      </w:r>
    </w:p>
    <w:p w14:paraId="206BA217" w14:textId="69E5F202" w:rsidR="00CD79F5"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Në fakt, </w:t>
      </w:r>
      <w:r w:rsidR="00DD5A38">
        <w:rPr>
          <w:rFonts w:asciiTheme="majorHAnsi" w:hAnsiTheme="majorHAnsi"/>
          <w:sz w:val="21"/>
          <w:szCs w:val="21"/>
        </w:rPr>
        <w:t>GPK</w:t>
      </w:r>
      <w:r w:rsidRPr="004D2E1C">
        <w:rPr>
          <w:rFonts w:asciiTheme="majorHAnsi" w:hAnsiTheme="majorHAnsi"/>
          <w:sz w:val="21"/>
          <w:szCs w:val="21"/>
        </w:rPr>
        <w:t xml:space="preserve"> do të ndahet në bazë të pikëve relative, në mënyrë të tillë që dy komuna të cilat kanë një rezultat të njëjtë do të marrin një shtesë </w:t>
      </w:r>
      <w:r w:rsidR="0017315B">
        <w:rPr>
          <w:rFonts w:asciiTheme="majorHAnsi" w:hAnsiTheme="majorHAnsi"/>
          <w:sz w:val="21"/>
          <w:szCs w:val="21"/>
        </w:rPr>
        <w:t xml:space="preserve">relative </w:t>
      </w:r>
      <w:r w:rsidRPr="004D2E1C">
        <w:rPr>
          <w:rFonts w:asciiTheme="majorHAnsi" w:hAnsiTheme="majorHAnsi"/>
          <w:sz w:val="21"/>
          <w:szCs w:val="21"/>
        </w:rPr>
        <w:t>të barabartë</w:t>
      </w:r>
      <w:r w:rsidR="0017315B">
        <w:rPr>
          <w:rFonts w:asciiTheme="majorHAnsi" w:hAnsiTheme="majorHAnsi"/>
          <w:sz w:val="21"/>
          <w:szCs w:val="21"/>
        </w:rPr>
        <w:t xml:space="preserve"> n</w:t>
      </w:r>
      <w:r w:rsidR="00210D4C">
        <w:rPr>
          <w:rFonts w:asciiTheme="majorHAnsi" w:hAnsiTheme="majorHAnsi"/>
          <w:sz w:val="21"/>
          <w:szCs w:val="21"/>
        </w:rPr>
        <w:t>ë</w:t>
      </w:r>
      <w:r w:rsidR="0017315B">
        <w:rPr>
          <w:rFonts w:asciiTheme="majorHAnsi" w:hAnsiTheme="majorHAnsi"/>
          <w:sz w:val="21"/>
          <w:szCs w:val="21"/>
        </w:rPr>
        <w:t xml:space="preserve"> pjes</w:t>
      </w:r>
      <w:r w:rsidR="00210D4C">
        <w:rPr>
          <w:rFonts w:asciiTheme="majorHAnsi" w:hAnsiTheme="majorHAnsi"/>
          <w:sz w:val="21"/>
          <w:szCs w:val="21"/>
        </w:rPr>
        <w:t>ë</w:t>
      </w:r>
      <w:r w:rsidR="0017315B">
        <w:rPr>
          <w:rFonts w:asciiTheme="majorHAnsi" w:hAnsiTheme="majorHAnsi"/>
          <w:sz w:val="21"/>
          <w:szCs w:val="21"/>
        </w:rPr>
        <w:t>n e investimeve kapitale t</w:t>
      </w:r>
      <w:r w:rsidR="00210D4C">
        <w:rPr>
          <w:rFonts w:asciiTheme="majorHAnsi" w:hAnsiTheme="majorHAnsi"/>
          <w:sz w:val="21"/>
          <w:szCs w:val="21"/>
        </w:rPr>
        <w:t>ë</w:t>
      </w:r>
      <w:r w:rsidR="0017315B">
        <w:rPr>
          <w:rFonts w:asciiTheme="majorHAnsi" w:hAnsiTheme="majorHAnsi"/>
          <w:sz w:val="21"/>
          <w:szCs w:val="21"/>
        </w:rPr>
        <w:t xml:space="preserve"> grantit t</w:t>
      </w:r>
      <w:r w:rsidR="00210D4C">
        <w:rPr>
          <w:rFonts w:asciiTheme="majorHAnsi" w:hAnsiTheme="majorHAnsi"/>
          <w:sz w:val="21"/>
          <w:szCs w:val="21"/>
        </w:rPr>
        <w:t>ë</w:t>
      </w:r>
      <w:r w:rsidR="0017315B">
        <w:rPr>
          <w:rFonts w:asciiTheme="majorHAnsi" w:hAnsiTheme="majorHAnsi"/>
          <w:sz w:val="21"/>
          <w:szCs w:val="21"/>
        </w:rPr>
        <w:t xml:space="preserve"> p</w:t>
      </w:r>
      <w:r w:rsidR="00210D4C">
        <w:rPr>
          <w:rFonts w:asciiTheme="majorHAnsi" w:hAnsiTheme="majorHAnsi"/>
          <w:sz w:val="21"/>
          <w:szCs w:val="21"/>
        </w:rPr>
        <w:t>ë</w:t>
      </w:r>
      <w:r w:rsidR="0017315B">
        <w:rPr>
          <w:rFonts w:asciiTheme="majorHAnsi" w:hAnsiTheme="majorHAnsi"/>
          <w:sz w:val="21"/>
          <w:szCs w:val="21"/>
        </w:rPr>
        <w:t>rgjithsh</w:t>
      </w:r>
      <w:r w:rsidR="00210D4C">
        <w:rPr>
          <w:rFonts w:asciiTheme="majorHAnsi" w:hAnsiTheme="majorHAnsi"/>
          <w:sz w:val="21"/>
          <w:szCs w:val="21"/>
        </w:rPr>
        <w:t>ë</w:t>
      </w:r>
      <w:r w:rsidR="0017315B">
        <w:rPr>
          <w:rFonts w:asciiTheme="majorHAnsi" w:hAnsiTheme="majorHAnsi"/>
          <w:sz w:val="21"/>
          <w:szCs w:val="21"/>
        </w:rPr>
        <w:t>m</w:t>
      </w:r>
      <w:r w:rsidRPr="004D2E1C">
        <w:rPr>
          <w:rFonts w:asciiTheme="majorHAnsi" w:hAnsiTheme="majorHAnsi"/>
          <w:sz w:val="21"/>
          <w:szCs w:val="21"/>
        </w:rPr>
        <w:t>. Kjo do të thotë që të dy komuna</w:t>
      </w:r>
      <w:r w:rsidR="00A74A89" w:rsidRPr="004D2E1C">
        <w:rPr>
          <w:rFonts w:asciiTheme="majorHAnsi" w:hAnsiTheme="majorHAnsi"/>
          <w:sz w:val="21"/>
          <w:szCs w:val="21"/>
        </w:rPr>
        <w:t>ve do t</w:t>
      </w:r>
      <w:r w:rsidR="007B1D25">
        <w:rPr>
          <w:rFonts w:asciiTheme="majorHAnsi" w:hAnsiTheme="majorHAnsi"/>
          <w:sz w:val="21"/>
          <w:szCs w:val="21"/>
        </w:rPr>
        <w:t>’i</w:t>
      </w:r>
      <w:r w:rsidR="00A74A89" w:rsidRPr="004D2E1C">
        <w:rPr>
          <w:rFonts w:asciiTheme="majorHAnsi" w:hAnsiTheme="majorHAnsi"/>
          <w:sz w:val="21"/>
          <w:szCs w:val="21"/>
        </w:rPr>
        <w:t xml:space="preserve">u ndahet një </w:t>
      </w:r>
      <w:r w:rsidRPr="004D2E1C">
        <w:rPr>
          <w:rFonts w:asciiTheme="majorHAnsi" w:hAnsiTheme="majorHAnsi"/>
          <w:sz w:val="21"/>
          <w:szCs w:val="21"/>
        </w:rPr>
        <w:t>grant</w:t>
      </w:r>
      <w:r w:rsidR="00A74A89" w:rsidRPr="004D2E1C">
        <w:rPr>
          <w:rFonts w:asciiTheme="majorHAnsi" w:hAnsiTheme="majorHAnsi"/>
          <w:sz w:val="21"/>
          <w:szCs w:val="21"/>
        </w:rPr>
        <w:t xml:space="preserve"> </w:t>
      </w:r>
      <w:r w:rsidRPr="004D2E1C">
        <w:rPr>
          <w:rFonts w:asciiTheme="majorHAnsi" w:hAnsiTheme="majorHAnsi"/>
          <w:sz w:val="21"/>
          <w:szCs w:val="21"/>
        </w:rPr>
        <w:t xml:space="preserve">që është e njëjta përqindje e </w:t>
      </w:r>
      <w:r w:rsidRPr="004D2E1C">
        <w:rPr>
          <w:rFonts w:asciiTheme="majorHAnsi" w:hAnsiTheme="majorHAnsi"/>
          <w:sz w:val="21"/>
          <w:szCs w:val="21"/>
        </w:rPr>
        <w:lastRenderedPageBreak/>
        <w:t>grantit të tyre të përgjithshëm (ndërs</w:t>
      </w:r>
      <w:r w:rsidR="00A74A89" w:rsidRPr="004D2E1C">
        <w:rPr>
          <w:rFonts w:asciiTheme="majorHAnsi" w:hAnsiTheme="majorHAnsi"/>
          <w:sz w:val="21"/>
          <w:szCs w:val="21"/>
        </w:rPr>
        <w:t xml:space="preserve">a shumat absolute të grantit të </w:t>
      </w:r>
      <w:r w:rsidR="00674C44">
        <w:rPr>
          <w:rFonts w:asciiTheme="majorHAnsi" w:hAnsiTheme="majorHAnsi"/>
          <w:sz w:val="21"/>
          <w:szCs w:val="21"/>
        </w:rPr>
        <w:t>performancës komunale</w:t>
      </w:r>
      <w:r w:rsidRPr="004D2E1C">
        <w:rPr>
          <w:rFonts w:asciiTheme="majorHAnsi" w:hAnsiTheme="majorHAnsi"/>
          <w:sz w:val="21"/>
          <w:szCs w:val="21"/>
        </w:rPr>
        <w:t xml:space="preserve"> do të ndryshojnë). Madhësia e shumës absolute është proporcionale me grantin e përgjithshëm. Arsyetimi për këtë është i qartë: një komunë që ka një grant të përgjithshëm më të madh ka nevojë për një </w:t>
      </w:r>
      <w:r w:rsidR="0017315B">
        <w:rPr>
          <w:rFonts w:asciiTheme="majorHAnsi" w:hAnsiTheme="majorHAnsi"/>
          <w:sz w:val="21"/>
          <w:szCs w:val="21"/>
        </w:rPr>
        <w:t>shum</w:t>
      </w:r>
      <w:r w:rsidR="00210D4C">
        <w:rPr>
          <w:rFonts w:asciiTheme="majorHAnsi" w:hAnsiTheme="majorHAnsi"/>
          <w:sz w:val="21"/>
          <w:szCs w:val="21"/>
        </w:rPr>
        <w:t>ë</w:t>
      </w:r>
      <w:r w:rsidR="0017315B">
        <w:rPr>
          <w:rFonts w:asciiTheme="majorHAnsi" w:hAnsiTheme="majorHAnsi"/>
          <w:sz w:val="21"/>
          <w:szCs w:val="21"/>
        </w:rPr>
        <w:t xml:space="preserve"> </w:t>
      </w:r>
      <w:r w:rsidRPr="004D2E1C">
        <w:rPr>
          <w:rFonts w:asciiTheme="majorHAnsi" w:hAnsiTheme="majorHAnsi"/>
          <w:sz w:val="21"/>
          <w:szCs w:val="21"/>
        </w:rPr>
        <w:t xml:space="preserve">më të madhe për të </w:t>
      </w:r>
      <w:r w:rsidR="007B1D25">
        <w:rPr>
          <w:rFonts w:asciiTheme="majorHAnsi" w:hAnsiTheme="majorHAnsi"/>
          <w:sz w:val="21"/>
          <w:szCs w:val="21"/>
        </w:rPr>
        <w:t>pasur</w:t>
      </w:r>
      <w:r w:rsidR="007B1D25" w:rsidRPr="004D2E1C">
        <w:rPr>
          <w:rFonts w:asciiTheme="majorHAnsi" w:hAnsiTheme="majorHAnsi"/>
          <w:sz w:val="21"/>
          <w:szCs w:val="21"/>
        </w:rPr>
        <w:t xml:space="preserve"> </w:t>
      </w:r>
      <w:r w:rsidRPr="004D2E1C">
        <w:rPr>
          <w:rFonts w:asciiTheme="majorHAnsi" w:hAnsiTheme="majorHAnsi"/>
          <w:sz w:val="21"/>
          <w:szCs w:val="21"/>
        </w:rPr>
        <w:t>të njëjt</w:t>
      </w:r>
      <w:r w:rsidR="0017315B">
        <w:rPr>
          <w:rFonts w:asciiTheme="majorHAnsi" w:hAnsiTheme="majorHAnsi"/>
          <w:sz w:val="21"/>
          <w:szCs w:val="21"/>
        </w:rPr>
        <w:t xml:space="preserve">in stimulim </w:t>
      </w:r>
      <w:r w:rsidRPr="004D2E1C">
        <w:rPr>
          <w:rFonts w:asciiTheme="majorHAnsi" w:hAnsiTheme="majorHAnsi"/>
          <w:sz w:val="21"/>
          <w:szCs w:val="21"/>
        </w:rPr>
        <w:t xml:space="preserve">sa i përket përmirësimit të performancës së saj. Shtojca 4 tregon se si llogaritet </w:t>
      </w:r>
      <w:r w:rsidR="00A74A89" w:rsidRPr="004D2E1C">
        <w:rPr>
          <w:rFonts w:asciiTheme="majorHAnsi" w:hAnsiTheme="majorHAnsi"/>
          <w:sz w:val="21"/>
          <w:szCs w:val="21"/>
        </w:rPr>
        <w:t>ndarja e</w:t>
      </w:r>
      <w:r w:rsidRPr="004D2E1C">
        <w:rPr>
          <w:rFonts w:asciiTheme="majorHAnsi" w:hAnsiTheme="majorHAnsi"/>
          <w:sz w:val="21"/>
          <w:szCs w:val="21"/>
        </w:rPr>
        <w:t xml:space="preserve"> </w:t>
      </w:r>
      <w:r w:rsidR="00F45DF8">
        <w:rPr>
          <w:rFonts w:asciiTheme="majorHAnsi" w:hAnsiTheme="majorHAnsi"/>
          <w:sz w:val="21"/>
          <w:szCs w:val="21"/>
        </w:rPr>
        <w:t>GPK</w:t>
      </w:r>
      <w:r w:rsidRPr="004D2E1C">
        <w:rPr>
          <w:rFonts w:asciiTheme="majorHAnsi" w:hAnsiTheme="majorHAnsi"/>
          <w:sz w:val="21"/>
          <w:szCs w:val="21"/>
        </w:rPr>
        <w:t>.</w:t>
      </w:r>
      <w:r w:rsidR="00A74A89" w:rsidRPr="004D2E1C">
        <w:rPr>
          <w:rFonts w:asciiTheme="majorHAnsi" w:hAnsiTheme="majorHAnsi"/>
          <w:sz w:val="21"/>
          <w:szCs w:val="21"/>
        </w:rPr>
        <w:t xml:space="preserve"> </w:t>
      </w:r>
    </w:p>
    <w:p w14:paraId="35822EB0" w14:textId="77777777" w:rsidR="003B754E" w:rsidRPr="004D2E1C" w:rsidRDefault="003B754E" w:rsidP="00363711">
      <w:pPr>
        <w:spacing w:before="60" w:line="264" w:lineRule="auto"/>
        <w:jc w:val="both"/>
        <w:rPr>
          <w:rFonts w:asciiTheme="majorHAnsi" w:hAnsiTheme="majorHAnsi"/>
          <w:sz w:val="21"/>
          <w:szCs w:val="21"/>
        </w:rPr>
      </w:pPr>
    </w:p>
    <w:p w14:paraId="5C361F26" w14:textId="77777777" w:rsidR="00C52A21" w:rsidRDefault="002B25B0" w:rsidP="00C52A21">
      <w:pPr>
        <w:pStyle w:val="Heading1"/>
        <w:numPr>
          <w:ilvl w:val="1"/>
          <w:numId w:val="6"/>
        </w:numPr>
        <w:tabs>
          <w:tab w:val="left" w:pos="540"/>
        </w:tabs>
        <w:ind w:hanging="1800"/>
        <w:rPr>
          <w:rFonts w:asciiTheme="majorHAnsi" w:hAnsiTheme="majorHAnsi"/>
          <w:color w:val="C0504D"/>
          <w:szCs w:val="28"/>
          <w:lang w:val="sq-AL"/>
        </w:rPr>
      </w:pPr>
      <w:bookmarkStart w:id="41" w:name="_Toc61062525"/>
      <w:r>
        <w:rPr>
          <w:rFonts w:asciiTheme="majorHAnsi" w:hAnsiTheme="majorHAnsi"/>
          <w:color w:val="C0504D"/>
          <w:szCs w:val="28"/>
          <w:lang w:val="sq-AL"/>
        </w:rPr>
        <w:t xml:space="preserve">Kriteret për </w:t>
      </w:r>
      <w:r w:rsidR="007B1D25">
        <w:rPr>
          <w:rFonts w:asciiTheme="majorHAnsi" w:hAnsiTheme="majorHAnsi"/>
          <w:color w:val="C0504D"/>
          <w:szCs w:val="28"/>
          <w:lang w:val="sq-AL"/>
        </w:rPr>
        <w:t>s</w:t>
      </w:r>
      <w:r w:rsidR="00CD79F5" w:rsidRPr="004D2E1C">
        <w:rPr>
          <w:rFonts w:asciiTheme="majorHAnsi" w:hAnsiTheme="majorHAnsi"/>
          <w:color w:val="C0504D"/>
          <w:szCs w:val="28"/>
          <w:lang w:val="sq-AL"/>
        </w:rPr>
        <w:t>hfrytëzimi</w:t>
      </w:r>
      <w:r>
        <w:rPr>
          <w:rFonts w:asciiTheme="majorHAnsi" w:hAnsiTheme="majorHAnsi"/>
          <w:color w:val="C0504D"/>
          <w:szCs w:val="28"/>
          <w:lang w:val="sq-AL"/>
        </w:rPr>
        <w:t>n</w:t>
      </w:r>
      <w:r w:rsidR="00CD79F5" w:rsidRPr="004D2E1C">
        <w:rPr>
          <w:rFonts w:asciiTheme="majorHAnsi" w:hAnsiTheme="majorHAnsi"/>
          <w:color w:val="C0504D"/>
          <w:szCs w:val="28"/>
          <w:lang w:val="sq-AL"/>
        </w:rPr>
        <w:t xml:space="preserve"> </w:t>
      </w:r>
      <w:r>
        <w:rPr>
          <w:rFonts w:asciiTheme="majorHAnsi" w:hAnsiTheme="majorHAnsi"/>
          <w:color w:val="C0504D"/>
          <w:szCs w:val="28"/>
          <w:lang w:val="sq-AL"/>
        </w:rPr>
        <w:t>e</w:t>
      </w:r>
      <w:r w:rsidRPr="004D2E1C">
        <w:rPr>
          <w:rFonts w:asciiTheme="majorHAnsi" w:hAnsiTheme="majorHAnsi"/>
          <w:color w:val="C0504D"/>
          <w:szCs w:val="28"/>
          <w:lang w:val="sq-AL"/>
        </w:rPr>
        <w:t xml:space="preserve"> </w:t>
      </w:r>
      <w:r w:rsidR="00CD79F5" w:rsidRPr="004D2E1C">
        <w:rPr>
          <w:rFonts w:asciiTheme="majorHAnsi" w:hAnsiTheme="majorHAnsi"/>
          <w:color w:val="C0504D"/>
          <w:szCs w:val="28"/>
          <w:lang w:val="sq-AL"/>
        </w:rPr>
        <w:t xml:space="preserve">grantit të </w:t>
      </w:r>
      <w:r w:rsidR="00674C44">
        <w:rPr>
          <w:rFonts w:asciiTheme="majorHAnsi" w:hAnsiTheme="majorHAnsi"/>
          <w:color w:val="C0504D"/>
          <w:szCs w:val="28"/>
          <w:lang w:val="sq-AL"/>
        </w:rPr>
        <w:t>performancës komunale</w:t>
      </w:r>
      <w:bookmarkEnd w:id="41"/>
    </w:p>
    <w:p w14:paraId="2355E9FF" w14:textId="77777777" w:rsidR="00C52A21" w:rsidRDefault="00C52A21" w:rsidP="001D245D"/>
    <w:p w14:paraId="31FE9269" w14:textId="77777777" w:rsidR="00C52A21" w:rsidRPr="001D245D" w:rsidRDefault="005B5CC4" w:rsidP="005B5CC4">
      <w:pPr>
        <w:rPr>
          <w:rFonts w:asciiTheme="majorHAnsi" w:hAnsiTheme="majorHAnsi"/>
          <w:sz w:val="21"/>
          <w:szCs w:val="21"/>
        </w:rPr>
      </w:pPr>
      <w:r w:rsidRPr="005B5CC4">
        <w:rPr>
          <w:rFonts w:asciiTheme="majorHAnsi" w:hAnsiTheme="majorHAnsi"/>
          <w:sz w:val="21"/>
          <w:szCs w:val="21"/>
        </w:rPr>
        <w:t>Granti përdoret për të financuar projekte komunale në dobi të</w:t>
      </w:r>
      <w:r w:rsidR="00572524">
        <w:rPr>
          <w:rFonts w:asciiTheme="majorHAnsi" w:hAnsiTheme="majorHAnsi"/>
          <w:sz w:val="21"/>
          <w:szCs w:val="21"/>
        </w:rPr>
        <w:t xml:space="preserve"> qytetarëve, konform rregullave</w:t>
      </w:r>
      <w:r w:rsidR="00C52A21" w:rsidRPr="001D245D">
        <w:rPr>
          <w:rFonts w:asciiTheme="majorHAnsi" w:hAnsiTheme="majorHAnsi"/>
          <w:sz w:val="21"/>
          <w:szCs w:val="21"/>
        </w:rPr>
        <w:t xml:space="preserve"> dhe parimeve n</w:t>
      </w:r>
      <w:r w:rsidR="001C397B" w:rsidRPr="001D245D">
        <w:rPr>
          <w:rFonts w:asciiTheme="majorHAnsi" w:hAnsiTheme="majorHAnsi"/>
          <w:sz w:val="21"/>
          <w:szCs w:val="21"/>
        </w:rPr>
        <w:t>ë</w:t>
      </w:r>
      <w:r w:rsidR="00C52A21" w:rsidRPr="001D245D">
        <w:rPr>
          <w:rFonts w:asciiTheme="majorHAnsi" w:hAnsiTheme="majorHAnsi"/>
          <w:sz w:val="21"/>
          <w:szCs w:val="21"/>
        </w:rPr>
        <w:t xml:space="preserve"> vijim:</w:t>
      </w:r>
    </w:p>
    <w:p w14:paraId="0E439785" w14:textId="77777777" w:rsidR="00CD79F5" w:rsidRPr="00792B62" w:rsidRDefault="00CD79F5" w:rsidP="009A3BEC">
      <w:pPr>
        <w:pStyle w:val="ListParagraph"/>
        <w:numPr>
          <w:ilvl w:val="0"/>
          <w:numId w:val="23"/>
        </w:numPr>
        <w:spacing w:after="0" w:line="264" w:lineRule="auto"/>
        <w:jc w:val="both"/>
        <w:rPr>
          <w:rFonts w:asciiTheme="majorHAnsi" w:hAnsiTheme="majorHAnsi"/>
          <w:sz w:val="21"/>
          <w:szCs w:val="21"/>
        </w:rPr>
      </w:pPr>
      <w:r w:rsidRPr="008E0461">
        <w:rPr>
          <w:rFonts w:asciiTheme="majorHAnsi" w:hAnsiTheme="majorHAnsi"/>
          <w:sz w:val="21"/>
          <w:szCs w:val="21"/>
        </w:rPr>
        <w:t>G</w:t>
      </w:r>
      <w:r w:rsidR="00F45DF8">
        <w:rPr>
          <w:rFonts w:asciiTheme="majorHAnsi" w:hAnsiTheme="majorHAnsi"/>
          <w:sz w:val="21"/>
          <w:szCs w:val="21"/>
        </w:rPr>
        <w:t>PK</w:t>
      </w:r>
      <w:r w:rsidRPr="008E0461">
        <w:rPr>
          <w:rFonts w:asciiTheme="majorHAnsi" w:hAnsiTheme="majorHAnsi"/>
          <w:sz w:val="21"/>
          <w:szCs w:val="21"/>
        </w:rPr>
        <w:t xml:space="preserve"> përdoret vetëm për investime kapitale</w:t>
      </w:r>
      <w:r w:rsidR="00193B86">
        <w:rPr>
          <w:rFonts w:asciiTheme="majorHAnsi" w:hAnsiTheme="majorHAnsi"/>
          <w:sz w:val="21"/>
          <w:szCs w:val="21"/>
        </w:rPr>
        <w:t xml:space="preserve"> dhe</w:t>
      </w:r>
      <w:r w:rsidRPr="008E0461">
        <w:rPr>
          <w:rFonts w:asciiTheme="majorHAnsi" w:hAnsiTheme="majorHAnsi"/>
          <w:sz w:val="21"/>
          <w:szCs w:val="21"/>
        </w:rPr>
        <w:t xml:space="preserve"> </w:t>
      </w:r>
      <w:r w:rsidR="005B72D4" w:rsidRPr="00792B62">
        <w:rPr>
          <w:rFonts w:asciiTheme="majorHAnsi" w:hAnsiTheme="majorHAnsi"/>
          <w:sz w:val="21"/>
          <w:szCs w:val="21"/>
        </w:rPr>
        <w:t>n</w:t>
      </w:r>
      <w:r w:rsidRPr="00792B62">
        <w:rPr>
          <w:rFonts w:asciiTheme="majorHAnsi" w:hAnsiTheme="majorHAnsi"/>
          <w:sz w:val="21"/>
          <w:szCs w:val="21"/>
        </w:rPr>
        <w:t>uk mund të përdoret për paga, mallra</w:t>
      </w:r>
      <w:r w:rsidR="00C52A21" w:rsidRPr="00792B62">
        <w:rPr>
          <w:rFonts w:asciiTheme="majorHAnsi" w:hAnsiTheme="majorHAnsi"/>
          <w:sz w:val="21"/>
          <w:szCs w:val="21"/>
        </w:rPr>
        <w:t xml:space="preserve">, </w:t>
      </w:r>
      <w:r w:rsidRPr="00792B62">
        <w:rPr>
          <w:rFonts w:asciiTheme="majorHAnsi" w:hAnsiTheme="majorHAnsi"/>
          <w:sz w:val="21"/>
          <w:szCs w:val="21"/>
        </w:rPr>
        <w:t>shërbime apo subvencione</w:t>
      </w:r>
      <w:r w:rsidR="00EC73DD">
        <w:rPr>
          <w:rFonts w:asciiTheme="majorHAnsi" w:hAnsiTheme="majorHAnsi"/>
          <w:sz w:val="21"/>
          <w:szCs w:val="21"/>
        </w:rPr>
        <w:t>;</w:t>
      </w:r>
    </w:p>
    <w:p w14:paraId="521886D5" w14:textId="77777777" w:rsidR="008E0461" w:rsidRPr="00B86AA1" w:rsidRDefault="00CD79F5" w:rsidP="009A3BEC">
      <w:pPr>
        <w:pStyle w:val="ListParagraph"/>
        <w:numPr>
          <w:ilvl w:val="0"/>
          <w:numId w:val="23"/>
        </w:numPr>
        <w:spacing w:after="0" w:line="264" w:lineRule="auto"/>
        <w:jc w:val="both"/>
        <w:rPr>
          <w:rFonts w:asciiTheme="majorHAnsi" w:hAnsiTheme="majorHAnsi"/>
          <w:sz w:val="21"/>
          <w:szCs w:val="21"/>
        </w:rPr>
      </w:pPr>
      <w:r w:rsidRPr="00B86AA1">
        <w:rPr>
          <w:rFonts w:asciiTheme="majorHAnsi" w:hAnsiTheme="majorHAnsi"/>
          <w:sz w:val="21"/>
          <w:szCs w:val="21"/>
        </w:rPr>
        <w:t xml:space="preserve">Komuna është e lirë të vendosë për cilat investime do të përdoret granti i </w:t>
      </w:r>
      <w:r w:rsidR="00674C44" w:rsidRPr="00B86AA1">
        <w:rPr>
          <w:rFonts w:asciiTheme="majorHAnsi" w:hAnsiTheme="majorHAnsi"/>
          <w:sz w:val="21"/>
          <w:szCs w:val="21"/>
        </w:rPr>
        <w:t>performancës komunale</w:t>
      </w:r>
      <w:r w:rsidRPr="00B86AA1">
        <w:rPr>
          <w:rFonts w:asciiTheme="majorHAnsi" w:hAnsiTheme="majorHAnsi"/>
          <w:sz w:val="21"/>
          <w:szCs w:val="21"/>
        </w:rPr>
        <w:t xml:space="preserve">. </w:t>
      </w:r>
      <w:r w:rsidR="00C52A21" w:rsidRPr="00B86AA1">
        <w:rPr>
          <w:rFonts w:asciiTheme="majorHAnsi" w:hAnsiTheme="majorHAnsi"/>
          <w:sz w:val="21"/>
          <w:szCs w:val="21"/>
        </w:rPr>
        <w:t>R</w:t>
      </w:r>
      <w:r w:rsidR="005B72D4" w:rsidRPr="00B86AA1">
        <w:rPr>
          <w:rFonts w:asciiTheme="majorHAnsi" w:hAnsiTheme="majorHAnsi"/>
          <w:sz w:val="21"/>
          <w:szCs w:val="21"/>
        </w:rPr>
        <w:t xml:space="preserve">ekomandohet që komunat të fokusohen në projekte konkrete, të kufizuara në numër, për </w:t>
      </w:r>
      <w:r w:rsidR="00C52A21" w:rsidRPr="00B86AA1">
        <w:rPr>
          <w:rFonts w:asciiTheme="majorHAnsi" w:hAnsiTheme="majorHAnsi"/>
          <w:sz w:val="21"/>
          <w:szCs w:val="21"/>
        </w:rPr>
        <w:t>të shmangur</w:t>
      </w:r>
      <w:r w:rsidR="005B72D4" w:rsidRPr="00B86AA1">
        <w:rPr>
          <w:rFonts w:asciiTheme="majorHAnsi" w:hAnsiTheme="majorHAnsi"/>
          <w:sz w:val="21"/>
          <w:szCs w:val="21"/>
        </w:rPr>
        <w:t xml:space="preserve"> </w:t>
      </w:r>
      <w:r w:rsidR="00C52A21" w:rsidRPr="00B86AA1">
        <w:rPr>
          <w:rFonts w:asciiTheme="majorHAnsi" w:hAnsiTheme="majorHAnsi"/>
          <w:sz w:val="21"/>
          <w:szCs w:val="21"/>
        </w:rPr>
        <w:t xml:space="preserve">procedurat e gjata </w:t>
      </w:r>
      <w:r w:rsidR="005B72D4" w:rsidRPr="00B86AA1">
        <w:rPr>
          <w:rFonts w:asciiTheme="majorHAnsi" w:hAnsiTheme="majorHAnsi"/>
          <w:sz w:val="21"/>
          <w:szCs w:val="21"/>
        </w:rPr>
        <w:t>administrative</w:t>
      </w:r>
      <w:r w:rsidR="00665282">
        <w:rPr>
          <w:rFonts w:asciiTheme="majorHAnsi" w:hAnsiTheme="majorHAnsi"/>
          <w:sz w:val="21"/>
          <w:szCs w:val="21"/>
        </w:rPr>
        <w:t xml:space="preserve"> dhe për t’</w:t>
      </w:r>
      <w:r w:rsidR="007B1D25">
        <w:rPr>
          <w:rFonts w:asciiTheme="majorHAnsi" w:hAnsiTheme="majorHAnsi"/>
          <w:sz w:val="21"/>
          <w:szCs w:val="21"/>
        </w:rPr>
        <w:t>i</w:t>
      </w:r>
      <w:r w:rsidR="00665282">
        <w:rPr>
          <w:rFonts w:asciiTheme="majorHAnsi" w:hAnsiTheme="majorHAnsi"/>
          <w:sz w:val="21"/>
          <w:szCs w:val="21"/>
        </w:rPr>
        <w:t xml:space="preserve"> shfrytëzuar</w:t>
      </w:r>
      <w:r w:rsidR="007B1D25">
        <w:rPr>
          <w:rFonts w:asciiTheme="majorHAnsi" w:hAnsiTheme="majorHAnsi"/>
          <w:sz w:val="21"/>
          <w:szCs w:val="21"/>
        </w:rPr>
        <w:t xml:space="preserve"> mjetet</w:t>
      </w:r>
      <w:r w:rsidR="00665282">
        <w:rPr>
          <w:rFonts w:asciiTheme="majorHAnsi" w:hAnsiTheme="majorHAnsi"/>
          <w:sz w:val="21"/>
          <w:szCs w:val="21"/>
        </w:rPr>
        <w:t xml:space="preserve"> brenda vitit fiskal</w:t>
      </w:r>
      <w:r w:rsidR="00EC73DD">
        <w:rPr>
          <w:rFonts w:asciiTheme="majorHAnsi" w:hAnsiTheme="majorHAnsi"/>
          <w:sz w:val="21"/>
          <w:szCs w:val="21"/>
        </w:rPr>
        <w:t>;</w:t>
      </w:r>
    </w:p>
    <w:p w14:paraId="11F97817" w14:textId="77777777" w:rsidR="00795E6B" w:rsidRPr="001D245D" w:rsidRDefault="00C52A21" w:rsidP="009A3BEC">
      <w:pPr>
        <w:pStyle w:val="ListParagraph"/>
        <w:numPr>
          <w:ilvl w:val="0"/>
          <w:numId w:val="23"/>
        </w:numPr>
        <w:spacing w:after="0" w:line="264" w:lineRule="auto"/>
        <w:jc w:val="both"/>
        <w:rPr>
          <w:rFonts w:asciiTheme="majorHAnsi" w:hAnsiTheme="majorHAnsi"/>
          <w:sz w:val="21"/>
          <w:szCs w:val="21"/>
        </w:rPr>
      </w:pPr>
      <w:r w:rsidRPr="001D245D">
        <w:rPr>
          <w:rFonts w:asciiTheme="majorHAnsi" w:hAnsiTheme="majorHAnsi"/>
          <w:sz w:val="21"/>
          <w:szCs w:val="21"/>
        </w:rPr>
        <w:t xml:space="preserve">Granti </w:t>
      </w:r>
      <w:r w:rsidR="00795E6B" w:rsidRPr="001D245D">
        <w:rPr>
          <w:rFonts w:asciiTheme="majorHAnsi" w:hAnsiTheme="majorHAnsi"/>
          <w:sz w:val="21"/>
          <w:szCs w:val="21"/>
        </w:rPr>
        <w:t xml:space="preserve">duhet të </w:t>
      </w:r>
      <w:r w:rsidR="005B72D4" w:rsidRPr="001D245D">
        <w:rPr>
          <w:rFonts w:asciiTheme="majorHAnsi" w:hAnsiTheme="majorHAnsi"/>
          <w:sz w:val="21"/>
          <w:szCs w:val="21"/>
        </w:rPr>
        <w:t xml:space="preserve">shfrytëzohet nga komuna </w:t>
      </w:r>
      <w:r w:rsidRPr="004F518E">
        <w:rPr>
          <w:rFonts w:asciiTheme="majorHAnsi" w:hAnsiTheme="majorHAnsi"/>
          <w:sz w:val="21"/>
          <w:szCs w:val="21"/>
        </w:rPr>
        <w:t>konform legjislacionit n</w:t>
      </w:r>
      <w:r w:rsidR="001C397B" w:rsidRPr="004F518E">
        <w:rPr>
          <w:rFonts w:asciiTheme="majorHAnsi" w:hAnsiTheme="majorHAnsi"/>
          <w:sz w:val="21"/>
          <w:szCs w:val="21"/>
        </w:rPr>
        <w:t>ë</w:t>
      </w:r>
      <w:r w:rsidRPr="004F518E">
        <w:rPr>
          <w:rFonts w:asciiTheme="majorHAnsi" w:hAnsiTheme="majorHAnsi"/>
          <w:sz w:val="21"/>
          <w:szCs w:val="21"/>
        </w:rPr>
        <w:t xml:space="preserve"> fuqi.</w:t>
      </w:r>
      <w:r w:rsidR="003D1F2A" w:rsidRPr="00226BF1">
        <w:rPr>
          <w:rFonts w:asciiTheme="majorHAnsi" w:hAnsiTheme="majorHAnsi"/>
          <w:sz w:val="21"/>
          <w:szCs w:val="21"/>
        </w:rPr>
        <w:t xml:space="preserve"> </w:t>
      </w:r>
      <w:r w:rsidR="00795E6B" w:rsidRPr="001D245D">
        <w:rPr>
          <w:rFonts w:asciiTheme="majorHAnsi" w:hAnsiTheme="majorHAnsi"/>
          <w:sz w:val="21"/>
          <w:szCs w:val="21"/>
        </w:rPr>
        <w:t>N</w:t>
      </w:r>
      <w:r w:rsidR="001C397B" w:rsidRPr="001D245D">
        <w:rPr>
          <w:rFonts w:asciiTheme="majorHAnsi" w:hAnsiTheme="majorHAnsi"/>
          <w:sz w:val="21"/>
          <w:szCs w:val="21"/>
        </w:rPr>
        <w:t>ë</w:t>
      </w:r>
      <w:r w:rsidR="00795E6B" w:rsidRPr="001D245D">
        <w:rPr>
          <w:rFonts w:asciiTheme="majorHAnsi" w:hAnsiTheme="majorHAnsi"/>
          <w:sz w:val="21"/>
          <w:szCs w:val="21"/>
        </w:rPr>
        <w:t xml:space="preserve"> rast se komuna nuk </w:t>
      </w:r>
      <w:r w:rsidR="001C397B" w:rsidRPr="001D245D">
        <w:rPr>
          <w:rFonts w:asciiTheme="majorHAnsi" w:hAnsiTheme="majorHAnsi"/>
          <w:sz w:val="21"/>
          <w:szCs w:val="21"/>
        </w:rPr>
        <w:t>e shpenzon</w:t>
      </w:r>
      <w:r w:rsidR="00795E6B" w:rsidRPr="001D245D">
        <w:rPr>
          <w:rFonts w:asciiTheme="majorHAnsi" w:hAnsiTheme="majorHAnsi"/>
          <w:sz w:val="21"/>
          <w:szCs w:val="21"/>
        </w:rPr>
        <w:t xml:space="preserve"> grantin konform k</w:t>
      </w:r>
      <w:r w:rsidR="001C397B" w:rsidRPr="001D245D">
        <w:rPr>
          <w:rFonts w:asciiTheme="majorHAnsi" w:hAnsiTheme="majorHAnsi"/>
          <w:sz w:val="21"/>
          <w:szCs w:val="21"/>
        </w:rPr>
        <w:t>ë</w:t>
      </w:r>
      <w:r w:rsidR="00795E6B" w:rsidRPr="001D245D">
        <w:rPr>
          <w:rFonts w:asciiTheme="majorHAnsi" w:hAnsiTheme="majorHAnsi"/>
          <w:sz w:val="21"/>
          <w:szCs w:val="21"/>
        </w:rPr>
        <w:t>tyre rregullave dhe legjislacionit n</w:t>
      </w:r>
      <w:r w:rsidR="001C397B" w:rsidRPr="001D245D">
        <w:rPr>
          <w:rFonts w:asciiTheme="majorHAnsi" w:hAnsiTheme="majorHAnsi"/>
          <w:sz w:val="21"/>
          <w:szCs w:val="21"/>
        </w:rPr>
        <w:t>ë</w:t>
      </w:r>
      <w:r w:rsidR="00795E6B" w:rsidRPr="001D245D">
        <w:rPr>
          <w:rFonts w:asciiTheme="majorHAnsi" w:hAnsiTheme="majorHAnsi"/>
          <w:sz w:val="21"/>
          <w:szCs w:val="21"/>
        </w:rPr>
        <w:t xml:space="preserve"> fuqi, obligimet kontraktuale ndaj operator</w:t>
      </w:r>
      <w:r w:rsidR="001C397B" w:rsidRPr="001D245D">
        <w:rPr>
          <w:rFonts w:asciiTheme="majorHAnsi" w:hAnsiTheme="majorHAnsi"/>
          <w:sz w:val="21"/>
          <w:szCs w:val="21"/>
        </w:rPr>
        <w:t>ë</w:t>
      </w:r>
      <w:r w:rsidR="00795E6B" w:rsidRPr="001D245D">
        <w:rPr>
          <w:rFonts w:asciiTheme="majorHAnsi" w:hAnsiTheme="majorHAnsi"/>
          <w:sz w:val="21"/>
          <w:szCs w:val="21"/>
        </w:rPr>
        <w:t>ve ekonomik barten nga vet</w:t>
      </w:r>
      <w:r w:rsidR="001C397B" w:rsidRPr="001D245D">
        <w:rPr>
          <w:rFonts w:asciiTheme="majorHAnsi" w:hAnsiTheme="majorHAnsi"/>
          <w:sz w:val="21"/>
          <w:szCs w:val="21"/>
        </w:rPr>
        <w:t>ë</w:t>
      </w:r>
      <w:r w:rsidR="00795E6B" w:rsidRPr="001D245D">
        <w:rPr>
          <w:rFonts w:asciiTheme="majorHAnsi" w:hAnsiTheme="majorHAnsi"/>
          <w:sz w:val="21"/>
          <w:szCs w:val="21"/>
        </w:rPr>
        <w:t xml:space="preserve"> komuna</w:t>
      </w:r>
      <w:r w:rsidR="00EC73DD">
        <w:rPr>
          <w:rFonts w:asciiTheme="majorHAnsi" w:hAnsiTheme="majorHAnsi"/>
          <w:sz w:val="21"/>
          <w:szCs w:val="21"/>
        </w:rPr>
        <w:t>;</w:t>
      </w:r>
    </w:p>
    <w:p w14:paraId="2A80D49C" w14:textId="6C44CECA" w:rsidR="00CD79F5" w:rsidRDefault="00123E23" w:rsidP="009A3BEC">
      <w:pPr>
        <w:pStyle w:val="ListParagraph"/>
        <w:numPr>
          <w:ilvl w:val="0"/>
          <w:numId w:val="23"/>
        </w:numPr>
        <w:spacing w:after="0" w:line="264" w:lineRule="auto"/>
        <w:jc w:val="both"/>
        <w:rPr>
          <w:rFonts w:asciiTheme="majorHAnsi" w:hAnsiTheme="majorHAnsi"/>
          <w:sz w:val="21"/>
          <w:szCs w:val="21"/>
        </w:rPr>
      </w:pPr>
      <w:r>
        <w:rPr>
          <w:rFonts w:asciiTheme="majorHAnsi" w:hAnsiTheme="majorHAnsi"/>
          <w:sz w:val="21"/>
          <w:szCs w:val="21"/>
        </w:rPr>
        <w:t>Shfr</w:t>
      </w:r>
      <w:r w:rsidR="007B1D25">
        <w:rPr>
          <w:rFonts w:asciiTheme="majorHAnsi" w:hAnsiTheme="majorHAnsi"/>
          <w:sz w:val="21"/>
          <w:szCs w:val="21"/>
        </w:rPr>
        <w:t>y</w:t>
      </w:r>
      <w:r>
        <w:rPr>
          <w:rFonts w:asciiTheme="majorHAnsi" w:hAnsiTheme="majorHAnsi"/>
          <w:sz w:val="21"/>
          <w:szCs w:val="21"/>
        </w:rPr>
        <w:t>t</w:t>
      </w:r>
      <w:r w:rsidR="001C397B">
        <w:rPr>
          <w:rFonts w:asciiTheme="majorHAnsi" w:hAnsiTheme="majorHAnsi"/>
          <w:sz w:val="21"/>
          <w:szCs w:val="21"/>
        </w:rPr>
        <w:t>ë</w:t>
      </w:r>
      <w:r>
        <w:rPr>
          <w:rFonts w:asciiTheme="majorHAnsi" w:hAnsiTheme="majorHAnsi"/>
          <w:sz w:val="21"/>
          <w:szCs w:val="21"/>
        </w:rPr>
        <w:t xml:space="preserve">zimi i grantit </w:t>
      </w:r>
      <w:r w:rsidR="00795E6B">
        <w:rPr>
          <w:rFonts w:asciiTheme="majorHAnsi" w:hAnsiTheme="majorHAnsi"/>
          <w:sz w:val="21"/>
          <w:szCs w:val="21"/>
        </w:rPr>
        <w:t xml:space="preserve">i </w:t>
      </w:r>
      <w:r>
        <w:rPr>
          <w:rFonts w:asciiTheme="majorHAnsi" w:hAnsiTheme="majorHAnsi"/>
          <w:sz w:val="21"/>
          <w:szCs w:val="21"/>
        </w:rPr>
        <w:t>n</w:t>
      </w:r>
      <w:r w:rsidR="001C397B">
        <w:rPr>
          <w:rFonts w:asciiTheme="majorHAnsi" w:hAnsiTheme="majorHAnsi"/>
          <w:sz w:val="21"/>
          <w:szCs w:val="21"/>
        </w:rPr>
        <w:t>ë</w:t>
      </w:r>
      <w:r>
        <w:rPr>
          <w:rFonts w:asciiTheme="majorHAnsi" w:hAnsiTheme="majorHAnsi"/>
          <w:sz w:val="21"/>
          <w:szCs w:val="21"/>
        </w:rPr>
        <w:t>nshtrohet rregullave t</w:t>
      </w:r>
      <w:r w:rsidR="001C397B">
        <w:rPr>
          <w:rFonts w:asciiTheme="majorHAnsi" w:hAnsiTheme="majorHAnsi"/>
          <w:sz w:val="21"/>
          <w:szCs w:val="21"/>
        </w:rPr>
        <w:t>ë</w:t>
      </w:r>
      <w:r>
        <w:rPr>
          <w:rFonts w:asciiTheme="majorHAnsi" w:hAnsiTheme="majorHAnsi"/>
          <w:sz w:val="21"/>
          <w:szCs w:val="21"/>
        </w:rPr>
        <w:t xml:space="preserve"> mbik</w:t>
      </w:r>
      <w:r w:rsidR="001C397B">
        <w:rPr>
          <w:rFonts w:asciiTheme="majorHAnsi" w:hAnsiTheme="majorHAnsi"/>
          <w:sz w:val="21"/>
          <w:szCs w:val="21"/>
        </w:rPr>
        <w:t>ë</w:t>
      </w:r>
      <w:r>
        <w:rPr>
          <w:rFonts w:asciiTheme="majorHAnsi" w:hAnsiTheme="majorHAnsi"/>
          <w:sz w:val="21"/>
          <w:szCs w:val="21"/>
        </w:rPr>
        <w:t xml:space="preserve">qyrjes dhe kontrollit </w:t>
      </w:r>
      <w:r w:rsidR="001C397B">
        <w:rPr>
          <w:rFonts w:asciiTheme="majorHAnsi" w:hAnsiTheme="majorHAnsi"/>
          <w:sz w:val="21"/>
          <w:szCs w:val="21"/>
        </w:rPr>
        <w:t>konform legjislacionit në fuqi</w:t>
      </w:r>
      <w:r w:rsidR="00572524">
        <w:rPr>
          <w:rFonts w:asciiTheme="majorHAnsi" w:hAnsiTheme="majorHAnsi"/>
          <w:sz w:val="21"/>
          <w:szCs w:val="21"/>
        </w:rPr>
        <w:t xml:space="preserve"> p</w:t>
      </w:r>
      <w:r w:rsidR="00DC0362">
        <w:rPr>
          <w:rFonts w:asciiTheme="majorHAnsi" w:hAnsiTheme="majorHAnsi"/>
          <w:sz w:val="21"/>
          <w:szCs w:val="21"/>
        </w:rPr>
        <w:t>ë</w:t>
      </w:r>
      <w:r w:rsidR="00572524">
        <w:rPr>
          <w:rFonts w:asciiTheme="majorHAnsi" w:hAnsiTheme="majorHAnsi"/>
          <w:sz w:val="21"/>
          <w:szCs w:val="21"/>
        </w:rPr>
        <w:t>r menaxhimin e financave publike dhe rregullave t</w:t>
      </w:r>
      <w:r w:rsidR="00DC0362">
        <w:rPr>
          <w:rFonts w:asciiTheme="majorHAnsi" w:hAnsiTheme="majorHAnsi"/>
          <w:sz w:val="21"/>
          <w:szCs w:val="21"/>
        </w:rPr>
        <w:t>ë</w:t>
      </w:r>
      <w:r w:rsidR="00572524">
        <w:rPr>
          <w:rFonts w:asciiTheme="majorHAnsi" w:hAnsiTheme="majorHAnsi"/>
          <w:sz w:val="21"/>
          <w:szCs w:val="21"/>
        </w:rPr>
        <w:t xml:space="preserve"> grantit</w:t>
      </w:r>
      <w:r w:rsidR="00876839">
        <w:rPr>
          <w:rFonts w:asciiTheme="majorHAnsi" w:hAnsiTheme="majorHAnsi"/>
          <w:sz w:val="21"/>
          <w:szCs w:val="21"/>
        </w:rPr>
        <w:t xml:space="preserve"> të performancës komunale</w:t>
      </w:r>
      <w:r w:rsidR="001C397B">
        <w:rPr>
          <w:rFonts w:asciiTheme="majorHAnsi" w:hAnsiTheme="majorHAnsi"/>
          <w:sz w:val="21"/>
          <w:szCs w:val="21"/>
        </w:rPr>
        <w:t>.</w:t>
      </w:r>
    </w:p>
    <w:p w14:paraId="2B693EBD" w14:textId="77777777" w:rsidR="00CD79F5" w:rsidRDefault="00CD79F5" w:rsidP="00CD79F5">
      <w:pPr>
        <w:rPr>
          <w:rFonts w:asciiTheme="majorHAnsi" w:hAnsiTheme="majorHAnsi"/>
          <w:b/>
          <w:color w:val="C0504D"/>
          <w:sz w:val="28"/>
          <w:szCs w:val="28"/>
        </w:rPr>
      </w:pPr>
    </w:p>
    <w:p w14:paraId="7F9898DF" w14:textId="77777777" w:rsidR="00CD79F5" w:rsidRPr="004D2E1C" w:rsidRDefault="00CD79F5" w:rsidP="00CD79F5">
      <w:pPr>
        <w:pStyle w:val="Heading1"/>
        <w:numPr>
          <w:ilvl w:val="1"/>
          <w:numId w:val="6"/>
        </w:numPr>
        <w:tabs>
          <w:tab w:val="left" w:pos="540"/>
        </w:tabs>
        <w:ind w:hanging="1800"/>
        <w:rPr>
          <w:rFonts w:asciiTheme="majorHAnsi" w:hAnsiTheme="majorHAnsi"/>
          <w:color w:val="C0504D"/>
          <w:szCs w:val="28"/>
          <w:lang w:val="sq-AL"/>
        </w:rPr>
      </w:pPr>
      <w:bookmarkStart w:id="42" w:name="_Toc61062526"/>
      <w:r w:rsidRPr="004D2E1C">
        <w:rPr>
          <w:rFonts w:asciiTheme="majorHAnsi" w:hAnsiTheme="majorHAnsi"/>
          <w:color w:val="C0504D"/>
          <w:szCs w:val="28"/>
          <w:lang w:val="sq-AL"/>
        </w:rPr>
        <w:t xml:space="preserve">Auditimi i grantit të </w:t>
      </w:r>
      <w:r w:rsidR="00674C44">
        <w:rPr>
          <w:rFonts w:asciiTheme="majorHAnsi" w:hAnsiTheme="majorHAnsi"/>
          <w:color w:val="C0504D"/>
          <w:szCs w:val="28"/>
          <w:lang w:val="sq-AL"/>
        </w:rPr>
        <w:t>performancës komunale</w:t>
      </w:r>
      <w:bookmarkEnd w:id="42"/>
    </w:p>
    <w:p w14:paraId="1C2D9667"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Shpenzimet </w:t>
      </w:r>
      <w:r w:rsidR="007B1D25">
        <w:rPr>
          <w:rFonts w:asciiTheme="majorHAnsi" w:hAnsiTheme="majorHAnsi"/>
          <w:sz w:val="21"/>
          <w:szCs w:val="21"/>
        </w:rPr>
        <w:t xml:space="preserve">e </w:t>
      </w:r>
      <w:r w:rsidR="00F45DF8">
        <w:rPr>
          <w:rFonts w:asciiTheme="majorHAnsi" w:hAnsiTheme="majorHAnsi"/>
          <w:sz w:val="21"/>
          <w:szCs w:val="21"/>
        </w:rPr>
        <w:t>GPK</w:t>
      </w:r>
      <w:r w:rsidR="007B1D25">
        <w:rPr>
          <w:rFonts w:asciiTheme="majorHAnsi" w:hAnsiTheme="majorHAnsi"/>
          <w:sz w:val="21"/>
          <w:szCs w:val="21"/>
        </w:rPr>
        <w:t>-së</w:t>
      </w:r>
      <w:r w:rsidRPr="004D2E1C">
        <w:rPr>
          <w:rFonts w:asciiTheme="majorHAnsi" w:hAnsiTheme="majorHAnsi"/>
          <w:sz w:val="21"/>
          <w:szCs w:val="21"/>
        </w:rPr>
        <w:t xml:space="preserve"> </w:t>
      </w:r>
      <w:r w:rsidR="00964A0B">
        <w:rPr>
          <w:rFonts w:asciiTheme="majorHAnsi" w:hAnsiTheme="majorHAnsi"/>
          <w:sz w:val="21"/>
          <w:szCs w:val="21"/>
        </w:rPr>
        <w:t xml:space="preserve">mund të </w:t>
      </w:r>
      <w:r w:rsidRPr="004D2E1C">
        <w:rPr>
          <w:rFonts w:asciiTheme="majorHAnsi" w:hAnsiTheme="majorHAnsi"/>
          <w:sz w:val="21"/>
          <w:szCs w:val="21"/>
        </w:rPr>
        <w:t xml:space="preserve">auditohen si pjesë e auditimit të rregullt nga Zyra Kombëtare e Auditimit. </w:t>
      </w:r>
    </w:p>
    <w:p w14:paraId="1BEFBCC5" w14:textId="5F42E76C" w:rsidR="00CD79F5" w:rsidRPr="001D245D" w:rsidRDefault="0C164E89" w:rsidP="68878158">
      <w:pPr>
        <w:pStyle w:val="ListParagraph"/>
        <w:numPr>
          <w:ilvl w:val="0"/>
          <w:numId w:val="25"/>
        </w:numPr>
        <w:spacing w:after="0" w:line="264" w:lineRule="auto"/>
        <w:jc w:val="both"/>
        <w:rPr>
          <w:rFonts w:asciiTheme="majorHAnsi" w:hAnsiTheme="majorHAnsi"/>
          <w:sz w:val="21"/>
          <w:szCs w:val="21"/>
        </w:rPr>
      </w:pPr>
      <w:r w:rsidRPr="68878158">
        <w:rPr>
          <w:rFonts w:asciiTheme="majorHAnsi" w:hAnsiTheme="majorHAnsi"/>
          <w:sz w:val="21"/>
          <w:szCs w:val="21"/>
        </w:rPr>
        <w:t>MAPL</w:t>
      </w:r>
      <w:r w:rsidR="679A3711" w:rsidRPr="68878158">
        <w:rPr>
          <w:rFonts w:asciiTheme="majorHAnsi" w:hAnsiTheme="majorHAnsi"/>
          <w:sz w:val="21"/>
          <w:szCs w:val="21"/>
        </w:rPr>
        <w:t xml:space="preserve"> dhe </w:t>
      </w:r>
      <w:r w:rsidR="00B754CA">
        <w:rPr>
          <w:rFonts w:asciiTheme="majorHAnsi" w:hAnsiTheme="majorHAnsi"/>
          <w:sz w:val="21"/>
          <w:szCs w:val="21"/>
        </w:rPr>
        <w:t>kontributdhënësit</w:t>
      </w:r>
      <w:r w:rsidR="679A3711" w:rsidRPr="68878158">
        <w:rPr>
          <w:rFonts w:asciiTheme="majorHAnsi" w:hAnsiTheme="majorHAnsi"/>
          <w:sz w:val="21"/>
          <w:szCs w:val="21"/>
        </w:rPr>
        <w:t xml:space="preserve"> mund t</w:t>
      </w:r>
      <w:r w:rsidR="25D38ECE" w:rsidRPr="68878158">
        <w:rPr>
          <w:rFonts w:asciiTheme="majorHAnsi" w:hAnsiTheme="majorHAnsi"/>
          <w:sz w:val="21"/>
          <w:szCs w:val="21"/>
        </w:rPr>
        <w:t>ë</w:t>
      </w:r>
      <w:r w:rsidR="679A3711" w:rsidRPr="68878158">
        <w:rPr>
          <w:rFonts w:asciiTheme="majorHAnsi" w:hAnsiTheme="majorHAnsi"/>
          <w:sz w:val="21"/>
          <w:szCs w:val="21"/>
        </w:rPr>
        <w:t xml:space="preserve"> </w:t>
      </w:r>
      <w:r w:rsidR="4CCC14E4" w:rsidRPr="68878158">
        <w:rPr>
          <w:rFonts w:asciiTheme="majorHAnsi" w:hAnsiTheme="majorHAnsi"/>
          <w:sz w:val="21"/>
          <w:szCs w:val="21"/>
        </w:rPr>
        <w:t>dakordohen q</w:t>
      </w:r>
      <w:r w:rsidR="25D38ECE" w:rsidRPr="68878158">
        <w:rPr>
          <w:rFonts w:asciiTheme="majorHAnsi" w:hAnsiTheme="majorHAnsi"/>
          <w:sz w:val="21"/>
          <w:szCs w:val="21"/>
        </w:rPr>
        <w:t>ë</w:t>
      </w:r>
      <w:r w:rsidR="4CCC14E4" w:rsidRPr="68878158">
        <w:rPr>
          <w:rFonts w:asciiTheme="majorHAnsi" w:hAnsiTheme="majorHAnsi"/>
          <w:sz w:val="21"/>
          <w:szCs w:val="21"/>
        </w:rPr>
        <w:t xml:space="preserve"> t</w:t>
      </w:r>
      <w:r w:rsidR="25D38ECE" w:rsidRPr="68878158">
        <w:rPr>
          <w:rFonts w:asciiTheme="majorHAnsi" w:hAnsiTheme="majorHAnsi"/>
          <w:sz w:val="21"/>
          <w:szCs w:val="21"/>
        </w:rPr>
        <w:t>ë</w:t>
      </w:r>
      <w:r w:rsidR="4CCC14E4" w:rsidRPr="68878158">
        <w:rPr>
          <w:rFonts w:asciiTheme="majorHAnsi" w:hAnsiTheme="majorHAnsi"/>
          <w:sz w:val="21"/>
          <w:szCs w:val="21"/>
        </w:rPr>
        <w:t xml:space="preserve"> b</w:t>
      </w:r>
      <w:r w:rsidR="25D38ECE" w:rsidRPr="68878158">
        <w:rPr>
          <w:rFonts w:asciiTheme="majorHAnsi" w:hAnsiTheme="majorHAnsi"/>
          <w:sz w:val="21"/>
          <w:szCs w:val="21"/>
        </w:rPr>
        <w:t>ë</w:t>
      </w:r>
      <w:r w:rsidR="4CCC14E4" w:rsidRPr="68878158">
        <w:rPr>
          <w:rFonts w:asciiTheme="majorHAnsi" w:hAnsiTheme="majorHAnsi"/>
          <w:sz w:val="21"/>
          <w:szCs w:val="21"/>
        </w:rPr>
        <w:t>het nj</w:t>
      </w:r>
      <w:r w:rsidR="25D38ECE" w:rsidRPr="68878158">
        <w:rPr>
          <w:rFonts w:asciiTheme="majorHAnsi" w:hAnsiTheme="majorHAnsi"/>
          <w:sz w:val="21"/>
          <w:szCs w:val="21"/>
        </w:rPr>
        <w:t>ë</w:t>
      </w:r>
      <w:r w:rsidR="4CCC14E4" w:rsidRPr="68878158">
        <w:rPr>
          <w:rFonts w:asciiTheme="majorHAnsi" w:hAnsiTheme="majorHAnsi"/>
          <w:sz w:val="21"/>
          <w:szCs w:val="21"/>
        </w:rPr>
        <w:t xml:space="preserve"> </w:t>
      </w:r>
      <w:r w:rsidR="13C00BF8" w:rsidRPr="68878158">
        <w:rPr>
          <w:rFonts w:asciiTheme="majorHAnsi" w:hAnsiTheme="majorHAnsi"/>
          <w:i/>
          <w:iCs/>
          <w:sz w:val="21"/>
          <w:szCs w:val="21"/>
        </w:rPr>
        <w:t>auditim vjetor i posaçëm</w:t>
      </w:r>
      <w:r w:rsidR="679A3711" w:rsidRPr="68878158">
        <w:rPr>
          <w:rFonts w:asciiTheme="majorHAnsi" w:hAnsiTheme="majorHAnsi"/>
          <w:i/>
          <w:iCs/>
          <w:sz w:val="21"/>
          <w:szCs w:val="21"/>
        </w:rPr>
        <w:t>,</w:t>
      </w:r>
      <w:r w:rsidR="13C00BF8" w:rsidRPr="68878158">
        <w:rPr>
          <w:rFonts w:asciiTheme="majorHAnsi" w:hAnsiTheme="majorHAnsi"/>
          <w:sz w:val="21"/>
          <w:szCs w:val="21"/>
        </w:rPr>
        <w:t xml:space="preserve"> për të </w:t>
      </w:r>
      <w:r w:rsidR="2FAF73B2" w:rsidRPr="68878158">
        <w:rPr>
          <w:rFonts w:asciiTheme="majorHAnsi" w:hAnsiTheme="majorHAnsi"/>
          <w:sz w:val="21"/>
          <w:szCs w:val="21"/>
        </w:rPr>
        <w:t xml:space="preserve">shqyrtuar </w:t>
      </w:r>
      <w:r w:rsidR="4C6C615B" w:rsidRPr="68878158">
        <w:rPr>
          <w:rFonts w:asciiTheme="majorHAnsi" w:hAnsiTheme="majorHAnsi"/>
          <w:sz w:val="21"/>
          <w:szCs w:val="21"/>
        </w:rPr>
        <w:t>aspekte</w:t>
      </w:r>
      <w:r w:rsidR="4CCC14E4" w:rsidRPr="68878158">
        <w:rPr>
          <w:rFonts w:asciiTheme="majorHAnsi" w:hAnsiTheme="majorHAnsi"/>
          <w:sz w:val="21"/>
          <w:szCs w:val="21"/>
        </w:rPr>
        <w:t xml:space="preserve"> t</w:t>
      </w:r>
      <w:r w:rsidR="25D38ECE" w:rsidRPr="68878158">
        <w:rPr>
          <w:rFonts w:asciiTheme="majorHAnsi" w:hAnsiTheme="majorHAnsi"/>
          <w:sz w:val="21"/>
          <w:szCs w:val="21"/>
        </w:rPr>
        <w:t>ë</w:t>
      </w:r>
      <w:r w:rsidR="4CCC14E4" w:rsidRPr="68878158">
        <w:rPr>
          <w:rFonts w:asciiTheme="majorHAnsi" w:hAnsiTheme="majorHAnsi"/>
          <w:sz w:val="21"/>
          <w:szCs w:val="21"/>
        </w:rPr>
        <w:t xml:space="preserve"> caktuara </w:t>
      </w:r>
      <w:r w:rsidR="13C00BF8" w:rsidRPr="68878158">
        <w:rPr>
          <w:rFonts w:asciiTheme="majorHAnsi" w:hAnsiTheme="majorHAnsi"/>
          <w:sz w:val="21"/>
          <w:szCs w:val="21"/>
        </w:rPr>
        <w:t xml:space="preserve">në lidhje me </w:t>
      </w:r>
      <w:r w:rsidR="6BB2BCBB" w:rsidRPr="68878158">
        <w:rPr>
          <w:rFonts w:asciiTheme="majorHAnsi" w:hAnsiTheme="majorHAnsi"/>
          <w:sz w:val="21"/>
          <w:szCs w:val="21"/>
        </w:rPr>
        <w:t>GPK</w:t>
      </w:r>
      <w:r w:rsidR="679A3711" w:rsidRPr="68878158">
        <w:rPr>
          <w:rFonts w:asciiTheme="majorHAnsi" w:hAnsiTheme="majorHAnsi"/>
          <w:sz w:val="21"/>
          <w:szCs w:val="21"/>
        </w:rPr>
        <w:t>. Audi</w:t>
      </w:r>
      <w:r w:rsidR="77A4AD11" w:rsidRPr="68878158">
        <w:rPr>
          <w:rFonts w:asciiTheme="majorHAnsi" w:hAnsiTheme="majorHAnsi"/>
          <w:sz w:val="21"/>
          <w:szCs w:val="21"/>
        </w:rPr>
        <w:t>ti</w:t>
      </w:r>
      <w:r w:rsidR="679A3711" w:rsidRPr="68878158">
        <w:rPr>
          <w:rFonts w:asciiTheme="majorHAnsi" w:hAnsiTheme="majorHAnsi"/>
          <w:sz w:val="21"/>
          <w:szCs w:val="21"/>
        </w:rPr>
        <w:t>mi mund t</w:t>
      </w:r>
      <w:r w:rsidR="25D38ECE" w:rsidRPr="68878158">
        <w:rPr>
          <w:rFonts w:asciiTheme="majorHAnsi" w:hAnsiTheme="majorHAnsi"/>
          <w:sz w:val="21"/>
          <w:szCs w:val="21"/>
        </w:rPr>
        <w:t>ë</w:t>
      </w:r>
      <w:r w:rsidR="679A3711" w:rsidRPr="68878158">
        <w:rPr>
          <w:rFonts w:asciiTheme="majorHAnsi" w:hAnsiTheme="majorHAnsi"/>
          <w:sz w:val="21"/>
          <w:szCs w:val="21"/>
        </w:rPr>
        <w:t xml:space="preserve"> p</w:t>
      </w:r>
      <w:r w:rsidR="25D38ECE" w:rsidRPr="68878158">
        <w:rPr>
          <w:rFonts w:asciiTheme="majorHAnsi" w:hAnsiTheme="majorHAnsi"/>
          <w:sz w:val="21"/>
          <w:szCs w:val="21"/>
        </w:rPr>
        <w:t>ë</w:t>
      </w:r>
      <w:r w:rsidR="679A3711" w:rsidRPr="68878158">
        <w:rPr>
          <w:rFonts w:asciiTheme="majorHAnsi" w:hAnsiTheme="majorHAnsi"/>
          <w:sz w:val="21"/>
          <w:szCs w:val="21"/>
        </w:rPr>
        <w:t>rfshij</w:t>
      </w:r>
      <w:r w:rsidR="25D38ECE" w:rsidRPr="68878158">
        <w:rPr>
          <w:rFonts w:asciiTheme="majorHAnsi" w:hAnsiTheme="majorHAnsi"/>
          <w:sz w:val="21"/>
          <w:szCs w:val="21"/>
        </w:rPr>
        <w:t>ë</w:t>
      </w:r>
      <w:r w:rsidR="679A3711" w:rsidRPr="68878158">
        <w:rPr>
          <w:rFonts w:asciiTheme="majorHAnsi" w:hAnsiTheme="majorHAnsi"/>
          <w:sz w:val="21"/>
          <w:szCs w:val="21"/>
        </w:rPr>
        <w:t xml:space="preserve"> </w:t>
      </w:r>
      <w:r w:rsidR="00DE654F">
        <w:rPr>
          <w:rFonts w:asciiTheme="majorHAnsi" w:hAnsiTheme="majorHAnsi"/>
          <w:sz w:val="21"/>
          <w:szCs w:val="21"/>
        </w:rPr>
        <w:t xml:space="preserve">fuknksionimin e GPK-së, </w:t>
      </w:r>
      <w:r w:rsidR="13C00BF8" w:rsidRPr="68878158">
        <w:rPr>
          <w:rFonts w:asciiTheme="majorHAnsi" w:hAnsiTheme="majorHAnsi"/>
          <w:sz w:val="21"/>
          <w:szCs w:val="21"/>
        </w:rPr>
        <w:t xml:space="preserve">proceset e prokurimit, procedurat </w:t>
      </w:r>
      <w:r w:rsidR="679A3711" w:rsidRPr="68878158">
        <w:rPr>
          <w:rFonts w:asciiTheme="majorHAnsi" w:hAnsiTheme="majorHAnsi"/>
          <w:sz w:val="21"/>
          <w:szCs w:val="21"/>
        </w:rPr>
        <w:t xml:space="preserve">e pranimit </w:t>
      </w:r>
      <w:r w:rsidR="13C00BF8" w:rsidRPr="68878158">
        <w:rPr>
          <w:rFonts w:asciiTheme="majorHAnsi" w:hAnsiTheme="majorHAnsi"/>
          <w:sz w:val="21"/>
          <w:szCs w:val="21"/>
        </w:rPr>
        <w:t>teknik të shërbimeve, pagesat</w:t>
      </w:r>
      <w:r w:rsidR="35CEE950" w:rsidRPr="68878158">
        <w:rPr>
          <w:rFonts w:asciiTheme="majorHAnsi" w:hAnsiTheme="majorHAnsi"/>
          <w:sz w:val="21"/>
          <w:szCs w:val="21"/>
        </w:rPr>
        <w:t>,</w:t>
      </w:r>
      <w:r w:rsidR="13C00BF8" w:rsidRPr="68878158">
        <w:rPr>
          <w:rFonts w:asciiTheme="majorHAnsi" w:hAnsiTheme="majorHAnsi"/>
          <w:sz w:val="21"/>
          <w:szCs w:val="21"/>
        </w:rPr>
        <w:t xml:space="preserve"> etj. Detajet për këtë auditim</w:t>
      </w:r>
      <w:r w:rsidR="13C00BF8" w:rsidRPr="68878158">
        <w:rPr>
          <w:rFonts w:asciiTheme="majorHAnsi" w:hAnsiTheme="majorHAnsi"/>
          <w:i/>
          <w:iCs/>
          <w:sz w:val="21"/>
          <w:szCs w:val="21"/>
        </w:rPr>
        <w:t xml:space="preserve"> </w:t>
      </w:r>
      <w:r w:rsidR="13C00BF8" w:rsidRPr="68878158">
        <w:rPr>
          <w:rFonts w:asciiTheme="majorHAnsi" w:hAnsiTheme="majorHAnsi"/>
          <w:sz w:val="21"/>
          <w:szCs w:val="21"/>
        </w:rPr>
        <w:t xml:space="preserve">specifikohen </w:t>
      </w:r>
      <w:r w:rsidR="5D413A70" w:rsidRPr="68878158">
        <w:rPr>
          <w:rFonts w:asciiTheme="majorHAnsi" w:hAnsiTheme="majorHAnsi"/>
          <w:sz w:val="21"/>
          <w:szCs w:val="21"/>
        </w:rPr>
        <w:t xml:space="preserve">në bashkëpunim me </w:t>
      </w:r>
      <w:r w:rsidR="00B754CA">
        <w:rPr>
          <w:rFonts w:asciiTheme="majorHAnsi" w:hAnsiTheme="majorHAnsi"/>
          <w:sz w:val="21"/>
          <w:szCs w:val="21"/>
        </w:rPr>
        <w:t>kontributdhënësit</w:t>
      </w:r>
      <w:r w:rsidR="13C00BF8" w:rsidRPr="68878158">
        <w:rPr>
          <w:rFonts w:asciiTheme="majorHAnsi" w:hAnsiTheme="majorHAnsi"/>
          <w:sz w:val="21"/>
          <w:szCs w:val="21"/>
        </w:rPr>
        <w:t>.</w:t>
      </w:r>
    </w:p>
    <w:p w14:paraId="3337DB62" w14:textId="6A8FD0F2" w:rsidR="00BC0788" w:rsidRDefault="679A3711" w:rsidP="00BC0788">
      <w:pPr>
        <w:pStyle w:val="ListParagraph"/>
        <w:numPr>
          <w:ilvl w:val="0"/>
          <w:numId w:val="24"/>
        </w:numPr>
        <w:spacing w:after="0" w:line="264" w:lineRule="auto"/>
        <w:jc w:val="both"/>
        <w:rPr>
          <w:rFonts w:asciiTheme="majorHAnsi" w:hAnsiTheme="majorHAnsi"/>
          <w:sz w:val="21"/>
          <w:szCs w:val="21"/>
        </w:rPr>
      </w:pPr>
      <w:r w:rsidRPr="68878158">
        <w:rPr>
          <w:rFonts w:asciiTheme="majorHAnsi" w:hAnsiTheme="majorHAnsi"/>
          <w:sz w:val="21"/>
          <w:szCs w:val="21"/>
        </w:rPr>
        <w:t>N</w:t>
      </w:r>
      <w:r w:rsidR="25D38ECE" w:rsidRPr="68878158">
        <w:rPr>
          <w:rFonts w:asciiTheme="majorHAnsi" w:hAnsiTheme="majorHAnsi"/>
          <w:sz w:val="21"/>
          <w:szCs w:val="21"/>
        </w:rPr>
        <w:t>ë</w:t>
      </w:r>
      <w:r w:rsidRPr="68878158">
        <w:rPr>
          <w:rFonts w:asciiTheme="majorHAnsi" w:hAnsiTheme="majorHAnsi"/>
          <w:sz w:val="21"/>
          <w:szCs w:val="21"/>
        </w:rPr>
        <w:t xml:space="preserve"> rast t</w:t>
      </w:r>
      <w:r w:rsidR="25D38ECE" w:rsidRPr="68878158">
        <w:rPr>
          <w:rFonts w:asciiTheme="majorHAnsi" w:hAnsiTheme="majorHAnsi"/>
          <w:sz w:val="21"/>
          <w:szCs w:val="21"/>
        </w:rPr>
        <w:t>ë</w:t>
      </w:r>
      <w:r w:rsidRPr="68878158">
        <w:rPr>
          <w:rFonts w:asciiTheme="majorHAnsi" w:hAnsiTheme="majorHAnsi"/>
          <w:sz w:val="21"/>
          <w:szCs w:val="21"/>
        </w:rPr>
        <w:t xml:space="preserve"> konstatimit t</w:t>
      </w:r>
      <w:r w:rsidR="25D38ECE" w:rsidRPr="68878158">
        <w:rPr>
          <w:rFonts w:asciiTheme="majorHAnsi" w:hAnsiTheme="majorHAnsi"/>
          <w:sz w:val="21"/>
          <w:szCs w:val="21"/>
        </w:rPr>
        <w:t>ë</w:t>
      </w:r>
      <w:r w:rsidRPr="68878158">
        <w:rPr>
          <w:rFonts w:asciiTheme="majorHAnsi" w:hAnsiTheme="majorHAnsi"/>
          <w:sz w:val="21"/>
          <w:szCs w:val="21"/>
        </w:rPr>
        <w:t xml:space="preserve"> shkeljeve dhe parregullsive t</w:t>
      </w:r>
      <w:r w:rsidR="25D38ECE" w:rsidRPr="68878158">
        <w:rPr>
          <w:rFonts w:asciiTheme="majorHAnsi" w:hAnsiTheme="majorHAnsi"/>
          <w:sz w:val="21"/>
          <w:szCs w:val="21"/>
        </w:rPr>
        <w:t>ë</w:t>
      </w:r>
      <w:r w:rsidRPr="68878158">
        <w:rPr>
          <w:rFonts w:asciiTheme="majorHAnsi" w:hAnsiTheme="majorHAnsi"/>
          <w:sz w:val="21"/>
          <w:szCs w:val="21"/>
        </w:rPr>
        <w:t xml:space="preserve"> evidentuara nga </w:t>
      </w:r>
      <w:r w:rsidR="00876839">
        <w:rPr>
          <w:rFonts w:asciiTheme="majorHAnsi" w:hAnsiTheme="majorHAnsi"/>
          <w:sz w:val="21"/>
          <w:szCs w:val="21"/>
        </w:rPr>
        <w:t>auditimit</w:t>
      </w:r>
      <w:r w:rsidR="6BB2BCBB" w:rsidRPr="68878158">
        <w:rPr>
          <w:rFonts w:asciiTheme="majorHAnsi" w:hAnsiTheme="majorHAnsi"/>
          <w:sz w:val="21"/>
          <w:szCs w:val="21"/>
        </w:rPr>
        <w:t>,</w:t>
      </w:r>
      <w:r w:rsidR="25D38ECE" w:rsidRPr="68878158">
        <w:rPr>
          <w:rFonts w:asciiTheme="majorHAnsi" w:hAnsiTheme="majorHAnsi"/>
          <w:sz w:val="21"/>
          <w:szCs w:val="21"/>
        </w:rPr>
        <w:t xml:space="preserve"> si keqdeklarime materiale</w:t>
      </w:r>
      <w:r w:rsidRPr="68878158">
        <w:rPr>
          <w:rFonts w:asciiTheme="majorHAnsi" w:hAnsiTheme="majorHAnsi"/>
          <w:sz w:val="21"/>
          <w:szCs w:val="21"/>
        </w:rPr>
        <w:t xml:space="preserve">, </w:t>
      </w:r>
      <w:r w:rsidR="75DA8717" w:rsidRPr="68878158">
        <w:rPr>
          <w:rFonts w:asciiTheme="majorHAnsi" w:hAnsiTheme="majorHAnsi"/>
          <w:sz w:val="21"/>
          <w:szCs w:val="21"/>
        </w:rPr>
        <w:t>MAPL</w:t>
      </w:r>
      <w:r w:rsidR="5746A1DA" w:rsidRPr="68878158">
        <w:rPr>
          <w:rFonts w:asciiTheme="majorHAnsi" w:hAnsiTheme="majorHAnsi"/>
          <w:sz w:val="21"/>
          <w:szCs w:val="21"/>
        </w:rPr>
        <w:t xml:space="preserve"> dhe </w:t>
      </w:r>
      <w:r w:rsidR="00B754CA">
        <w:rPr>
          <w:rFonts w:asciiTheme="majorHAnsi" w:hAnsiTheme="majorHAnsi"/>
          <w:sz w:val="21"/>
          <w:szCs w:val="21"/>
        </w:rPr>
        <w:t>kontributdhënësit</w:t>
      </w:r>
      <w:r w:rsidR="5746A1DA" w:rsidRPr="68878158">
        <w:rPr>
          <w:rFonts w:asciiTheme="majorHAnsi" w:hAnsiTheme="majorHAnsi"/>
          <w:sz w:val="21"/>
          <w:szCs w:val="21"/>
        </w:rPr>
        <w:t xml:space="preserve"> </w:t>
      </w:r>
      <w:r w:rsidRPr="68878158">
        <w:rPr>
          <w:rFonts w:asciiTheme="majorHAnsi" w:hAnsiTheme="majorHAnsi"/>
          <w:sz w:val="21"/>
          <w:szCs w:val="21"/>
        </w:rPr>
        <w:t>mund t</w:t>
      </w:r>
      <w:r w:rsidR="25D38ECE" w:rsidRPr="68878158">
        <w:rPr>
          <w:rFonts w:asciiTheme="majorHAnsi" w:hAnsiTheme="majorHAnsi"/>
          <w:sz w:val="21"/>
          <w:szCs w:val="21"/>
        </w:rPr>
        <w:t>ë</w:t>
      </w:r>
      <w:r w:rsidRPr="68878158">
        <w:rPr>
          <w:rFonts w:asciiTheme="majorHAnsi" w:hAnsiTheme="majorHAnsi"/>
          <w:sz w:val="21"/>
          <w:szCs w:val="21"/>
        </w:rPr>
        <w:t xml:space="preserve"> </w:t>
      </w:r>
      <w:r w:rsidR="5746A1DA" w:rsidRPr="68878158">
        <w:rPr>
          <w:rFonts w:asciiTheme="majorHAnsi" w:hAnsiTheme="majorHAnsi"/>
          <w:sz w:val="21"/>
          <w:szCs w:val="21"/>
        </w:rPr>
        <w:t>vendosin p</w:t>
      </w:r>
      <w:r w:rsidR="25D38ECE" w:rsidRPr="68878158">
        <w:rPr>
          <w:rFonts w:asciiTheme="majorHAnsi" w:hAnsiTheme="majorHAnsi"/>
          <w:sz w:val="21"/>
          <w:szCs w:val="21"/>
        </w:rPr>
        <w:t>ë</w:t>
      </w:r>
      <w:r w:rsidR="5746A1DA" w:rsidRPr="68878158">
        <w:rPr>
          <w:rFonts w:asciiTheme="majorHAnsi" w:hAnsiTheme="majorHAnsi"/>
          <w:sz w:val="21"/>
          <w:szCs w:val="21"/>
        </w:rPr>
        <w:t>r p</w:t>
      </w:r>
      <w:r w:rsidR="25D38ECE" w:rsidRPr="68878158">
        <w:rPr>
          <w:rFonts w:asciiTheme="majorHAnsi" w:hAnsiTheme="majorHAnsi"/>
          <w:sz w:val="21"/>
          <w:szCs w:val="21"/>
        </w:rPr>
        <w:t>ë</w:t>
      </w:r>
      <w:r w:rsidR="5746A1DA" w:rsidRPr="68878158">
        <w:rPr>
          <w:rFonts w:asciiTheme="majorHAnsi" w:hAnsiTheme="majorHAnsi"/>
          <w:sz w:val="21"/>
          <w:szCs w:val="21"/>
        </w:rPr>
        <w:t>rjashtimin e komun</w:t>
      </w:r>
      <w:r w:rsidR="25D38ECE" w:rsidRPr="68878158">
        <w:rPr>
          <w:rFonts w:asciiTheme="majorHAnsi" w:hAnsiTheme="majorHAnsi"/>
          <w:sz w:val="21"/>
          <w:szCs w:val="21"/>
        </w:rPr>
        <w:t>ë</w:t>
      </w:r>
      <w:r w:rsidR="5746A1DA" w:rsidRPr="68878158">
        <w:rPr>
          <w:rFonts w:asciiTheme="majorHAnsi" w:hAnsiTheme="majorHAnsi"/>
          <w:sz w:val="21"/>
          <w:szCs w:val="21"/>
        </w:rPr>
        <w:t xml:space="preserve">s </w:t>
      </w:r>
      <w:r w:rsidRPr="68878158">
        <w:rPr>
          <w:rFonts w:asciiTheme="majorHAnsi" w:hAnsiTheme="majorHAnsi"/>
          <w:sz w:val="21"/>
          <w:szCs w:val="21"/>
        </w:rPr>
        <w:t xml:space="preserve">nga e drejta </w:t>
      </w:r>
      <w:r w:rsidR="7959A0BC" w:rsidRPr="68878158">
        <w:rPr>
          <w:rFonts w:asciiTheme="majorHAnsi" w:hAnsiTheme="majorHAnsi"/>
          <w:sz w:val="21"/>
          <w:szCs w:val="21"/>
        </w:rPr>
        <w:t>e p</w:t>
      </w:r>
      <w:r w:rsidR="25D38ECE" w:rsidRPr="68878158">
        <w:rPr>
          <w:rFonts w:asciiTheme="majorHAnsi" w:hAnsiTheme="majorHAnsi"/>
          <w:sz w:val="21"/>
          <w:szCs w:val="21"/>
        </w:rPr>
        <w:t>ë</w:t>
      </w:r>
      <w:r w:rsidR="7959A0BC" w:rsidRPr="68878158">
        <w:rPr>
          <w:rFonts w:asciiTheme="majorHAnsi" w:hAnsiTheme="majorHAnsi"/>
          <w:sz w:val="21"/>
          <w:szCs w:val="21"/>
        </w:rPr>
        <w:t>rfitimit t</w:t>
      </w:r>
      <w:r w:rsidR="25D38ECE" w:rsidRPr="68878158">
        <w:rPr>
          <w:rFonts w:asciiTheme="majorHAnsi" w:hAnsiTheme="majorHAnsi"/>
          <w:sz w:val="21"/>
          <w:szCs w:val="21"/>
        </w:rPr>
        <w:t>ë</w:t>
      </w:r>
      <w:r w:rsidR="7959A0BC" w:rsidRPr="68878158">
        <w:rPr>
          <w:rFonts w:asciiTheme="majorHAnsi" w:hAnsiTheme="majorHAnsi"/>
          <w:sz w:val="21"/>
          <w:szCs w:val="21"/>
        </w:rPr>
        <w:t xml:space="preserve"> grantit p</w:t>
      </w:r>
      <w:r w:rsidR="25D38ECE" w:rsidRPr="68878158">
        <w:rPr>
          <w:rFonts w:asciiTheme="majorHAnsi" w:hAnsiTheme="majorHAnsi"/>
          <w:sz w:val="21"/>
          <w:szCs w:val="21"/>
        </w:rPr>
        <w:t>ë</w:t>
      </w:r>
      <w:r w:rsidR="7959A0BC" w:rsidRPr="68878158">
        <w:rPr>
          <w:rFonts w:asciiTheme="majorHAnsi" w:hAnsiTheme="majorHAnsi"/>
          <w:sz w:val="21"/>
          <w:szCs w:val="21"/>
        </w:rPr>
        <w:t>r nj</w:t>
      </w:r>
      <w:r w:rsidR="25D38ECE" w:rsidRPr="68878158">
        <w:rPr>
          <w:rFonts w:asciiTheme="majorHAnsi" w:hAnsiTheme="majorHAnsi"/>
          <w:sz w:val="21"/>
          <w:szCs w:val="21"/>
        </w:rPr>
        <w:t>ë</w:t>
      </w:r>
      <w:r w:rsidR="7959A0BC" w:rsidRPr="68878158">
        <w:rPr>
          <w:rFonts w:asciiTheme="majorHAnsi" w:hAnsiTheme="majorHAnsi"/>
          <w:sz w:val="21"/>
          <w:szCs w:val="21"/>
        </w:rPr>
        <w:t xml:space="preserve"> periudh</w:t>
      </w:r>
      <w:r w:rsidR="25D38ECE" w:rsidRPr="68878158">
        <w:rPr>
          <w:rFonts w:asciiTheme="majorHAnsi" w:hAnsiTheme="majorHAnsi"/>
          <w:sz w:val="21"/>
          <w:szCs w:val="21"/>
        </w:rPr>
        <w:t>ë</w:t>
      </w:r>
      <w:r w:rsidR="7959A0BC" w:rsidRPr="68878158">
        <w:rPr>
          <w:rFonts w:asciiTheme="majorHAnsi" w:hAnsiTheme="majorHAnsi"/>
          <w:sz w:val="21"/>
          <w:szCs w:val="21"/>
        </w:rPr>
        <w:t xml:space="preserve"> t</w:t>
      </w:r>
      <w:r w:rsidR="25D38ECE" w:rsidRPr="68878158">
        <w:rPr>
          <w:rFonts w:asciiTheme="majorHAnsi" w:hAnsiTheme="majorHAnsi"/>
          <w:sz w:val="21"/>
          <w:szCs w:val="21"/>
        </w:rPr>
        <w:t>ë</w:t>
      </w:r>
      <w:r w:rsidR="7959A0BC" w:rsidRPr="68878158">
        <w:rPr>
          <w:rFonts w:asciiTheme="majorHAnsi" w:hAnsiTheme="majorHAnsi"/>
          <w:sz w:val="21"/>
          <w:szCs w:val="21"/>
        </w:rPr>
        <w:t xml:space="preserve"> caktuar</w:t>
      </w:r>
      <w:r w:rsidR="5746A1DA" w:rsidRPr="68878158">
        <w:rPr>
          <w:rFonts w:asciiTheme="majorHAnsi" w:hAnsiTheme="majorHAnsi"/>
          <w:sz w:val="21"/>
          <w:szCs w:val="21"/>
        </w:rPr>
        <w:t xml:space="preserve">, </w:t>
      </w:r>
      <w:r w:rsidR="7959A0BC" w:rsidRPr="68878158">
        <w:rPr>
          <w:rFonts w:asciiTheme="majorHAnsi" w:hAnsiTheme="majorHAnsi"/>
          <w:sz w:val="21"/>
          <w:szCs w:val="21"/>
        </w:rPr>
        <w:t>n</w:t>
      </w:r>
      <w:r w:rsidR="25D38ECE" w:rsidRPr="68878158">
        <w:rPr>
          <w:rFonts w:asciiTheme="majorHAnsi" w:hAnsiTheme="majorHAnsi"/>
          <w:sz w:val="21"/>
          <w:szCs w:val="21"/>
        </w:rPr>
        <w:t>ë</w:t>
      </w:r>
      <w:r w:rsidR="7959A0BC" w:rsidRPr="68878158">
        <w:rPr>
          <w:rFonts w:asciiTheme="majorHAnsi" w:hAnsiTheme="majorHAnsi"/>
          <w:sz w:val="21"/>
          <w:szCs w:val="21"/>
        </w:rPr>
        <w:t xml:space="preserve"> pajtim me </w:t>
      </w:r>
      <w:r w:rsidR="1C92485F" w:rsidRPr="68878158">
        <w:rPr>
          <w:rFonts w:asciiTheme="majorHAnsi" w:hAnsiTheme="majorHAnsi"/>
          <w:sz w:val="21"/>
          <w:szCs w:val="21"/>
        </w:rPr>
        <w:t>nenin 42.2 t</w:t>
      </w:r>
      <w:r w:rsidR="5A659ED2" w:rsidRPr="68878158">
        <w:rPr>
          <w:rFonts w:asciiTheme="majorHAnsi" w:hAnsiTheme="majorHAnsi"/>
          <w:sz w:val="21"/>
          <w:szCs w:val="21"/>
        </w:rPr>
        <w:t>ë</w:t>
      </w:r>
      <w:r w:rsidR="1C92485F" w:rsidRPr="68878158">
        <w:rPr>
          <w:rFonts w:asciiTheme="majorHAnsi" w:hAnsiTheme="majorHAnsi"/>
          <w:sz w:val="21"/>
          <w:szCs w:val="21"/>
        </w:rPr>
        <w:t xml:space="preserve"> Rregullores </w:t>
      </w:r>
      <w:r w:rsidR="2FF63AA9" w:rsidRPr="68878158">
        <w:rPr>
          <w:rFonts w:asciiTheme="majorHAnsi" w:hAnsiTheme="majorHAnsi"/>
          <w:sz w:val="21"/>
          <w:szCs w:val="21"/>
        </w:rPr>
        <w:t>01/2020 p</w:t>
      </w:r>
      <w:r w:rsidR="324B9C00" w:rsidRPr="68878158">
        <w:rPr>
          <w:rFonts w:asciiTheme="majorHAnsi" w:hAnsiTheme="majorHAnsi"/>
          <w:sz w:val="21"/>
          <w:szCs w:val="21"/>
        </w:rPr>
        <w:t>ë</w:t>
      </w:r>
      <w:r w:rsidR="2FF63AA9" w:rsidRPr="68878158">
        <w:rPr>
          <w:rFonts w:asciiTheme="majorHAnsi" w:hAnsiTheme="majorHAnsi"/>
          <w:sz w:val="21"/>
          <w:szCs w:val="21"/>
        </w:rPr>
        <w:t>r Sistemin e Menaxhimit t</w:t>
      </w:r>
      <w:r w:rsidR="324B9C00" w:rsidRPr="68878158">
        <w:rPr>
          <w:rFonts w:asciiTheme="majorHAnsi" w:hAnsiTheme="majorHAnsi"/>
          <w:sz w:val="21"/>
          <w:szCs w:val="21"/>
        </w:rPr>
        <w:t>ë</w:t>
      </w:r>
      <w:r w:rsidR="2FF63AA9" w:rsidRPr="68878158">
        <w:rPr>
          <w:rFonts w:asciiTheme="majorHAnsi" w:hAnsiTheme="majorHAnsi"/>
          <w:sz w:val="21"/>
          <w:szCs w:val="21"/>
        </w:rPr>
        <w:t xml:space="preserve"> Performanc</w:t>
      </w:r>
      <w:r w:rsidR="324B9C00" w:rsidRPr="68878158">
        <w:rPr>
          <w:rFonts w:asciiTheme="majorHAnsi" w:hAnsiTheme="majorHAnsi"/>
          <w:sz w:val="21"/>
          <w:szCs w:val="21"/>
        </w:rPr>
        <w:t>ë</w:t>
      </w:r>
      <w:r w:rsidR="2FF63AA9" w:rsidRPr="68878158">
        <w:rPr>
          <w:rFonts w:asciiTheme="majorHAnsi" w:hAnsiTheme="majorHAnsi"/>
          <w:sz w:val="21"/>
          <w:szCs w:val="21"/>
        </w:rPr>
        <w:t>s Komunale dhe Skem</w:t>
      </w:r>
      <w:r w:rsidR="324B9C00" w:rsidRPr="68878158">
        <w:rPr>
          <w:rFonts w:asciiTheme="majorHAnsi" w:hAnsiTheme="majorHAnsi"/>
          <w:sz w:val="21"/>
          <w:szCs w:val="21"/>
        </w:rPr>
        <w:t>ë</w:t>
      </w:r>
      <w:r w:rsidR="2FF63AA9" w:rsidRPr="68878158">
        <w:rPr>
          <w:rFonts w:asciiTheme="majorHAnsi" w:hAnsiTheme="majorHAnsi"/>
          <w:sz w:val="21"/>
          <w:szCs w:val="21"/>
        </w:rPr>
        <w:t>n e Granteve p</w:t>
      </w:r>
      <w:r w:rsidR="324B9C00" w:rsidRPr="68878158">
        <w:rPr>
          <w:rFonts w:asciiTheme="majorHAnsi" w:hAnsiTheme="majorHAnsi"/>
          <w:sz w:val="21"/>
          <w:szCs w:val="21"/>
        </w:rPr>
        <w:t>ë</w:t>
      </w:r>
      <w:r w:rsidR="2FF63AA9" w:rsidRPr="68878158">
        <w:rPr>
          <w:rFonts w:asciiTheme="majorHAnsi" w:hAnsiTheme="majorHAnsi"/>
          <w:sz w:val="21"/>
          <w:szCs w:val="21"/>
        </w:rPr>
        <w:t>r Performanc</w:t>
      </w:r>
      <w:r w:rsidR="324B9C00" w:rsidRPr="68878158">
        <w:rPr>
          <w:rFonts w:asciiTheme="majorHAnsi" w:hAnsiTheme="majorHAnsi"/>
          <w:sz w:val="21"/>
          <w:szCs w:val="21"/>
        </w:rPr>
        <w:t>ë</w:t>
      </w:r>
      <w:r w:rsidR="2FF63AA9" w:rsidRPr="68878158">
        <w:rPr>
          <w:rFonts w:asciiTheme="majorHAnsi" w:hAnsiTheme="majorHAnsi"/>
          <w:sz w:val="21"/>
          <w:szCs w:val="21"/>
        </w:rPr>
        <w:t xml:space="preserve"> Komunale.</w:t>
      </w:r>
    </w:p>
    <w:p w14:paraId="365F9A01" w14:textId="2E73EF8A" w:rsidR="00BC0788" w:rsidRDefault="00DE654F" w:rsidP="003B754E">
      <w:pPr>
        <w:pStyle w:val="ListParagraph"/>
        <w:numPr>
          <w:ilvl w:val="0"/>
          <w:numId w:val="24"/>
        </w:numPr>
        <w:spacing w:after="0" w:line="264" w:lineRule="auto"/>
        <w:jc w:val="both"/>
        <w:rPr>
          <w:rFonts w:asciiTheme="majorHAnsi" w:hAnsiTheme="majorHAnsi"/>
          <w:sz w:val="21"/>
          <w:szCs w:val="21"/>
        </w:rPr>
      </w:pPr>
      <w:r>
        <w:rPr>
          <w:rFonts w:asciiTheme="majorHAnsi" w:hAnsiTheme="majorHAnsi"/>
          <w:sz w:val="21"/>
          <w:szCs w:val="21"/>
        </w:rPr>
        <w:t xml:space="preserve">Për të monitoruar ndikimin e prokjekteve tek qytetarët, do të zbatohet shoqëror, si pjesë e GPK_së. </w:t>
      </w:r>
      <w:r w:rsidR="00BC0788" w:rsidRPr="00BC0788">
        <w:rPr>
          <w:rFonts w:asciiTheme="majorHAnsi" w:hAnsiTheme="majorHAnsi"/>
          <w:sz w:val="21"/>
          <w:szCs w:val="21"/>
        </w:rPr>
        <w:t>Auditimi s</w:t>
      </w:r>
      <w:r w:rsidR="00271FE2">
        <w:rPr>
          <w:rFonts w:asciiTheme="majorHAnsi" w:hAnsiTheme="majorHAnsi"/>
          <w:sz w:val="21"/>
          <w:szCs w:val="21"/>
        </w:rPr>
        <w:t>hoqëror</w:t>
      </w:r>
      <w:r w:rsidR="00BC0788" w:rsidRPr="00BC0788">
        <w:rPr>
          <w:rFonts w:asciiTheme="majorHAnsi" w:hAnsiTheme="majorHAnsi"/>
          <w:sz w:val="21"/>
          <w:szCs w:val="21"/>
        </w:rPr>
        <w:t xml:space="preserve"> do të përfshijë monitorimin e performancës dhe proceset e planifikimit të projekteve në nivel komunal. Auditimi s</w:t>
      </w:r>
      <w:r w:rsidR="00271FE2">
        <w:rPr>
          <w:rFonts w:asciiTheme="majorHAnsi" w:hAnsiTheme="majorHAnsi"/>
          <w:sz w:val="21"/>
          <w:szCs w:val="21"/>
        </w:rPr>
        <w:t>hoqëror</w:t>
      </w:r>
      <w:r w:rsidR="00BC0788" w:rsidRPr="00BC0788">
        <w:rPr>
          <w:rFonts w:asciiTheme="majorHAnsi" w:hAnsiTheme="majorHAnsi"/>
          <w:sz w:val="21"/>
          <w:szCs w:val="21"/>
        </w:rPr>
        <w:t xml:space="preserve"> do të paguhet nga një pjesë e fondeve të G</w:t>
      </w:r>
      <w:r w:rsidR="00271FE2">
        <w:rPr>
          <w:rFonts w:asciiTheme="majorHAnsi" w:hAnsiTheme="majorHAnsi"/>
          <w:sz w:val="21"/>
          <w:szCs w:val="21"/>
        </w:rPr>
        <w:t>PK</w:t>
      </w:r>
      <w:r w:rsidR="00BC0788" w:rsidRPr="00BC0788">
        <w:rPr>
          <w:rFonts w:asciiTheme="majorHAnsi" w:hAnsiTheme="majorHAnsi"/>
          <w:sz w:val="21"/>
          <w:szCs w:val="21"/>
        </w:rPr>
        <w:t xml:space="preserve"> </w:t>
      </w:r>
      <w:r w:rsidR="007575BB" w:rsidRPr="00CD55EA">
        <w:rPr>
          <w:rFonts w:asciiTheme="majorHAnsi" w:hAnsiTheme="majorHAnsi"/>
          <w:sz w:val="21"/>
          <w:szCs w:val="21"/>
        </w:rPr>
        <w:t xml:space="preserve">(pjesa e donatorëve) </w:t>
      </w:r>
      <w:r w:rsidR="00BC0788" w:rsidRPr="00CD55EA">
        <w:rPr>
          <w:rFonts w:asciiTheme="majorHAnsi" w:hAnsiTheme="majorHAnsi"/>
          <w:sz w:val="21"/>
          <w:szCs w:val="21"/>
        </w:rPr>
        <w:t>dhe do të</w:t>
      </w:r>
      <w:r w:rsidR="00BC0788" w:rsidRPr="00BC0788">
        <w:rPr>
          <w:rFonts w:asciiTheme="majorHAnsi" w:hAnsiTheme="majorHAnsi"/>
          <w:sz w:val="21"/>
          <w:szCs w:val="21"/>
        </w:rPr>
        <w:t xml:space="preserve"> kryhet nga organizata të shoqërisë civile. Rezultatet e auditimit s</w:t>
      </w:r>
      <w:r w:rsidR="00271FE2">
        <w:rPr>
          <w:rFonts w:asciiTheme="majorHAnsi" w:hAnsiTheme="majorHAnsi"/>
          <w:sz w:val="21"/>
          <w:szCs w:val="21"/>
        </w:rPr>
        <w:t>hoqëror</w:t>
      </w:r>
      <w:r w:rsidR="00BC0788" w:rsidRPr="00BC0788">
        <w:rPr>
          <w:rFonts w:asciiTheme="majorHAnsi" w:hAnsiTheme="majorHAnsi"/>
          <w:sz w:val="21"/>
          <w:szCs w:val="21"/>
        </w:rPr>
        <w:t xml:space="preserve"> i raportohen Komisionit të </w:t>
      </w:r>
      <w:r w:rsidR="00271FE2">
        <w:rPr>
          <w:rFonts w:asciiTheme="majorHAnsi" w:hAnsiTheme="majorHAnsi"/>
          <w:sz w:val="21"/>
          <w:szCs w:val="21"/>
        </w:rPr>
        <w:t>GPK</w:t>
      </w:r>
      <w:r w:rsidR="00BC0788" w:rsidRPr="00BC0788">
        <w:rPr>
          <w:rFonts w:asciiTheme="majorHAnsi" w:hAnsiTheme="majorHAnsi"/>
          <w:sz w:val="21"/>
          <w:szCs w:val="21"/>
        </w:rPr>
        <w:t>-së.</w:t>
      </w:r>
      <w:r w:rsidR="0004541B" w:rsidRPr="003B5AB6">
        <w:rPr>
          <w:rFonts w:asciiTheme="majorHAnsi" w:hAnsiTheme="majorHAnsi"/>
          <w:sz w:val="21"/>
          <w:szCs w:val="21"/>
        </w:rPr>
        <w:t xml:space="preserve"> </w:t>
      </w:r>
    </w:p>
    <w:p w14:paraId="6B58F237" w14:textId="56E6116A" w:rsidR="003B754E" w:rsidRDefault="003B754E" w:rsidP="003B754E">
      <w:pPr>
        <w:spacing w:line="264" w:lineRule="auto"/>
        <w:jc w:val="both"/>
        <w:rPr>
          <w:rFonts w:asciiTheme="majorHAnsi" w:hAnsiTheme="majorHAnsi"/>
          <w:sz w:val="21"/>
          <w:szCs w:val="21"/>
        </w:rPr>
      </w:pPr>
    </w:p>
    <w:p w14:paraId="5336F76F" w14:textId="722BCB76" w:rsidR="003B754E" w:rsidRDefault="003B754E" w:rsidP="003B754E">
      <w:pPr>
        <w:spacing w:line="264" w:lineRule="auto"/>
        <w:jc w:val="both"/>
        <w:rPr>
          <w:rFonts w:asciiTheme="majorHAnsi" w:hAnsiTheme="majorHAnsi"/>
          <w:sz w:val="21"/>
          <w:szCs w:val="21"/>
        </w:rPr>
      </w:pPr>
    </w:p>
    <w:p w14:paraId="15296B60" w14:textId="7108FEF0" w:rsidR="003B5AB6" w:rsidRDefault="003B5AB6" w:rsidP="003B754E">
      <w:pPr>
        <w:spacing w:line="264" w:lineRule="auto"/>
        <w:jc w:val="both"/>
        <w:rPr>
          <w:rFonts w:asciiTheme="majorHAnsi" w:hAnsiTheme="majorHAnsi"/>
          <w:sz w:val="21"/>
          <w:szCs w:val="21"/>
        </w:rPr>
      </w:pPr>
    </w:p>
    <w:p w14:paraId="5E823317" w14:textId="4E35C57B" w:rsidR="00DE654F" w:rsidRDefault="00DE654F" w:rsidP="003B5AB6">
      <w:pPr>
        <w:spacing w:line="264" w:lineRule="auto"/>
        <w:jc w:val="both"/>
        <w:rPr>
          <w:rFonts w:asciiTheme="majorHAnsi" w:hAnsiTheme="majorHAnsi"/>
          <w:sz w:val="21"/>
          <w:szCs w:val="21"/>
        </w:rPr>
      </w:pPr>
    </w:p>
    <w:p w14:paraId="7FE5EE20" w14:textId="77777777" w:rsidR="00DE654F" w:rsidRPr="003B5AB6" w:rsidRDefault="00DE654F" w:rsidP="003B5AB6">
      <w:pPr>
        <w:spacing w:line="264" w:lineRule="auto"/>
        <w:jc w:val="both"/>
        <w:rPr>
          <w:rFonts w:asciiTheme="majorHAnsi" w:hAnsiTheme="majorHAnsi"/>
          <w:sz w:val="21"/>
          <w:szCs w:val="21"/>
        </w:rPr>
      </w:pPr>
    </w:p>
    <w:p w14:paraId="3B31D381" w14:textId="77777777" w:rsidR="00CD79F5" w:rsidRPr="004D2E1C" w:rsidRDefault="00CD79F5" w:rsidP="00CD79F5">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43" w:name="_Toc61062527"/>
      <w:r w:rsidRPr="004D2E1C">
        <w:rPr>
          <w:rFonts w:asciiTheme="majorHAnsi" w:hAnsiTheme="majorHAnsi"/>
          <w:color w:val="FFFFFF" w:themeColor="background1"/>
          <w:sz w:val="32"/>
          <w:szCs w:val="32"/>
          <w:lang w:val="sq-AL"/>
        </w:rPr>
        <w:t xml:space="preserve">Granti i </w:t>
      </w:r>
      <w:r w:rsidR="00674C44">
        <w:rPr>
          <w:rFonts w:asciiTheme="majorHAnsi" w:hAnsiTheme="majorHAnsi"/>
          <w:color w:val="FFFFFF" w:themeColor="background1"/>
          <w:sz w:val="32"/>
          <w:szCs w:val="32"/>
          <w:lang w:val="sq-AL"/>
        </w:rPr>
        <w:t>performancës komunale</w:t>
      </w:r>
      <w:r w:rsidRPr="004D2E1C">
        <w:rPr>
          <w:rFonts w:asciiTheme="majorHAnsi" w:hAnsiTheme="majorHAnsi"/>
          <w:color w:val="FFFFFF" w:themeColor="background1"/>
          <w:sz w:val="32"/>
          <w:szCs w:val="32"/>
          <w:lang w:val="sq-AL"/>
        </w:rPr>
        <w:t xml:space="preserve"> – </w:t>
      </w:r>
      <w:r w:rsidR="00E500C3">
        <w:rPr>
          <w:rFonts w:asciiTheme="majorHAnsi" w:hAnsiTheme="majorHAnsi"/>
          <w:color w:val="FFFFFF" w:themeColor="background1"/>
          <w:sz w:val="32"/>
          <w:szCs w:val="32"/>
          <w:lang w:val="sq-AL"/>
        </w:rPr>
        <w:t>P</w:t>
      </w:r>
      <w:r w:rsidRPr="004D2E1C">
        <w:rPr>
          <w:rFonts w:asciiTheme="majorHAnsi" w:hAnsiTheme="majorHAnsi"/>
          <w:color w:val="FFFFFF" w:themeColor="background1"/>
          <w:sz w:val="32"/>
          <w:szCs w:val="32"/>
          <w:lang w:val="sq-AL"/>
        </w:rPr>
        <w:t>rocesi i vlerësimit</w:t>
      </w:r>
      <w:bookmarkEnd w:id="43"/>
    </w:p>
    <w:p w14:paraId="018BC1ED" w14:textId="77777777" w:rsidR="00CD79F5" w:rsidRPr="004D2E1C" w:rsidRDefault="00CD79F5" w:rsidP="00CD79F5">
      <w:pPr>
        <w:spacing w:before="60" w:line="264" w:lineRule="auto"/>
        <w:ind w:left="567"/>
        <w:jc w:val="both"/>
        <w:rPr>
          <w:rFonts w:asciiTheme="majorHAnsi" w:hAnsiTheme="majorHAnsi"/>
          <w:sz w:val="21"/>
          <w:szCs w:val="21"/>
        </w:rPr>
      </w:pPr>
    </w:p>
    <w:p w14:paraId="699B4E34" w14:textId="77777777" w:rsidR="00CD79F5" w:rsidRPr="004D2E1C" w:rsidRDefault="00296F49" w:rsidP="00CD79F5">
      <w:pPr>
        <w:pStyle w:val="Heading1"/>
        <w:numPr>
          <w:ilvl w:val="1"/>
          <w:numId w:val="7"/>
        </w:numPr>
        <w:tabs>
          <w:tab w:val="left" w:pos="540"/>
        </w:tabs>
        <w:ind w:hanging="1800"/>
        <w:rPr>
          <w:rFonts w:asciiTheme="majorHAnsi" w:hAnsiTheme="majorHAnsi"/>
          <w:color w:val="C0504D"/>
          <w:szCs w:val="28"/>
          <w:lang w:val="sq-AL"/>
        </w:rPr>
      </w:pPr>
      <w:bookmarkStart w:id="44" w:name="_Toc61062528"/>
      <w:r w:rsidRPr="004D2E1C">
        <w:rPr>
          <w:rFonts w:asciiTheme="majorHAnsi" w:hAnsiTheme="majorHAnsi"/>
          <w:color w:val="C0504D"/>
          <w:szCs w:val="28"/>
          <w:lang w:val="sq-AL"/>
        </w:rPr>
        <w:t>A</w:t>
      </w:r>
      <w:r w:rsidR="00CD79F5" w:rsidRPr="004D2E1C">
        <w:rPr>
          <w:rFonts w:asciiTheme="majorHAnsi" w:hAnsiTheme="majorHAnsi"/>
          <w:color w:val="C0504D"/>
          <w:szCs w:val="28"/>
          <w:lang w:val="sq-AL"/>
        </w:rPr>
        <w:t>ranzhimet institucionale</w:t>
      </w:r>
      <w:bookmarkEnd w:id="44"/>
    </w:p>
    <w:p w14:paraId="06140812" w14:textId="77777777" w:rsidR="002D1F9C" w:rsidRPr="002D1F9C" w:rsidRDefault="002D1F9C" w:rsidP="00363711">
      <w:pPr>
        <w:spacing w:before="60" w:line="264" w:lineRule="auto"/>
        <w:jc w:val="both"/>
        <w:rPr>
          <w:rFonts w:asciiTheme="majorHAnsi" w:hAnsiTheme="majorHAnsi"/>
          <w:sz w:val="8"/>
          <w:szCs w:val="8"/>
        </w:rPr>
      </w:pPr>
    </w:p>
    <w:p w14:paraId="49865E0D" w14:textId="77777777" w:rsidR="00CD79F5" w:rsidRPr="002D1F9C" w:rsidRDefault="00CD79F5" w:rsidP="00363711">
      <w:pPr>
        <w:spacing w:before="60" w:line="264" w:lineRule="auto"/>
        <w:jc w:val="both"/>
        <w:rPr>
          <w:rFonts w:asciiTheme="majorHAnsi" w:hAnsiTheme="majorHAnsi"/>
          <w:sz w:val="21"/>
          <w:szCs w:val="21"/>
        </w:rPr>
      </w:pPr>
      <w:r w:rsidRPr="002D1F9C">
        <w:rPr>
          <w:rFonts w:asciiTheme="majorHAnsi" w:hAnsiTheme="majorHAnsi"/>
          <w:sz w:val="21"/>
          <w:szCs w:val="21"/>
        </w:rPr>
        <w:lastRenderedPageBreak/>
        <w:t xml:space="preserve">Komisioni i </w:t>
      </w:r>
      <w:r w:rsidR="00E500C3" w:rsidRPr="002D1F9C">
        <w:rPr>
          <w:rFonts w:asciiTheme="majorHAnsi" w:hAnsiTheme="majorHAnsi"/>
          <w:sz w:val="21"/>
          <w:szCs w:val="21"/>
        </w:rPr>
        <w:t>g</w:t>
      </w:r>
      <w:r w:rsidRPr="002D1F9C">
        <w:rPr>
          <w:rFonts w:asciiTheme="majorHAnsi" w:hAnsiTheme="majorHAnsi"/>
          <w:sz w:val="21"/>
          <w:szCs w:val="21"/>
        </w:rPr>
        <w:t>rant</w:t>
      </w:r>
      <w:r w:rsidR="00296F49" w:rsidRPr="002D1F9C">
        <w:rPr>
          <w:rFonts w:asciiTheme="majorHAnsi" w:hAnsiTheme="majorHAnsi"/>
          <w:sz w:val="21"/>
          <w:szCs w:val="21"/>
        </w:rPr>
        <w:t>it</w:t>
      </w:r>
      <w:r w:rsidRPr="002D1F9C">
        <w:rPr>
          <w:rFonts w:asciiTheme="majorHAnsi" w:hAnsiTheme="majorHAnsi"/>
          <w:sz w:val="21"/>
          <w:szCs w:val="21"/>
        </w:rPr>
        <w:t xml:space="preserve"> të </w:t>
      </w:r>
      <w:r w:rsidR="00674C44" w:rsidRPr="002D1F9C">
        <w:rPr>
          <w:rFonts w:asciiTheme="majorHAnsi" w:hAnsiTheme="majorHAnsi"/>
          <w:sz w:val="21"/>
          <w:szCs w:val="21"/>
        </w:rPr>
        <w:t>performancës komunale</w:t>
      </w:r>
      <w:r w:rsidR="00193B86" w:rsidRPr="002D1F9C">
        <w:rPr>
          <w:rFonts w:asciiTheme="majorHAnsi" w:hAnsiTheme="majorHAnsi"/>
          <w:sz w:val="21"/>
          <w:szCs w:val="21"/>
        </w:rPr>
        <w:t xml:space="preserve"> dhe</w:t>
      </w:r>
      <w:r w:rsidRPr="002D1F9C">
        <w:rPr>
          <w:rFonts w:asciiTheme="majorHAnsi" w:hAnsiTheme="majorHAnsi"/>
          <w:sz w:val="21"/>
          <w:szCs w:val="21"/>
        </w:rPr>
        <w:t xml:space="preserve"> </w:t>
      </w:r>
      <w:r w:rsidR="00E500C3" w:rsidRPr="002D1F9C">
        <w:rPr>
          <w:rFonts w:asciiTheme="majorHAnsi" w:hAnsiTheme="majorHAnsi"/>
          <w:sz w:val="21"/>
          <w:szCs w:val="21"/>
        </w:rPr>
        <w:t>g</w:t>
      </w:r>
      <w:r w:rsidRPr="002D1F9C">
        <w:rPr>
          <w:rFonts w:asciiTheme="majorHAnsi" w:hAnsiTheme="majorHAnsi"/>
          <w:sz w:val="21"/>
          <w:szCs w:val="21"/>
        </w:rPr>
        <w:t xml:space="preserve">rupi </w:t>
      </w:r>
      <w:r w:rsidR="00E500C3" w:rsidRPr="002D1F9C">
        <w:rPr>
          <w:rFonts w:asciiTheme="majorHAnsi" w:hAnsiTheme="majorHAnsi"/>
          <w:sz w:val="21"/>
          <w:szCs w:val="21"/>
        </w:rPr>
        <w:t>t</w:t>
      </w:r>
      <w:r w:rsidRPr="002D1F9C">
        <w:rPr>
          <w:rFonts w:asciiTheme="majorHAnsi" w:hAnsiTheme="majorHAnsi"/>
          <w:sz w:val="21"/>
          <w:szCs w:val="21"/>
        </w:rPr>
        <w:t>eknik janë</w:t>
      </w:r>
      <w:r w:rsidR="00296F49" w:rsidRPr="002D1F9C">
        <w:rPr>
          <w:rFonts w:asciiTheme="majorHAnsi" w:hAnsiTheme="majorHAnsi"/>
          <w:sz w:val="21"/>
          <w:szCs w:val="21"/>
        </w:rPr>
        <w:t xml:space="preserve"> organet </w:t>
      </w:r>
      <w:r w:rsidRPr="002D1F9C">
        <w:rPr>
          <w:rFonts w:asciiTheme="majorHAnsi" w:hAnsiTheme="majorHAnsi"/>
          <w:sz w:val="21"/>
          <w:szCs w:val="21"/>
        </w:rPr>
        <w:t>përgjegjëse për</w:t>
      </w:r>
      <w:r w:rsidR="00524A29" w:rsidRPr="002D1F9C">
        <w:rPr>
          <w:rFonts w:asciiTheme="majorHAnsi" w:hAnsiTheme="majorHAnsi"/>
          <w:sz w:val="21"/>
          <w:szCs w:val="21"/>
        </w:rPr>
        <w:t xml:space="preserve"> vler</w:t>
      </w:r>
      <w:r w:rsidR="00DC0362" w:rsidRPr="002D1F9C">
        <w:rPr>
          <w:rFonts w:asciiTheme="majorHAnsi" w:hAnsiTheme="majorHAnsi"/>
          <w:sz w:val="21"/>
          <w:szCs w:val="21"/>
        </w:rPr>
        <w:t>ë</w:t>
      </w:r>
      <w:r w:rsidR="00524A29" w:rsidRPr="002D1F9C">
        <w:rPr>
          <w:rFonts w:asciiTheme="majorHAnsi" w:hAnsiTheme="majorHAnsi"/>
          <w:sz w:val="21"/>
          <w:szCs w:val="21"/>
        </w:rPr>
        <w:t>simin dhe</w:t>
      </w:r>
      <w:r w:rsidRPr="002D1F9C">
        <w:rPr>
          <w:rFonts w:asciiTheme="majorHAnsi" w:hAnsiTheme="majorHAnsi"/>
          <w:sz w:val="21"/>
          <w:szCs w:val="21"/>
        </w:rPr>
        <w:t xml:space="preserve"> </w:t>
      </w:r>
      <w:r w:rsidR="00296F49" w:rsidRPr="002D1F9C">
        <w:rPr>
          <w:rFonts w:asciiTheme="majorHAnsi" w:hAnsiTheme="majorHAnsi"/>
          <w:sz w:val="21"/>
          <w:szCs w:val="21"/>
        </w:rPr>
        <w:t xml:space="preserve">ndarjen </w:t>
      </w:r>
      <w:r w:rsidRPr="002D1F9C">
        <w:rPr>
          <w:rFonts w:asciiTheme="majorHAnsi" w:hAnsiTheme="majorHAnsi"/>
          <w:sz w:val="21"/>
          <w:szCs w:val="21"/>
        </w:rPr>
        <w:t>e grant</w:t>
      </w:r>
      <w:r w:rsidR="00296F49" w:rsidRPr="002D1F9C">
        <w:rPr>
          <w:rFonts w:asciiTheme="majorHAnsi" w:hAnsiTheme="majorHAnsi"/>
          <w:sz w:val="21"/>
          <w:szCs w:val="21"/>
        </w:rPr>
        <w:t xml:space="preserve">it </w:t>
      </w:r>
      <w:r w:rsidRPr="002D1F9C">
        <w:rPr>
          <w:rFonts w:asciiTheme="majorHAnsi" w:hAnsiTheme="majorHAnsi"/>
          <w:sz w:val="21"/>
          <w:szCs w:val="21"/>
        </w:rPr>
        <w:t xml:space="preserve">të </w:t>
      </w:r>
      <w:r w:rsidR="00674C44" w:rsidRPr="002D1F9C">
        <w:rPr>
          <w:rFonts w:asciiTheme="majorHAnsi" w:hAnsiTheme="majorHAnsi"/>
          <w:sz w:val="21"/>
          <w:szCs w:val="21"/>
        </w:rPr>
        <w:t>performancës komunale</w:t>
      </w:r>
      <w:r w:rsidRPr="002D1F9C">
        <w:rPr>
          <w:rFonts w:asciiTheme="majorHAnsi" w:hAnsiTheme="majorHAnsi"/>
          <w:sz w:val="21"/>
          <w:szCs w:val="21"/>
        </w:rPr>
        <w:t>.</w:t>
      </w:r>
    </w:p>
    <w:p w14:paraId="42D2E573" w14:textId="77777777" w:rsidR="00B27E92" w:rsidRPr="002D1F9C" w:rsidRDefault="00B27E92" w:rsidP="00363711">
      <w:pPr>
        <w:spacing w:before="60" w:line="264" w:lineRule="auto"/>
        <w:jc w:val="both"/>
        <w:rPr>
          <w:rFonts w:asciiTheme="majorHAnsi" w:hAnsiTheme="majorHAnsi"/>
          <w:sz w:val="21"/>
          <w:szCs w:val="21"/>
        </w:rPr>
      </w:pPr>
      <w:r w:rsidRPr="002D1F9C">
        <w:rPr>
          <w:rFonts w:asciiTheme="majorHAnsi" w:hAnsiTheme="majorHAnsi"/>
          <w:sz w:val="21"/>
          <w:szCs w:val="21"/>
        </w:rPr>
        <w:t>Komisioni i ankesave shqyrton dhe vendos</w:t>
      </w:r>
      <w:r w:rsidR="00675BB6" w:rsidRPr="002D1F9C">
        <w:rPr>
          <w:rFonts w:asciiTheme="majorHAnsi" w:hAnsiTheme="majorHAnsi"/>
          <w:sz w:val="21"/>
          <w:szCs w:val="21"/>
        </w:rPr>
        <w:t>ë</w:t>
      </w:r>
      <w:r w:rsidRPr="002D1F9C">
        <w:rPr>
          <w:rFonts w:asciiTheme="majorHAnsi" w:hAnsiTheme="majorHAnsi"/>
          <w:sz w:val="21"/>
          <w:szCs w:val="21"/>
        </w:rPr>
        <w:t xml:space="preserve"> lidhur me ankesat e komunave.</w:t>
      </w:r>
    </w:p>
    <w:p w14:paraId="2FB9469E" w14:textId="525A1B97" w:rsidR="00215A4E" w:rsidRPr="002D1F9C" w:rsidRDefault="4203D192" w:rsidP="68878158">
      <w:pPr>
        <w:spacing w:before="60" w:line="264" w:lineRule="auto"/>
        <w:jc w:val="both"/>
        <w:rPr>
          <w:rFonts w:asciiTheme="majorHAnsi" w:hAnsiTheme="majorHAnsi"/>
          <w:sz w:val="21"/>
          <w:szCs w:val="21"/>
        </w:rPr>
      </w:pPr>
      <w:r w:rsidRPr="68878158">
        <w:rPr>
          <w:rFonts w:asciiTheme="majorHAnsi" w:hAnsiTheme="majorHAnsi"/>
          <w:sz w:val="21"/>
          <w:szCs w:val="21"/>
        </w:rPr>
        <w:t>P</w:t>
      </w:r>
      <w:r w:rsidR="5A659ED2" w:rsidRPr="68878158">
        <w:rPr>
          <w:rFonts w:asciiTheme="majorHAnsi" w:hAnsiTheme="majorHAnsi"/>
          <w:sz w:val="21"/>
          <w:szCs w:val="21"/>
        </w:rPr>
        <w:t>ë</w:t>
      </w:r>
      <w:r w:rsidRPr="68878158">
        <w:rPr>
          <w:rFonts w:asciiTheme="majorHAnsi" w:hAnsiTheme="majorHAnsi"/>
          <w:sz w:val="21"/>
          <w:szCs w:val="21"/>
        </w:rPr>
        <w:t>rgatitja e Rregullave t</w:t>
      </w:r>
      <w:r w:rsidR="5A659ED2" w:rsidRPr="68878158">
        <w:rPr>
          <w:rFonts w:asciiTheme="majorHAnsi" w:hAnsiTheme="majorHAnsi"/>
          <w:sz w:val="21"/>
          <w:szCs w:val="21"/>
        </w:rPr>
        <w:t>ë</w:t>
      </w:r>
      <w:r w:rsidRPr="68878158">
        <w:rPr>
          <w:rFonts w:asciiTheme="majorHAnsi" w:hAnsiTheme="majorHAnsi"/>
          <w:sz w:val="21"/>
          <w:szCs w:val="21"/>
        </w:rPr>
        <w:t xml:space="preserve"> Grantit t</w:t>
      </w:r>
      <w:r w:rsidR="5A659ED2" w:rsidRPr="68878158">
        <w:rPr>
          <w:rFonts w:asciiTheme="majorHAnsi" w:hAnsiTheme="majorHAnsi"/>
          <w:sz w:val="21"/>
          <w:szCs w:val="21"/>
        </w:rPr>
        <w:t>ë</w:t>
      </w:r>
      <w:r w:rsidRPr="68878158">
        <w:rPr>
          <w:rFonts w:asciiTheme="majorHAnsi" w:hAnsiTheme="majorHAnsi"/>
          <w:sz w:val="21"/>
          <w:szCs w:val="21"/>
        </w:rPr>
        <w:t xml:space="preserve"> Performanc</w:t>
      </w:r>
      <w:r w:rsidR="5A659ED2" w:rsidRPr="68878158">
        <w:rPr>
          <w:rFonts w:asciiTheme="majorHAnsi" w:hAnsiTheme="majorHAnsi"/>
          <w:sz w:val="21"/>
          <w:szCs w:val="21"/>
        </w:rPr>
        <w:t>ë</w:t>
      </w:r>
      <w:r w:rsidRPr="68878158">
        <w:rPr>
          <w:rFonts w:asciiTheme="majorHAnsi" w:hAnsiTheme="majorHAnsi"/>
          <w:sz w:val="21"/>
          <w:szCs w:val="21"/>
        </w:rPr>
        <w:t>s para çdo cikli vler</w:t>
      </w:r>
      <w:r w:rsidR="5A659ED2" w:rsidRPr="68878158">
        <w:rPr>
          <w:rFonts w:asciiTheme="majorHAnsi" w:hAnsiTheme="majorHAnsi"/>
          <w:sz w:val="21"/>
          <w:szCs w:val="21"/>
        </w:rPr>
        <w:t>ë</w:t>
      </w:r>
      <w:r w:rsidRPr="68878158">
        <w:rPr>
          <w:rFonts w:asciiTheme="majorHAnsi" w:hAnsiTheme="majorHAnsi"/>
          <w:sz w:val="21"/>
          <w:szCs w:val="21"/>
        </w:rPr>
        <w:t>sues b</w:t>
      </w:r>
      <w:r w:rsidR="5A659ED2" w:rsidRPr="68878158">
        <w:rPr>
          <w:rFonts w:asciiTheme="majorHAnsi" w:hAnsiTheme="majorHAnsi"/>
          <w:sz w:val="21"/>
          <w:szCs w:val="21"/>
        </w:rPr>
        <w:t>ë</w:t>
      </w:r>
      <w:r w:rsidRPr="68878158">
        <w:rPr>
          <w:rFonts w:asciiTheme="majorHAnsi" w:hAnsiTheme="majorHAnsi"/>
          <w:sz w:val="21"/>
          <w:szCs w:val="21"/>
        </w:rPr>
        <w:t xml:space="preserve">het nga </w:t>
      </w:r>
      <w:r w:rsidRPr="68878158">
        <w:rPr>
          <w:rFonts w:asciiTheme="majorHAnsi" w:hAnsiTheme="majorHAnsi" w:cstheme="majorBidi"/>
          <w:sz w:val="21"/>
          <w:szCs w:val="21"/>
        </w:rPr>
        <w:t xml:space="preserve">Grupi </w:t>
      </w:r>
      <w:r w:rsidR="00876839">
        <w:rPr>
          <w:rFonts w:asciiTheme="majorHAnsi" w:hAnsiTheme="majorHAnsi" w:cstheme="majorBidi"/>
          <w:sz w:val="21"/>
          <w:szCs w:val="21"/>
        </w:rPr>
        <w:t>Punues përgjegjës</w:t>
      </w:r>
      <w:r w:rsidR="00876839" w:rsidRPr="68878158">
        <w:rPr>
          <w:rFonts w:asciiTheme="majorHAnsi" w:hAnsiTheme="majorHAnsi" w:cstheme="majorBidi"/>
          <w:sz w:val="21"/>
          <w:szCs w:val="21"/>
        </w:rPr>
        <w:t xml:space="preserve"> </w:t>
      </w:r>
      <w:r w:rsidRPr="68878158">
        <w:rPr>
          <w:rFonts w:asciiTheme="majorHAnsi" w:hAnsiTheme="majorHAnsi" w:cstheme="majorBidi"/>
          <w:sz w:val="21"/>
          <w:szCs w:val="21"/>
        </w:rPr>
        <w:t xml:space="preserve">për hartimin e Rregullave të GPK-së i themeluar nga Sekretari i Përgjithshëm i </w:t>
      </w:r>
      <w:r w:rsidR="37FC2BD2" w:rsidRPr="68878158">
        <w:rPr>
          <w:rFonts w:asciiTheme="majorHAnsi" w:hAnsiTheme="majorHAnsi" w:cstheme="majorBidi"/>
          <w:sz w:val="21"/>
          <w:szCs w:val="21"/>
        </w:rPr>
        <w:t>MAPL</w:t>
      </w:r>
      <w:r w:rsidRPr="68878158">
        <w:rPr>
          <w:rFonts w:asciiTheme="majorHAnsi" w:hAnsiTheme="majorHAnsi" w:cstheme="majorBidi"/>
          <w:sz w:val="21"/>
          <w:szCs w:val="21"/>
        </w:rPr>
        <w:t>-së në bashkëpunim me kontributdhënësit.</w:t>
      </w:r>
    </w:p>
    <w:p w14:paraId="71D6ED11" w14:textId="77777777" w:rsidR="00215A4E" w:rsidRDefault="00215A4E" w:rsidP="00363711">
      <w:pPr>
        <w:spacing w:before="60" w:line="264" w:lineRule="auto"/>
        <w:jc w:val="both"/>
        <w:rPr>
          <w:rFonts w:asciiTheme="majorHAnsi" w:hAnsiTheme="majorHAnsi"/>
          <w:sz w:val="21"/>
          <w:szCs w:val="21"/>
        </w:rPr>
      </w:pPr>
    </w:p>
    <w:p w14:paraId="5D51A4ED" w14:textId="77777777" w:rsidR="00CD79F5" w:rsidRPr="001D6FCA" w:rsidRDefault="00CD79F5" w:rsidP="00CD79F5">
      <w:pPr>
        <w:pStyle w:val="Heading1"/>
        <w:numPr>
          <w:ilvl w:val="2"/>
          <w:numId w:val="7"/>
        </w:numPr>
        <w:tabs>
          <w:tab w:val="left" w:pos="540"/>
        </w:tabs>
        <w:ind w:hanging="3600"/>
        <w:rPr>
          <w:rFonts w:asciiTheme="majorHAnsi" w:hAnsiTheme="majorHAnsi"/>
          <w:sz w:val="24"/>
          <w:szCs w:val="21"/>
          <w:lang w:val="sq-AL"/>
        </w:rPr>
      </w:pPr>
      <w:bookmarkStart w:id="45" w:name="_Toc31029003"/>
      <w:bookmarkStart w:id="46" w:name="_Toc31194801"/>
      <w:bookmarkStart w:id="47" w:name="_Toc61062529"/>
      <w:r w:rsidRPr="001D6FCA">
        <w:rPr>
          <w:rFonts w:asciiTheme="majorHAnsi" w:hAnsiTheme="majorHAnsi"/>
          <w:sz w:val="24"/>
          <w:szCs w:val="21"/>
          <w:lang w:val="sq-AL"/>
        </w:rPr>
        <w:t xml:space="preserve">Komisioni i </w:t>
      </w:r>
      <w:r w:rsidR="00E500C3" w:rsidRPr="001D6FCA">
        <w:rPr>
          <w:rFonts w:asciiTheme="majorHAnsi" w:hAnsiTheme="majorHAnsi"/>
          <w:sz w:val="24"/>
          <w:szCs w:val="21"/>
          <w:lang w:val="sq-AL"/>
        </w:rPr>
        <w:t>g</w:t>
      </w:r>
      <w:r w:rsidRPr="001D6FCA">
        <w:rPr>
          <w:rFonts w:asciiTheme="majorHAnsi" w:hAnsiTheme="majorHAnsi"/>
          <w:sz w:val="24"/>
          <w:szCs w:val="21"/>
          <w:lang w:val="sq-AL"/>
        </w:rPr>
        <w:t>rant</w:t>
      </w:r>
      <w:r w:rsidR="00296F49" w:rsidRPr="001D6FCA">
        <w:rPr>
          <w:rFonts w:asciiTheme="majorHAnsi" w:hAnsiTheme="majorHAnsi"/>
          <w:sz w:val="24"/>
          <w:szCs w:val="21"/>
          <w:lang w:val="sq-AL"/>
        </w:rPr>
        <w:t xml:space="preserve">it </w:t>
      </w:r>
      <w:r w:rsidRPr="001D6FCA">
        <w:rPr>
          <w:rFonts w:asciiTheme="majorHAnsi" w:hAnsiTheme="majorHAnsi"/>
          <w:sz w:val="24"/>
          <w:szCs w:val="21"/>
          <w:lang w:val="sq-AL"/>
        </w:rPr>
        <w:t xml:space="preserve">të </w:t>
      </w:r>
      <w:r w:rsidR="00674C44" w:rsidRPr="001D6FCA">
        <w:rPr>
          <w:rFonts w:asciiTheme="majorHAnsi" w:hAnsiTheme="majorHAnsi"/>
          <w:sz w:val="24"/>
          <w:szCs w:val="21"/>
          <w:lang w:val="sq-AL"/>
        </w:rPr>
        <w:t>performancës komunale</w:t>
      </w:r>
      <w:bookmarkEnd w:id="45"/>
      <w:bookmarkEnd w:id="46"/>
      <w:bookmarkEnd w:id="47"/>
    </w:p>
    <w:p w14:paraId="20310CC3" w14:textId="77777777" w:rsidR="00AA06D4" w:rsidRDefault="00CD79F5" w:rsidP="00363711">
      <w:pPr>
        <w:tabs>
          <w:tab w:val="left" w:pos="1710"/>
        </w:tabs>
        <w:spacing w:before="60" w:line="264" w:lineRule="auto"/>
        <w:jc w:val="both"/>
        <w:rPr>
          <w:rFonts w:asciiTheme="majorHAnsi" w:hAnsiTheme="majorHAnsi"/>
          <w:sz w:val="21"/>
          <w:szCs w:val="21"/>
        </w:rPr>
      </w:pPr>
      <w:r w:rsidRPr="004D2E1C">
        <w:rPr>
          <w:rFonts w:asciiTheme="majorHAnsi" w:hAnsiTheme="majorHAnsi"/>
          <w:sz w:val="21"/>
          <w:szCs w:val="21"/>
        </w:rPr>
        <w:t xml:space="preserve">Komisioni i </w:t>
      </w:r>
      <w:r w:rsidR="00E500C3">
        <w:rPr>
          <w:rFonts w:asciiTheme="majorHAnsi" w:hAnsiTheme="majorHAnsi"/>
          <w:sz w:val="21"/>
          <w:szCs w:val="21"/>
        </w:rPr>
        <w:t>g</w:t>
      </w:r>
      <w:r w:rsidRPr="004D2E1C">
        <w:rPr>
          <w:rFonts w:asciiTheme="majorHAnsi" w:hAnsiTheme="majorHAnsi"/>
          <w:sz w:val="21"/>
          <w:szCs w:val="21"/>
        </w:rPr>
        <w:t>rant</w:t>
      </w:r>
      <w:r w:rsidR="00296F49" w:rsidRPr="004D2E1C">
        <w:rPr>
          <w:rFonts w:asciiTheme="majorHAnsi" w:hAnsiTheme="majorHAnsi"/>
          <w:sz w:val="21"/>
          <w:szCs w:val="21"/>
        </w:rPr>
        <w:t>it</w:t>
      </w:r>
      <w:r w:rsidRPr="004D2E1C">
        <w:rPr>
          <w:rFonts w:asciiTheme="majorHAnsi" w:hAnsiTheme="majorHAnsi"/>
          <w:sz w:val="21"/>
          <w:szCs w:val="21"/>
        </w:rPr>
        <w:t xml:space="preserve"> të </w:t>
      </w:r>
      <w:r w:rsidR="00674C44">
        <w:rPr>
          <w:rFonts w:asciiTheme="majorHAnsi" w:hAnsiTheme="majorHAnsi"/>
          <w:sz w:val="21"/>
          <w:szCs w:val="21"/>
        </w:rPr>
        <w:t>performancës komunale</w:t>
      </w:r>
      <w:r w:rsidR="00E500C3" w:rsidRPr="004D2E1C">
        <w:rPr>
          <w:rFonts w:asciiTheme="majorHAnsi" w:hAnsiTheme="majorHAnsi"/>
          <w:sz w:val="21"/>
          <w:szCs w:val="21"/>
        </w:rPr>
        <w:t xml:space="preserve"> </w:t>
      </w:r>
      <w:r w:rsidRPr="004D2E1C">
        <w:rPr>
          <w:rFonts w:asciiTheme="majorHAnsi" w:hAnsiTheme="majorHAnsi"/>
          <w:sz w:val="21"/>
          <w:szCs w:val="21"/>
        </w:rPr>
        <w:t xml:space="preserve">është organi më i lartë vendimmarrës për </w:t>
      </w:r>
      <w:r w:rsidR="00964A0B">
        <w:rPr>
          <w:rFonts w:asciiTheme="majorHAnsi" w:hAnsiTheme="majorHAnsi"/>
          <w:sz w:val="21"/>
          <w:szCs w:val="21"/>
        </w:rPr>
        <w:t>GPK.</w:t>
      </w:r>
    </w:p>
    <w:p w14:paraId="14C36790" w14:textId="77777777" w:rsidR="00CD79F5" w:rsidRPr="004D2E1C" w:rsidRDefault="00CD79F5" w:rsidP="00363711">
      <w:pPr>
        <w:tabs>
          <w:tab w:val="left" w:pos="1710"/>
        </w:tabs>
        <w:spacing w:before="60" w:line="264" w:lineRule="auto"/>
        <w:jc w:val="both"/>
        <w:rPr>
          <w:rFonts w:asciiTheme="majorHAnsi" w:hAnsiTheme="majorHAnsi"/>
          <w:sz w:val="21"/>
          <w:szCs w:val="21"/>
        </w:rPr>
      </w:pPr>
      <w:r w:rsidRPr="004D2E1C">
        <w:rPr>
          <w:rFonts w:asciiTheme="majorHAnsi" w:hAnsiTheme="majorHAnsi"/>
          <w:sz w:val="21"/>
          <w:szCs w:val="21"/>
        </w:rPr>
        <w:t xml:space="preserve">Detyrat </w:t>
      </w:r>
      <w:r w:rsidR="00964A0B">
        <w:rPr>
          <w:rFonts w:asciiTheme="majorHAnsi" w:hAnsiTheme="majorHAnsi"/>
          <w:sz w:val="21"/>
          <w:szCs w:val="21"/>
        </w:rPr>
        <w:t>dhe p</w:t>
      </w:r>
      <w:r w:rsidR="00BB1193">
        <w:rPr>
          <w:rFonts w:asciiTheme="majorHAnsi" w:hAnsiTheme="majorHAnsi"/>
          <w:sz w:val="21"/>
          <w:szCs w:val="21"/>
        </w:rPr>
        <w:t>ë</w:t>
      </w:r>
      <w:r w:rsidR="00964A0B">
        <w:rPr>
          <w:rFonts w:asciiTheme="majorHAnsi" w:hAnsiTheme="majorHAnsi"/>
          <w:sz w:val="21"/>
          <w:szCs w:val="21"/>
        </w:rPr>
        <w:t>rgjegj</w:t>
      </w:r>
      <w:r w:rsidR="00BB1193">
        <w:rPr>
          <w:rFonts w:asciiTheme="majorHAnsi" w:hAnsiTheme="majorHAnsi"/>
          <w:sz w:val="21"/>
          <w:szCs w:val="21"/>
        </w:rPr>
        <w:t>ë</w:t>
      </w:r>
      <w:r w:rsidR="00964A0B">
        <w:rPr>
          <w:rFonts w:asciiTheme="majorHAnsi" w:hAnsiTheme="majorHAnsi"/>
          <w:sz w:val="21"/>
          <w:szCs w:val="21"/>
        </w:rPr>
        <w:t>sit</w:t>
      </w:r>
      <w:r w:rsidR="00BB1193">
        <w:rPr>
          <w:rFonts w:asciiTheme="majorHAnsi" w:hAnsiTheme="majorHAnsi"/>
          <w:sz w:val="21"/>
          <w:szCs w:val="21"/>
        </w:rPr>
        <w:t>ë</w:t>
      </w:r>
      <w:r w:rsidR="00964A0B">
        <w:rPr>
          <w:rFonts w:asciiTheme="majorHAnsi" w:hAnsiTheme="majorHAnsi"/>
          <w:sz w:val="21"/>
          <w:szCs w:val="21"/>
        </w:rPr>
        <w:t xml:space="preserve"> </w:t>
      </w:r>
      <w:r w:rsidRPr="004D2E1C">
        <w:rPr>
          <w:rFonts w:asciiTheme="majorHAnsi" w:hAnsiTheme="majorHAnsi"/>
          <w:sz w:val="21"/>
          <w:szCs w:val="21"/>
        </w:rPr>
        <w:t xml:space="preserve">e </w:t>
      </w:r>
      <w:r w:rsidR="00E500C3">
        <w:rPr>
          <w:rFonts w:asciiTheme="majorHAnsi" w:hAnsiTheme="majorHAnsi"/>
          <w:sz w:val="21"/>
          <w:szCs w:val="21"/>
        </w:rPr>
        <w:t>k</w:t>
      </w:r>
      <w:r w:rsidR="00E500C3" w:rsidRPr="004D2E1C">
        <w:rPr>
          <w:rFonts w:asciiTheme="majorHAnsi" w:hAnsiTheme="majorHAnsi"/>
          <w:sz w:val="21"/>
          <w:szCs w:val="21"/>
        </w:rPr>
        <w:t xml:space="preserve">omisionit </w:t>
      </w:r>
      <w:r w:rsidRPr="004D2E1C">
        <w:rPr>
          <w:rFonts w:asciiTheme="majorHAnsi" w:hAnsiTheme="majorHAnsi"/>
          <w:sz w:val="21"/>
          <w:szCs w:val="21"/>
        </w:rPr>
        <w:t xml:space="preserve">të </w:t>
      </w:r>
      <w:r w:rsidR="00E500C3">
        <w:rPr>
          <w:rFonts w:asciiTheme="majorHAnsi" w:hAnsiTheme="majorHAnsi"/>
          <w:sz w:val="21"/>
          <w:szCs w:val="21"/>
        </w:rPr>
        <w:t>g</w:t>
      </w:r>
      <w:r w:rsidR="00E500C3" w:rsidRPr="004D2E1C">
        <w:rPr>
          <w:rFonts w:asciiTheme="majorHAnsi" w:hAnsiTheme="majorHAnsi"/>
          <w:sz w:val="21"/>
          <w:szCs w:val="21"/>
        </w:rPr>
        <w:t xml:space="preserve">rantit </w:t>
      </w:r>
      <w:r w:rsidRPr="004D2E1C">
        <w:rPr>
          <w:rFonts w:asciiTheme="majorHAnsi" w:hAnsiTheme="majorHAnsi"/>
          <w:sz w:val="21"/>
          <w:szCs w:val="21"/>
        </w:rPr>
        <w:t xml:space="preserve">të </w:t>
      </w:r>
      <w:r w:rsidR="00674C44">
        <w:rPr>
          <w:rFonts w:asciiTheme="majorHAnsi" w:hAnsiTheme="majorHAnsi"/>
          <w:sz w:val="21"/>
          <w:szCs w:val="21"/>
        </w:rPr>
        <w:t>performancës komunale</w:t>
      </w:r>
      <w:r w:rsidR="00E500C3" w:rsidRPr="004D2E1C">
        <w:rPr>
          <w:rFonts w:asciiTheme="majorHAnsi" w:hAnsiTheme="majorHAnsi"/>
          <w:sz w:val="21"/>
          <w:szCs w:val="21"/>
        </w:rPr>
        <w:t xml:space="preserve"> </w:t>
      </w:r>
      <w:r w:rsidRPr="004D2E1C">
        <w:rPr>
          <w:rFonts w:asciiTheme="majorHAnsi" w:hAnsiTheme="majorHAnsi"/>
          <w:sz w:val="21"/>
          <w:szCs w:val="21"/>
        </w:rPr>
        <w:t>janë:</w:t>
      </w:r>
    </w:p>
    <w:p w14:paraId="2768C72C" w14:textId="77777777" w:rsidR="004E646E" w:rsidRPr="000B7D56" w:rsidRDefault="004E646E" w:rsidP="009A3BEC">
      <w:pPr>
        <w:pStyle w:val="ListParagraph"/>
        <w:numPr>
          <w:ilvl w:val="1"/>
          <w:numId w:val="32"/>
        </w:numPr>
        <w:tabs>
          <w:tab w:val="left" w:pos="1710"/>
        </w:tabs>
        <w:spacing w:after="0" w:line="264" w:lineRule="auto"/>
        <w:jc w:val="both"/>
        <w:rPr>
          <w:rFonts w:asciiTheme="majorHAnsi" w:hAnsiTheme="majorHAnsi"/>
          <w:sz w:val="21"/>
          <w:szCs w:val="21"/>
        </w:rPr>
      </w:pPr>
      <w:r w:rsidRPr="000B7D56">
        <w:rPr>
          <w:rFonts w:asciiTheme="majorHAnsi" w:hAnsiTheme="majorHAnsi"/>
          <w:sz w:val="21"/>
          <w:szCs w:val="21"/>
        </w:rPr>
        <w:t xml:space="preserve">Vendosja e rregullave dhe procedurave të punës së </w:t>
      </w:r>
      <w:r w:rsidR="000B7D56" w:rsidRPr="000B7D56">
        <w:rPr>
          <w:rFonts w:asciiTheme="majorHAnsi" w:hAnsiTheme="majorHAnsi"/>
          <w:sz w:val="21"/>
          <w:szCs w:val="21"/>
        </w:rPr>
        <w:t>k</w:t>
      </w:r>
      <w:r w:rsidRPr="000B7D56">
        <w:rPr>
          <w:rFonts w:asciiTheme="majorHAnsi" w:hAnsiTheme="majorHAnsi"/>
          <w:sz w:val="21"/>
          <w:szCs w:val="21"/>
        </w:rPr>
        <w:t>omisionit;</w:t>
      </w:r>
    </w:p>
    <w:p w14:paraId="79AD9DE0" w14:textId="59BA83E7" w:rsidR="004E646E" w:rsidRPr="000B7D56" w:rsidRDefault="004E646E" w:rsidP="009A3BEC">
      <w:pPr>
        <w:pStyle w:val="ListParagraph"/>
        <w:numPr>
          <w:ilvl w:val="1"/>
          <w:numId w:val="32"/>
        </w:numPr>
        <w:tabs>
          <w:tab w:val="left" w:pos="1710"/>
        </w:tabs>
        <w:spacing w:after="0" w:line="264" w:lineRule="auto"/>
        <w:jc w:val="both"/>
        <w:rPr>
          <w:rFonts w:asciiTheme="majorHAnsi" w:hAnsiTheme="majorHAnsi"/>
          <w:sz w:val="21"/>
          <w:szCs w:val="21"/>
        </w:rPr>
      </w:pPr>
      <w:r w:rsidRPr="000B7D56">
        <w:rPr>
          <w:rFonts w:asciiTheme="majorHAnsi" w:hAnsiTheme="majorHAnsi"/>
          <w:sz w:val="21"/>
          <w:szCs w:val="21"/>
        </w:rPr>
        <w:t>Mbik</w:t>
      </w:r>
      <w:r w:rsidR="00C87181" w:rsidRPr="000B7D56">
        <w:rPr>
          <w:rFonts w:asciiTheme="majorHAnsi" w:hAnsiTheme="majorHAnsi"/>
          <w:sz w:val="21"/>
          <w:szCs w:val="21"/>
        </w:rPr>
        <w:t>ë</w:t>
      </w:r>
      <w:r w:rsidRPr="000B7D56">
        <w:rPr>
          <w:rFonts w:asciiTheme="majorHAnsi" w:hAnsiTheme="majorHAnsi"/>
          <w:sz w:val="21"/>
          <w:szCs w:val="21"/>
        </w:rPr>
        <w:t>qyr</w:t>
      </w:r>
      <w:r w:rsidR="002E66CC">
        <w:rPr>
          <w:rFonts w:asciiTheme="majorHAnsi" w:hAnsiTheme="majorHAnsi"/>
          <w:sz w:val="21"/>
          <w:szCs w:val="21"/>
        </w:rPr>
        <w:t>ja</w:t>
      </w:r>
      <w:r w:rsidRPr="000B7D56">
        <w:rPr>
          <w:rFonts w:asciiTheme="majorHAnsi" w:hAnsiTheme="majorHAnsi"/>
          <w:sz w:val="21"/>
          <w:szCs w:val="21"/>
        </w:rPr>
        <w:t xml:space="preserve"> </w:t>
      </w:r>
      <w:r w:rsidR="002E66CC">
        <w:rPr>
          <w:rFonts w:asciiTheme="majorHAnsi" w:hAnsiTheme="majorHAnsi"/>
          <w:sz w:val="21"/>
          <w:szCs w:val="21"/>
        </w:rPr>
        <w:t xml:space="preserve">e </w:t>
      </w:r>
      <w:r w:rsidRPr="000B7D56">
        <w:rPr>
          <w:rFonts w:asciiTheme="majorHAnsi" w:hAnsiTheme="majorHAnsi"/>
          <w:sz w:val="21"/>
          <w:szCs w:val="21"/>
        </w:rPr>
        <w:t>procesi</w:t>
      </w:r>
      <w:r w:rsidR="002E66CC">
        <w:rPr>
          <w:rFonts w:asciiTheme="majorHAnsi" w:hAnsiTheme="majorHAnsi"/>
          <w:sz w:val="21"/>
          <w:szCs w:val="21"/>
        </w:rPr>
        <w:t>t</w:t>
      </w:r>
      <w:r w:rsidRPr="000B7D56">
        <w:rPr>
          <w:rFonts w:asciiTheme="majorHAnsi" w:hAnsiTheme="majorHAnsi"/>
          <w:sz w:val="21"/>
          <w:szCs w:val="21"/>
        </w:rPr>
        <w:t xml:space="preserve"> dhe siguro</w:t>
      </w:r>
      <w:r w:rsidR="002E66CC">
        <w:rPr>
          <w:rFonts w:asciiTheme="majorHAnsi" w:hAnsiTheme="majorHAnsi"/>
          <w:sz w:val="21"/>
          <w:szCs w:val="21"/>
        </w:rPr>
        <w:t>im</w:t>
      </w:r>
      <w:r w:rsidRPr="000B7D56">
        <w:rPr>
          <w:rFonts w:asciiTheme="majorHAnsi" w:hAnsiTheme="majorHAnsi"/>
          <w:sz w:val="21"/>
          <w:szCs w:val="21"/>
        </w:rPr>
        <w:t xml:space="preserve"> q</w:t>
      </w:r>
      <w:r w:rsidR="00C87181" w:rsidRPr="000B7D56">
        <w:rPr>
          <w:rFonts w:asciiTheme="majorHAnsi" w:hAnsiTheme="majorHAnsi"/>
          <w:sz w:val="21"/>
          <w:szCs w:val="21"/>
        </w:rPr>
        <w:t>ë</w:t>
      </w:r>
      <w:r w:rsidRPr="000B7D56">
        <w:rPr>
          <w:rFonts w:asciiTheme="majorHAnsi" w:hAnsiTheme="majorHAnsi"/>
          <w:sz w:val="21"/>
          <w:szCs w:val="21"/>
        </w:rPr>
        <w:t xml:space="preserve"> Grupi Teknik ka ndjekur kriteret dhe procedurat e vler</w:t>
      </w:r>
      <w:r w:rsidR="00C87181" w:rsidRPr="000B7D56">
        <w:rPr>
          <w:rFonts w:asciiTheme="majorHAnsi" w:hAnsiTheme="majorHAnsi"/>
          <w:sz w:val="21"/>
          <w:szCs w:val="21"/>
        </w:rPr>
        <w:t>ë</w:t>
      </w:r>
      <w:r w:rsidRPr="000B7D56">
        <w:rPr>
          <w:rFonts w:asciiTheme="majorHAnsi" w:hAnsiTheme="majorHAnsi"/>
          <w:sz w:val="21"/>
          <w:szCs w:val="21"/>
        </w:rPr>
        <w:t>simit t</w:t>
      </w:r>
      <w:r w:rsidR="00C87181" w:rsidRPr="000B7D56">
        <w:rPr>
          <w:rFonts w:asciiTheme="majorHAnsi" w:hAnsiTheme="majorHAnsi"/>
          <w:sz w:val="21"/>
          <w:szCs w:val="21"/>
        </w:rPr>
        <w:t>ë</w:t>
      </w:r>
      <w:r w:rsidRPr="000B7D56">
        <w:rPr>
          <w:rFonts w:asciiTheme="majorHAnsi" w:hAnsiTheme="majorHAnsi"/>
          <w:sz w:val="21"/>
          <w:szCs w:val="21"/>
        </w:rPr>
        <w:t xml:space="preserve"> p</w:t>
      </w:r>
      <w:r w:rsidR="00C87181" w:rsidRPr="000B7D56">
        <w:rPr>
          <w:rFonts w:asciiTheme="majorHAnsi" w:hAnsiTheme="majorHAnsi"/>
          <w:sz w:val="21"/>
          <w:szCs w:val="21"/>
        </w:rPr>
        <w:t>ë</w:t>
      </w:r>
      <w:r w:rsidRPr="000B7D56">
        <w:rPr>
          <w:rFonts w:asciiTheme="majorHAnsi" w:hAnsiTheme="majorHAnsi"/>
          <w:sz w:val="21"/>
          <w:szCs w:val="21"/>
        </w:rPr>
        <w:t>rcaktuara n</w:t>
      </w:r>
      <w:r w:rsidR="00C87181" w:rsidRPr="000B7D56">
        <w:rPr>
          <w:rFonts w:asciiTheme="majorHAnsi" w:hAnsiTheme="majorHAnsi"/>
          <w:sz w:val="21"/>
          <w:szCs w:val="21"/>
        </w:rPr>
        <w:t>ë</w:t>
      </w:r>
      <w:r w:rsidRPr="000B7D56">
        <w:rPr>
          <w:rFonts w:asciiTheme="majorHAnsi" w:hAnsiTheme="majorHAnsi"/>
          <w:sz w:val="21"/>
          <w:szCs w:val="21"/>
        </w:rPr>
        <w:t xml:space="preserve"> rregullat e grantit t</w:t>
      </w:r>
      <w:r w:rsidR="00C87181" w:rsidRPr="000B7D56">
        <w:rPr>
          <w:rFonts w:asciiTheme="majorHAnsi" w:hAnsiTheme="majorHAnsi"/>
          <w:sz w:val="21"/>
          <w:szCs w:val="21"/>
        </w:rPr>
        <w:t>ë</w:t>
      </w:r>
      <w:r w:rsidRPr="000B7D56">
        <w:rPr>
          <w:rFonts w:asciiTheme="majorHAnsi" w:hAnsiTheme="majorHAnsi"/>
          <w:sz w:val="21"/>
          <w:szCs w:val="21"/>
        </w:rPr>
        <w:t xml:space="preserve"> performanc</w:t>
      </w:r>
      <w:r w:rsidR="00C87181" w:rsidRPr="000B7D56">
        <w:rPr>
          <w:rFonts w:asciiTheme="majorHAnsi" w:hAnsiTheme="majorHAnsi"/>
          <w:sz w:val="21"/>
          <w:szCs w:val="21"/>
        </w:rPr>
        <w:t>ë</w:t>
      </w:r>
      <w:r w:rsidRPr="000B7D56">
        <w:rPr>
          <w:rFonts w:asciiTheme="majorHAnsi" w:hAnsiTheme="majorHAnsi"/>
          <w:sz w:val="21"/>
          <w:szCs w:val="21"/>
        </w:rPr>
        <w:t>s;</w:t>
      </w:r>
    </w:p>
    <w:p w14:paraId="148E91BD" w14:textId="28E67806" w:rsidR="004E646E" w:rsidRPr="000B7D56" w:rsidRDefault="00876839" w:rsidP="009A3BEC">
      <w:pPr>
        <w:pStyle w:val="ListParagraph"/>
        <w:numPr>
          <w:ilvl w:val="1"/>
          <w:numId w:val="32"/>
        </w:numPr>
        <w:tabs>
          <w:tab w:val="left" w:pos="1710"/>
        </w:tabs>
        <w:spacing w:after="0" w:line="264" w:lineRule="auto"/>
        <w:jc w:val="both"/>
        <w:rPr>
          <w:rFonts w:asciiTheme="majorHAnsi" w:hAnsiTheme="majorHAnsi"/>
          <w:sz w:val="21"/>
          <w:szCs w:val="21"/>
        </w:rPr>
      </w:pPr>
      <w:r>
        <w:rPr>
          <w:rFonts w:asciiTheme="majorHAnsi" w:hAnsiTheme="majorHAnsi"/>
          <w:sz w:val="21"/>
          <w:szCs w:val="21"/>
        </w:rPr>
        <w:t>Miratimi</w:t>
      </w:r>
      <w:r w:rsidR="004E646E" w:rsidRPr="000B7D56">
        <w:rPr>
          <w:rFonts w:asciiTheme="majorHAnsi" w:hAnsiTheme="majorHAnsi"/>
          <w:sz w:val="21"/>
          <w:szCs w:val="21"/>
        </w:rPr>
        <w:t xml:space="preserve"> </w:t>
      </w:r>
      <w:r>
        <w:rPr>
          <w:rFonts w:asciiTheme="majorHAnsi" w:hAnsiTheme="majorHAnsi"/>
          <w:sz w:val="21"/>
          <w:szCs w:val="21"/>
        </w:rPr>
        <w:t>i</w:t>
      </w:r>
      <w:r w:rsidR="004E646E" w:rsidRPr="000B7D56">
        <w:rPr>
          <w:rFonts w:asciiTheme="majorHAnsi" w:hAnsiTheme="majorHAnsi"/>
          <w:sz w:val="21"/>
          <w:szCs w:val="21"/>
        </w:rPr>
        <w:t xml:space="preserve"> rezultateve t</w:t>
      </w:r>
      <w:r w:rsidR="00C87181" w:rsidRPr="000B7D56">
        <w:rPr>
          <w:rFonts w:asciiTheme="majorHAnsi" w:hAnsiTheme="majorHAnsi"/>
          <w:sz w:val="21"/>
          <w:szCs w:val="21"/>
        </w:rPr>
        <w:t>ë</w:t>
      </w:r>
      <w:r w:rsidR="004E646E" w:rsidRPr="000B7D56">
        <w:rPr>
          <w:rFonts w:asciiTheme="majorHAnsi" w:hAnsiTheme="majorHAnsi"/>
          <w:sz w:val="21"/>
          <w:szCs w:val="21"/>
        </w:rPr>
        <w:t xml:space="preserve"> vler</w:t>
      </w:r>
      <w:r w:rsidR="00C87181" w:rsidRPr="000B7D56">
        <w:rPr>
          <w:rFonts w:asciiTheme="majorHAnsi" w:hAnsiTheme="majorHAnsi"/>
          <w:sz w:val="21"/>
          <w:szCs w:val="21"/>
        </w:rPr>
        <w:t>ë</w:t>
      </w:r>
      <w:r w:rsidR="004E646E" w:rsidRPr="000B7D56">
        <w:rPr>
          <w:rFonts w:asciiTheme="majorHAnsi" w:hAnsiTheme="majorHAnsi"/>
          <w:sz w:val="21"/>
          <w:szCs w:val="21"/>
        </w:rPr>
        <w:t>simit t</w:t>
      </w:r>
      <w:r w:rsidR="00C87181" w:rsidRPr="000B7D56">
        <w:rPr>
          <w:rFonts w:asciiTheme="majorHAnsi" w:hAnsiTheme="majorHAnsi"/>
          <w:sz w:val="21"/>
          <w:szCs w:val="21"/>
        </w:rPr>
        <w:t>ë</w:t>
      </w:r>
      <w:r w:rsidR="004E646E" w:rsidRPr="000B7D56">
        <w:rPr>
          <w:rFonts w:asciiTheme="majorHAnsi" w:hAnsiTheme="majorHAnsi"/>
          <w:sz w:val="21"/>
          <w:szCs w:val="21"/>
        </w:rPr>
        <w:t xml:space="preserve"> performanc</w:t>
      </w:r>
      <w:r w:rsidR="00C87181" w:rsidRPr="000B7D56">
        <w:rPr>
          <w:rFonts w:asciiTheme="majorHAnsi" w:hAnsiTheme="majorHAnsi"/>
          <w:sz w:val="21"/>
          <w:szCs w:val="21"/>
        </w:rPr>
        <w:t>ë</w:t>
      </w:r>
      <w:r w:rsidR="004E646E" w:rsidRPr="000B7D56">
        <w:rPr>
          <w:rFonts w:asciiTheme="majorHAnsi" w:hAnsiTheme="majorHAnsi"/>
          <w:sz w:val="21"/>
          <w:szCs w:val="21"/>
        </w:rPr>
        <w:t>s p</w:t>
      </w:r>
      <w:r w:rsidR="00C87181" w:rsidRPr="000B7D56">
        <w:rPr>
          <w:rFonts w:asciiTheme="majorHAnsi" w:hAnsiTheme="majorHAnsi"/>
          <w:sz w:val="21"/>
          <w:szCs w:val="21"/>
        </w:rPr>
        <w:t>ë</w:t>
      </w:r>
      <w:r w:rsidR="004E646E" w:rsidRPr="000B7D56">
        <w:rPr>
          <w:rFonts w:asciiTheme="majorHAnsi" w:hAnsiTheme="majorHAnsi"/>
          <w:sz w:val="21"/>
          <w:szCs w:val="21"/>
        </w:rPr>
        <w:t xml:space="preserve">r </w:t>
      </w:r>
      <w:r w:rsidR="00964A0B" w:rsidRPr="000B7D56">
        <w:rPr>
          <w:rFonts w:asciiTheme="majorHAnsi" w:hAnsiTheme="majorHAnsi"/>
          <w:sz w:val="21"/>
          <w:szCs w:val="21"/>
        </w:rPr>
        <w:t>GPK</w:t>
      </w:r>
      <w:r w:rsidR="004E646E" w:rsidRPr="000B7D56">
        <w:rPr>
          <w:rFonts w:asciiTheme="majorHAnsi" w:hAnsiTheme="majorHAnsi"/>
          <w:sz w:val="21"/>
          <w:szCs w:val="21"/>
        </w:rPr>
        <w:t>;</w:t>
      </w:r>
    </w:p>
    <w:p w14:paraId="3C79C0C6" w14:textId="77777777" w:rsidR="00CD79F5" w:rsidRPr="000B7D56" w:rsidRDefault="004652F8" w:rsidP="009A3BEC">
      <w:pPr>
        <w:pStyle w:val="ListParagraph"/>
        <w:numPr>
          <w:ilvl w:val="1"/>
          <w:numId w:val="32"/>
        </w:numPr>
        <w:tabs>
          <w:tab w:val="left" w:pos="1710"/>
        </w:tabs>
        <w:spacing w:after="0" w:line="264" w:lineRule="auto"/>
        <w:jc w:val="both"/>
        <w:rPr>
          <w:sz w:val="21"/>
          <w:szCs w:val="21"/>
        </w:rPr>
      </w:pPr>
      <w:r w:rsidRPr="000B7D56">
        <w:rPr>
          <w:sz w:val="21"/>
          <w:szCs w:val="21"/>
        </w:rPr>
        <w:t>N</w:t>
      </w:r>
      <w:r w:rsidR="00E04BE3" w:rsidRPr="000B7D56">
        <w:rPr>
          <w:sz w:val="21"/>
          <w:szCs w:val="21"/>
        </w:rPr>
        <w:t>ë</w:t>
      </w:r>
      <w:r w:rsidRPr="000B7D56">
        <w:rPr>
          <w:sz w:val="21"/>
          <w:szCs w:val="21"/>
        </w:rPr>
        <w:t xml:space="preserve"> rast t</w:t>
      </w:r>
      <w:r w:rsidR="00E04BE3" w:rsidRPr="000B7D56">
        <w:rPr>
          <w:sz w:val="21"/>
          <w:szCs w:val="21"/>
        </w:rPr>
        <w:t>ë</w:t>
      </w:r>
      <w:r w:rsidRPr="000B7D56">
        <w:rPr>
          <w:sz w:val="21"/>
          <w:szCs w:val="21"/>
        </w:rPr>
        <w:t xml:space="preserve"> konstatimit t</w:t>
      </w:r>
      <w:r w:rsidR="00E04BE3" w:rsidRPr="000B7D56">
        <w:rPr>
          <w:sz w:val="21"/>
          <w:szCs w:val="21"/>
        </w:rPr>
        <w:t>ë</w:t>
      </w:r>
      <w:r w:rsidRPr="000B7D56">
        <w:rPr>
          <w:sz w:val="21"/>
          <w:szCs w:val="21"/>
        </w:rPr>
        <w:t xml:space="preserve"> parregullsive, Komisioni mund ta kthej n</w:t>
      </w:r>
      <w:r w:rsidR="00E04BE3" w:rsidRPr="000B7D56">
        <w:rPr>
          <w:sz w:val="21"/>
          <w:szCs w:val="21"/>
        </w:rPr>
        <w:t>ë</w:t>
      </w:r>
      <w:r w:rsidRPr="000B7D56">
        <w:rPr>
          <w:sz w:val="21"/>
          <w:szCs w:val="21"/>
        </w:rPr>
        <w:t xml:space="preserve"> rishqyrtim procesin e vler</w:t>
      </w:r>
      <w:r w:rsidR="00E04BE3" w:rsidRPr="000B7D56">
        <w:rPr>
          <w:sz w:val="21"/>
          <w:szCs w:val="21"/>
        </w:rPr>
        <w:t>ë</w:t>
      </w:r>
      <w:r w:rsidRPr="000B7D56">
        <w:rPr>
          <w:sz w:val="21"/>
          <w:szCs w:val="21"/>
        </w:rPr>
        <w:t>simit;</w:t>
      </w:r>
    </w:p>
    <w:p w14:paraId="25E53FDA" w14:textId="6DFC1C47" w:rsidR="004652F8" w:rsidRPr="000B7D56" w:rsidRDefault="004E646E" w:rsidP="009A3BEC">
      <w:pPr>
        <w:pStyle w:val="ListParagraph"/>
        <w:numPr>
          <w:ilvl w:val="1"/>
          <w:numId w:val="32"/>
        </w:numPr>
        <w:tabs>
          <w:tab w:val="left" w:pos="1710"/>
        </w:tabs>
        <w:spacing w:after="0" w:line="264" w:lineRule="auto"/>
        <w:jc w:val="both"/>
        <w:rPr>
          <w:color w:val="000000" w:themeColor="text1"/>
          <w:sz w:val="21"/>
          <w:szCs w:val="21"/>
        </w:rPr>
      </w:pPr>
      <w:r w:rsidRPr="000B7D56">
        <w:rPr>
          <w:rFonts w:asciiTheme="majorHAnsi" w:hAnsiTheme="majorHAnsi"/>
          <w:sz w:val="21"/>
          <w:szCs w:val="21"/>
        </w:rPr>
        <w:t>Njoft</w:t>
      </w:r>
      <w:r w:rsidR="002E66CC">
        <w:rPr>
          <w:rFonts w:asciiTheme="majorHAnsi" w:hAnsiTheme="majorHAnsi"/>
          <w:sz w:val="21"/>
          <w:szCs w:val="21"/>
        </w:rPr>
        <w:t>imi i</w:t>
      </w:r>
      <w:r w:rsidRPr="000B7D56">
        <w:rPr>
          <w:rFonts w:asciiTheme="majorHAnsi" w:hAnsiTheme="majorHAnsi"/>
          <w:sz w:val="21"/>
          <w:szCs w:val="21"/>
        </w:rPr>
        <w:t xml:space="preserve"> komuna</w:t>
      </w:r>
      <w:r w:rsidR="002E66CC">
        <w:rPr>
          <w:rFonts w:asciiTheme="majorHAnsi" w:hAnsiTheme="majorHAnsi"/>
          <w:sz w:val="21"/>
          <w:szCs w:val="21"/>
        </w:rPr>
        <w:t>ve</w:t>
      </w:r>
      <w:r w:rsidRPr="000B7D56">
        <w:rPr>
          <w:rFonts w:asciiTheme="majorHAnsi" w:hAnsiTheme="majorHAnsi"/>
          <w:sz w:val="21"/>
          <w:szCs w:val="21"/>
        </w:rPr>
        <w:t xml:space="preserve"> </w:t>
      </w:r>
      <w:r w:rsidR="00682266" w:rsidRPr="000B7D56">
        <w:rPr>
          <w:rFonts w:asciiTheme="majorHAnsi" w:hAnsiTheme="majorHAnsi"/>
          <w:sz w:val="21"/>
          <w:szCs w:val="21"/>
        </w:rPr>
        <w:t>për rezultatet e vlerësimit për grant;</w:t>
      </w:r>
    </w:p>
    <w:p w14:paraId="66CF5274" w14:textId="77777777" w:rsidR="004652F8" w:rsidRPr="000B7D56" w:rsidRDefault="00FA3533" w:rsidP="009A3BEC">
      <w:pPr>
        <w:pStyle w:val="ListParagraph"/>
        <w:numPr>
          <w:ilvl w:val="1"/>
          <w:numId w:val="32"/>
        </w:numPr>
        <w:tabs>
          <w:tab w:val="left" w:pos="1710"/>
        </w:tabs>
        <w:spacing w:after="0" w:line="264" w:lineRule="auto"/>
        <w:ind w:left="662"/>
        <w:jc w:val="both"/>
        <w:rPr>
          <w:color w:val="000000" w:themeColor="text1"/>
          <w:sz w:val="21"/>
          <w:szCs w:val="21"/>
        </w:rPr>
      </w:pPr>
      <w:r w:rsidRPr="000B7D56">
        <w:rPr>
          <w:rFonts w:asciiTheme="majorHAnsi" w:hAnsiTheme="majorHAnsi"/>
          <w:sz w:val="21"/>
          <w:szCs w:val="21"/>
        </w:rPr>
        <w:t>Komisioni i</w:t>
      </w:r>
      <w:r w:rsidR="004652F8" w:rsidRPr="000B7D56">
        <w:rPr>
          <w:rFonts w:asciiTheme="majorHAnsi" w:hAnsiTheme="majorHAnsi"/>
          <w:sz w:val="21"/>
          <w:szCs w:val="21"/>
        </w:rPr>
        <w:t xml:space="preserve"> grantit nuk mund të ndryshojë rezultatet e vlerësimit dhe shumat e grantit, pa aplikimin e tërësishëm të procesit të vlerësimit në pajtim me rregullat e </w:t>
      </w:r>
      <w:r w:rsidR="00964A0B" w:rsidRPr="000B7D56">
        <w:rPr>
          <w:rFonts w:asciiTheme="majorHAnsi" w:hAnsiTheme="majorHAnsi"/>
          <w:sz w:val="21"/>
          <w:szCs w:val="21"/>
        </w:rPr>
        <w:t>GPK-s</w:t>
      </w:r>
      <w:r w:rsidR="00BB1193" w:rsidRPr="000B7D56">
        <w:rPr>
          <w:rFonts w:asciiTheme="majorHAnsi" w:hAnsiTheme="majorHAnsi"/>
          <w:sz w:val="21"/>
          <w:szCs w:val="21"/>
        </w:rPr>
        <w:t>ë</w:t>
      </w:r>
      <w:r w:rsidR="004652F8" w:rsidRPr="000B7D56">
        <w:rPr>
          <w:rFonts w:asciiTheme="majorHAnsi" w:hAnsiTheme="majorHAnsi"/>
          <w:sz w:val="21"/>
          <w:szCs w:val="21"/>
        </w:rPr>
        <w:t xml:space="preserve">; </w:t>
      </w:r>
    </w:p>
    <w:p w14:paraId="3A9B1830" w14:textId="77777777" w:rsidR="004652F8" w:rsidRPr="000B7D56" w:rsidRDefault="004652F8" w:rsidP="009A3BEC">
      <w:pPr>
        <w:pStyle w:val="ListParagraph"/>
        <w:numPr>
          <w:ilvl w:val="1"/>
          <w:numId w:val="32"/>
        </w:numPr>
        <w:tabs>
          <w:tab w:val="left" w:pos="1710"/>
        </w:tabs>
        <w:spacing w:after="0" w:line="264" w:lineRule="auto"/>
        <w:ind w:left="662"/>
        <w:jc w:val="both"/>
        <w:rPr>
          <w:color w:val="000000" w:themeColor="text1"/>
          <w:sz w:val="21"/>
          <w:szCs w:val="21"/>
        </w:rPr>
      </w:pPr>
      <w:r w:rsidRPr="000B7D56">
        <w:rPr>
          <w:rFonts w:asciiTheme="majorHAnsi" w:hAnsiTheme="majorHAnsi"/>
          <w:sz w:val="21"/>
          <w:szCs w:val="21"/>
        </w:rPr>
        <w:t>Në rast të ndryshimit të rezultateve të vlerësimit si rezultat i vendimit për ankesë të nxjerrë nga komisioni i ankesave, komisioni i grantit p</w:t>
      </w:r>
      <w:r w:rsidR="00E04BE3" w:rsidRPr="000B7D56">
        <w:rPr>
          <w:rFonts w:asciiTheme="majorHAnsi" w:hAnsiTheme="majorHAnsi"/>
          <w:sz w:val="21"/>
          <w:szCs w:val="21"/>
        </w:rPr>
        <w:t>ë</w:t>
      </w:r>
      <w:r w:rsidRPr="000B7D56">
        <w:rPr>
          <w:rFonts w:asciiTheme="majorHAnsi" w:hAnsiTheme="majorHAnsi"/>
          <w:sz w:val="21"/>
          <w:szCs w:val="21"/>
        </w:rPr>
        <w:t>rmes grupit teknik bënë ndryshimet në raportin e vlerësimit dhe njofton komunën përkatëse për rezultatin përfundimtar.</w:t>
      </w:r>
    </w:p>
    <w:p w14:paraId="6AFBC06D" w14:textId="1C4FBF59" w:rsidR="00713027" w:rsidRDefault="23DEE440" w:rsidP="68878158">
      <w:pPr>
        <w:spacing w:before="60" w:line="264" w:lineRule="auto"/>
        <w:jc w:val="both"/>
        <w:rPr>
          <w:rFonts w:asciiTheme="majorHAnsi" w:hAnsiTheme="majorHAnsi"/>
          <w:sz w:val="21"/>
          <w:szCs w:val="21"/>
        </w:rPr>
      </w:pPr>
      <w:r w:rsidRPr="68878158">
        <w:rPr>
          <w:rFonts w:asciiTheme="majorHAnsi" w:hAnsiTheme="majorHAnsi"/>
          <w:sz w:val="21"/>
          <w:szCs w:val="21"/>
        </w:rPr>
        <w:t xml:space="preserve">Komisioni i </w:t>
      </w:r>
      <w:r w:rsidR="002E66CC">
        <w:rPr>
          <w:rFonts w:asciiTheme="majorHAnsi" w:hAnsiTheme="majorHAnsi"/>
          <w:sz w:val="21"/>
          <w:szCs w:val="21"/>
        </w:rPr>
        <w:t>g</w:t>
      </w:r>
      <w:r w:rsidRPr="68878158">
        <w:rPr>
          <w:rFonts w:asciiTheme="majorHAnsi" w:hAnsiTheme="majorHAnsi"/>
          <w:sz w:val="21"/>
          <w:szCs w:val="21"/>
        </w:rPr>
        <w:t>rantit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002E66CC">
        <w:rPr>
          <w:rFonts w:asciiTheme="majorHAnsi" w:hAnsiTheme="majorHAnsi"/>
          <w:sz w:val="21"/>
          <w:szCs w:val="21"/>
        </w:rPr>
        <w:t>p</w:t>
      </w:r>
      <w:r w:rsidRPr="68878158">
        <w:rPr>
          <w:rFonts w:asciiTheme="majorHAnsi" w:hAnsiTheme="majorHAnsi"/>
          <w:sz w:val="21"/>
          <w:szCs w:val="21"/>
        </w:rPr>
        <w:t>erformanc</w:t>
      </w:r>
      <w:r w:rsidR="5A659ED2" w:rsidRPr="68878158">
        <w:rPr>
          <w:rFonts w:asciiTheme="majorHAnsi" w:hAnsiTheme="majorHAnsi"/>
          <w:sz w:val="21"/>
          <w:szCs w:val="21"/>
        </w:rPr>
        <w:t>ë</w:t>
      </w:r>
      <w:r w:rsidRPr="68878158">
        <w:rPr>
          <w:rFonts w:asciiTheme="majorHAnsi" w:hAnsiTheme="majorHAnsi"/>
          <w:sz w:val="21"/>
          <w:szCs w:val="21"/>
        </w:rPr>
        <w:t xml:space="preserve">s </w:t>
      </w:r>
      <w:r w:rsidR="002E66CC">
        <w:rPr>
          <w:rFonts w:asciiTheme="majorHAnsi" w:hAnsiTheme="majorHAnsi"/>
          <w:sz w:val="21"/>
          <w:szCs w:val="21"/>
        </w:rPr>
        <w:t>k</w:t>
      </w:r>
      <w:r w:rsidRPr="68878158">
        <w:rPr>
          <w:rFonts w:asciiTheme="majorHAnsi" w:hAnsiTheme="majorHAnsi"/>
          <w:sz w:val="21"/>
          <w:szCs w:val="21"/>
        </w:rPr>
        <w:t>omunale themelohet me vendim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002E66CC">
        <w:rPr>
          <w:rFonts w:asciiTheme="majorHAnsi" w:hAnsiTheme="majorHAnsi"/>
          <w:sz w:val="21"/>
          <w:szCs w:val="21"/>
        </w:rPr>
        <w:t>S</w:t>
      </w:r>
      <w:r w:rsidRPr="68878158">
        <w:rPr>
          <w:rFonts w:asciiTheme="majorHAnsi" w:hAnsiTheme="majorHAnsi"/>
          <w:sz w:val="21"/>
          <w:szCs w:val="21"/>
        </w:rPr>
        <w:t>ekretarit t</w:t>
      </w:r>
      <w:r w:rsidR="5A659ED2" w:rsidRPr="68878158">
        <w:rPr>
          <w:rFonts w:asciiTheme="majorHAnsi" w:hAnsiTheme="majorHAnsi"/>
          <w:sz w:val="21"/>
          <w:szCs w:val="21"/>
        </w:rPr>
        <w:t>ë</w:t>
      </w:r>
      <w:r w:rsidRPr="68878158">
        <w:rPr>
          <w:rFonts w:asciiTheme="majorHAnsi" w:hAnsiTheme="majorHAnsi"/>
          <w:sz w:val="21"/>
          <w:szCs w:val="21"/>
        </w:rPr>
        <w:t xml:space="preserve"> p</w:t>
      </w:r>
      <w:r w:rsidR="5A659ED2" w:rsidRPr="68878158">
        <w:rPr>
          <w:rFonts w:asciiTheme="majorHAnsi" w:hAnsiTheme="majorHAnsi"/>
          <w:sz w:val="21"/>
          <w:szCs w:val="21"/>
        </w:rPr>
        <w:t>ë</w:t>
      </w:r>
      <w:r w:rsidRPr="68878158">
        <w:rPr>
          <w:rFonts w:asciiTheme="majorHAnsi" w:hAnsiTheme="majorHAnsi"/>
          <w:sz w:val="21"/>
          <w:szCs w:val="21"/>
        </w:rPr>
        <w:t>rgjithsh</w:t>
      </w:r>
      <w:r w:rsidR="5A659ED2" w:rsidRPr="68878158">
        <w:rPr>
          <w:rFonts w:asciiTheme="majorHAnsi" w:hAnsiTheme="majorHAnsi"/>
          <w:sz w:val="21"/>
          <w:szCs w:val="21"/>
        </w:rPr>
        <w:t>ë</w:t>
      </w:r>
      <w:r w:rsidRPr="68878158">
        <w:rPr>
          <w:rFonts w:asciiTheme="majorHAnsi" w:hAnsiTheme="majorHAnsi"/>
          <w:sz w:val="21"/>
          <w:szCs w:val="21"/>
        </w:rPr>
        <w:t>m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37FC2BD2" w:rsidRPr="68878158">
        <w:rPr>
          <w:rFonts w:asciiTheme="majorHAnsi" w:hAnsiTheme="majorHAnsi"/>
          <w:sz w:val="21"/>
          <w:szCs w:val="21"/>
        </w:rPr>
        <w:t>MAPL</w:t>
      </w:r>
      <w:r w:rsidRPr="68878158">
        <w:rPr>
          <w:rFonts w:asciiTheme="majorHAnsi" w:hAnsiTheme="majorHAnsi"/>
          <w:sz w:val="21"/>
          <w:szCs w:val="21"/>
        </w:rPr>
        <w:t>-s</w:t>
      </w:r>
      <w:r w:rsidR="5A659ED2" w:rsidRPr="68878158">
        <w:rPr>
          <w:rFonts w:asciiTheme="majorHAnsi" w:hAnsiTheme="majorHAnsi"/>
          <w:sz w:val="21"/>
          <w:szCs w:val="21"/>
        </w:rPr>
        <w:t>ë</w:t>
      </w:r>
      <w:r w:rsidRPr="68878158">
        <w:rPr>
          <w:rFonts w:asciiTheme="majorHAnsi" w:hAnsiTheme="majorHAnsi"/>
          <w:sz w:val="21"/>
          <w:szCs w:val="21"/>
        </w:rPr>
        <w:t>, p</w:t>
      </w:r>
      <w:r w:rsidR="5A659ED2" w:rsidRPr="68878158">
        <w:rPr>
          <w:rFonts w:asciiTheme="majorHAnsi" w:hAnsiTheme="majorHAnsi"/>
          <w:sz w:val="21"/>
          <w:szCs w:val="21"/>
        </w:rPr>
        <w:t>ë</w:t>
      </w:r>
      <w:r w:rsidRPr="68878158">
        <w:rPr>
          <w:rFonts w:asciiTheme="majorHAnsi" w:hAnsiTheme="majorHAnsi"/>
          <w:sz w:val="21"/>
          <w:szCs w:val="21"/>
        </w:rPr>
        <w:t>rb</w:t>
      </w:r>
      <w:r w:rsidR="5A659ED2" w:rsidRPr="68878158">
        <w:rPr>
          <w:rFonts w:asciiTheme="majorHAnsi" w:hAnsiTheme="majorHAnsi"/>
          <w:sz w:val="21"/>
          <w:szCs w:val="21"/>
        </w:rPr>
        <w:t>ë</w:t>
      </w:r>
      <w:r w:rsidRPr="68878158">
        <w:rPr>
          <w:rFonts w:asciiTheme="majorHAnsi" w:hAnsiTheme="majorHAnsi"/>
          <w:sz w:val="21"/>
          <w:szCs w:val="21"/>
        </w:rPr>
        <w:t>rja e t</w:t>
      </w:r>
      <w:r w:rsidR="5A659ED2" w:rsidRPr="68878158">
        <w:rPr>
          <w:rFonts w:asciiTheme="majorHAnsi" w:hAnsiTheme="majorHAnsi"/>
          <w:sz w:val="21"/>
          <w:szCs w:val="21"/>
        </w:rPr>
        <w:t>ë</w:t>
      </w:r>
      <w:r w:rsidRPr="68878158">
        <w:rPr>
          <w:rFonts w:asciiTheme="majorHAnsi" w:hAnsiTheme="majorHAnsi"/>
          <w:sz w:val="21"/>
          <w:szCs w:val="21"/>
        </w:rPr>
        <w:t xml:space="preserve"> cilit p</w:t>
      </w:r>
      <w:r w:rsidR="5A659ED2" w:rsidRPr="68878158">
        <w:rPr>
          <w:rFonts w:asciiTheme="majorHAnsi" w:hAnsiTheme="majorHAnsi"/>
          <w:sz w:val="21"/>
          <w:szCs w:val="21"/>
        </w:rPr>
        <w:t>ë</w:t>
      </w:r>
      <w:r w:rsidRPr="68878158">
        <w:rPr>
          <w:rFonts w:asciiTheme="majorHAnsi" w:hAnsiTheme="majorHAnsi"/>
          <w:sz w:val="21"/>
          <w:szCs w:val="21"/>
        </w:rPr>
        <w:t>rcaktohet n</w:t>
      </w:r>
      <w:r w:rsidR="5A659ED2" w:rsidRPr="68878158">
        <w:rPr>
          <w:rFonts w:asciiTheme="majorHAnsi" w:hAnsiTheme="majorHAnsi"/>
          <w:sz w:val="21"/>
          <w:szCs w:val="21"/>
        </w:rPr>
        <w:t>ë</w:t>
      </w:r>
      <w:r w:rsidRPr="68878158">
        <w:rPr>
          <w:rFonts w:asciiTheme="majorHAnsi" w:hAnsiTheme="majorHAnsi"/>
          <w:sz w:val="21"/>
          <w:szCs w:val="21"/>
        </w:rPr>
        <w:t xml:space="preserve"> nenin 35.4 t</w:t>
      </w:r>
      <w:r w:rsidR="5A659ED2" w:rsidRPr="68878158">
        <w:rPr>
          <w:rFonts w:asciiTheme="majorHAnsi" w:hAnsiTheme="majorHAnsi"/>
          <w:sz w:val="21"/>
          <w:szCs w:val="21"/>
        </w:rPr>
        <w:t>ë</w:t>
      </w:r>
      <w:r w:rsidRPr="68878158">
        <w:rPr>
          <w:rFonts w:asciiTheme="majorHAnsi" w:hAnsiTheme="majorHAnsi"/>
          <w:sz w:val="21"/>
          <w:szCs w:val="21"/>
        </w:rPr>
        <w:t xml:space="preserve"> Rregullores 01/2020 p</w:t>
      </w:r>
      <w:r w:rsidR="5A659ED2" w:rsidRPr="68878158">
        <w:rPr>
          <w:rFonts w:asciiTheme="majorHAnsi" w:hAnsiTheme="majorHAnsi"/>
          <w:sz w:val="21"/>
          <w:szCs w:val="21"/>
        </w:rPr>
        <w:t>ë</w:t>
      </w:r>
      <w:r w:rsidRPr="68878158">
        <w:rPr>
          <w:rFonts w:asciiTheme="majorHAnsi" w:hAnsiTheme="majorHAnsi"/>
          <w:sz w:val="21"/>
          <w:szCs w:val="21"/>
        </w:rPr>
        <w:t>r Sistemin e Menaxhimit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023B087E" w:rsidRPr="68878158">
        <w:rPr>
          <w:rFonts w:asciiTheme="majorHAnsi" w:hAnsiTheme="majorHAnsi"/>
          <w:sz w:val="21"/>
          <w:szCs w:val="21"/>
        </w:rPr>
        <w:t>P</w:t>
      </w:r>
      <w:r w:rsidRPr="68878158">
        <w:rPr>
          <w:rFonts w:asciiTheme="majorHAnsi" w:hAnsiTheme="majorHAnsi"/>
          <w:sz w:val="21"/>
          <w:szCs w:val="21"/>
        </w:rPr>
        <w:t>erformanc</w:t>
      </w:r>
      <w:r w:rsidR="5A659ED2" w:rsidRPr="68878158">
        <w:rPr>
          <w:rFonts w:asciiTheme="majorHAnsi" w:hAnsiTheme="majorHAnsi"/>
          <w:sz w:val="21"/>
          <w:szCs w:val="21"/>
        </w:rPr>
        <w:t>ë</w:t>
      </w:r>
      <w:r w:rsidRPr="68878158">
        <w:rPr>
          <w:rFonts w:asciiTheme="majorHAnsi" w:hAnsiTheme="majorHAnsi"/>
          <w:sz w:val="21"/>
          <w:szCs w:val="21"/>
        </w:rPr>
        <w:t>s Komunale dhe Skem</w:t>
      </w:r>
      <w:r w:rsidR="5A659ED2" w:rsidRPr="68878158">
        <w:rPr>
          <w:rFonts w:asciiTheme="majorHAnsi" w:hAnsiTheme="majorHAnsi"/>
          <w:sz w:val="21"/>
          <w:szCs w:val="21"/>
        </w:rPr>
        <w:t>ë</w:t>
      </w:r>
      <w:r w:rsidRPr="68878158">
        <w:rPr>
          <w:rFonts w:asciiTheme="majorHAnsi" w:hAnsiTheme="majorHAnsi"/>
          <w:sz w:val="21"/>
          <w:szCs w:val="21"/>
        </w:rPr>
        <w:t>s s</w:t>
      </w:r>
      <w:r w:rsidR="5A659ED2" w:rsidRPr="68878158">
        <w:rPr>
          <w:rFonts w:asciiTheme="majorHAnsi" w:hAnsiTheme="majorHAnsi"/>
          <w:sz w:val="21"/>
          <w:szCs w:val="21"/>
        </w:rPr>
        <w:t>ë</w:t>
      </w:r>
      <w:r w:rsidRPr="68878158">
        <w:rPr>
          <w:rFonts w:asciiTheme="majorHAnsi" w:hAnsiTheme="majorHAnsi"/>
          <w:sz w:val="21"/>
          <w:szCs w:val="21"/>
        </w:rPr>
        <w:t xml:space="preserve"> Grantit t</w:t>
      </w:r>
      <w:r w:rsidR="5A659ED2" w:rsidRPr="68878158">
        <w:rPr>
          <w:rFonts w:asciiTheme="majorHAnsi" w:hAnsiTheme="majorHAnsi"/>
          <w:sz w:val="21"/>
          <w:szCs w:val="21"/>
        </w:rPr>
        <w:t>ë</w:t>
      </w:r>
      <w:r w:rsidRPr="68878158">
        <w:rPr>
          <w:rFonts w:asciiTheme="majorHAnsi" w:hAnsiTheme="majorHAnsi"/>
          <w:sz w:val="21"/>
          <w:szCs w:val="21"/>
        </w:rPr>
        <w:t xml:space="preserve"> Bazuar n</w:t>
      </w:r>
      <w:r w:rsidR="5A659ED2" w:rsidRPr="68878158">
        <w:rPr>
          <w:rFonts w:asciiTheme="majorHAnsi" w:hAnsiTheme="majorHAnsi"/>
          <w:sz w:val="21"/>
          <w:szCs w:val="21"/>
        </w:rPr>
        <w:t>ë</w:t>
      </w:r>
      <w:r w:rsidRPr="68878158">
        <w:rPr>
          <w:rFonts w:asciiTheme="majorHAnsi" w:hAnsiTheme="majorHAnsi"/>
          <w:sz w:val="21"/>
          <w:szCs w:val="21"/>
        </w:rPr>
        <w:t xml:space="preserve"> Performanc</w:t>
      </w:r>
      <w:r w:rsidR="5A659ED2" w:rsidRPr="68878158">
        <w:rPr>
          <w:rFonts w:asciiTheme="majorHAnsi" w:hAnsiTheme="majorHAnsi"/>
          <w:sz w:val="21"/>
          <w:szCs w:val="21"/>
        </w:rPr>
        <w:t>ë</w:t>
      </w:r>
      <w:r w:rsidRPr="68878158">
        <w:rPr>
          <w:rFonts w:asciiTheme="majorHAnsi" w:hAnsiTheme="majorHAnsi"/>
          <w:sz w:val="21"/>
          <w:szCs w:val="21"/>
        </w:rPr>
        <w:t xml:space="preserve">, si vijon: </w:t>
      </w:r>
    </w:p>
    <w:p w14:paraId="57121161" w14:textId="4B8324A6" w:rsidR="00CD79F5" w:rsidRPr="00986B8B" w:rsidRDefault="13C00BF8" w:rsidP="68878158">
      <w:pPr>
        <w:pStyle w:val="ListParagraph"/>
        <w:numPr>
          <w:ilvl w:val="0"/>
          <w:numId w:val="33"/>
        </w:numPr>
        <w:spacing w:after="0" w:line="264" w:lineRule="auto"/>
        <w:ind w:left="634" w:hanging="274"/>
        <w:jc w:val="both"/>
        <w:rPr>
          <w:rFonts w:asciiTheme="majorHAnsi" w:hAnsiTheme="majorHAnsi"/>
          <w:sz w:val="21"/>
          <w:szCs w:val="21"/>
        </w:rPr>
      </w:pPr>
      <w:r w:rsidRPr="68878158">
        <w:rPr>
          <w:rFonts w:asciiTheme="majorHAnsi" w:hAnsiTheme="majorHAnsi"/>
          <w:sz w:val="21"/>
          <w:szCs w:val="21"/>
        </w:rPr>
        <w:t xml:space="preserve">1 anëtar nga </w:t>
      </w:r>
      <w:r w:rsidR="41436141" w:rsidRPr="68878158">
        <w:rPr>
          <w:rFonts w:asciiTheme="majorHAnsi" w:hAnsiTheme="majorHAnsi"/>
          <w:sz w:val="21"/>
          <w:szCs w:val="21"/>
        </w:rPr>
        <w:t>MAPL</w:t>
      </w:r>
      <w:r w:rsidRPr="68878158">
        <w:rPr>
          <w:rFonts w:asciiTheme="majorHAnsi" w:hAnsiTheme="majorHAnsi"/>
          <w:sz w:val="21"/>
          <w:szCs w:val="21"/>
        </w:rPr>
        <w:t xml:space="preserve"> (Sekretar i përgjithshëm</w:t>
      </w:r>
      <w:r w:rsidR="2FAF73B2" w:rsidRPr="68878158">
        <w:rPr>
          <w:rFonts w:asciiTheme="majorHAnsi" w:hAnsiTheme="majorHAnsi"/>
          <w:sz w:val="21"/>
          <w:szCs w:val="21"/>
        </w:rPr>
        <w:t>/</w:t>
      </w:r>
      <w:r w:rsidRPr="68878158">
        <w:rPr>
          <w:rFonts w:asciiTheme="majorHAnsi" w:hAnsiTheme="majorHAnsi"/>
          <w:sz w:val="21"/>
          <w:szCs w:val="21"/>
        </w:rPr>
        <w:t>Krye</w:t>
      </w:r>
      <w:r w:rsidR="2FAF73B2" w:rsidRPr="68878158">
        <w:rPr>
          <w:rFonts w:asciiTheme="majorHAnsi" w:hAnsiTheme="majorHAnsi"/>
          <w:sz w:val="21"/>
          <w:szCs w:val="21"/>
        </w:rPr>
        <w:t>sues</w:t>
      </w:r>
      <w:r w:rsidRPr="68878158">
        <w:rPr>
          <w:rFonts w:asciiTheme="majorHAnsi" w:hAnsiTheme="majorHAnsi"/>
          <w:sz w:val="21"/>
          <w:szCs w:val="21"/>
        </w:rPr>
        <w:t>)</w:t>
      </w:r>
      <w:r w:rsidR="0F557D45" w:rsidRPr="68878158">
        <w:rPr>
          <w:rFonts w:asciiTheme="majorHAnsi" w:hAnsiTheme="majorHAnsi"/>
          <w:sz w:val="21"/>
          <w:szCs w:val="21"/>
        </w:rPr>
        <w:t>,</w:t>
      </w:r>
    </w:p>
    <w:p w14:paraId="6B3192C6" w14:textId="4A195394" w:rsidR="00CD79F5" w:rsidRPr="00986B8B" w:rsidRDefault="00CD79F5"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1</w:t>
      </w:r>
      <w:r w:rsidR="00E874A9">
        <w:rPr>
          <w:rFonts w:asciiTheme="majorHAnsi" w:hAnsiTheme="majorHAnsi"/>
          <w:sz w:val="21"/>
          <w:szCs w:val="21"/>
        </w:rPr>
        <w:t xml:space="preserve"> anëtar</w:t>
      </w:r>
      <w:r w:rsidR="004652F8" w:rsidRPr="00986B8B">
        <w:rPr>
          <w:rFonts w:asciiTheme="majorHAnsi" w:hAnsiTheme="majorHAnsi"/>
          <w:sz w:val="21"/>
          <w:szCs w:val="21"/>
        </w:rPr>
        <w:t xml:space="preserve"> </w:t>
      </w:r>
      <w:r w:rsidR="00E874A9">
        <w:rPr>
          <w:rFonts w:asciiTheme="majorHAnsi" w:hAnsiTheme="majorHAnsi"/>
          <w:sz w:val="21"/>
          <w:szCs w:val="21"/>
        </w:rPr>
        <w:t xml:space="preserve">- </w:t>
      </w:r>
      <w:r w:rsidR="004652F8" w:rsidRPr="00986B8B">
        <w:rPr>
          <w:rFonts w:asciiTheme="majorHAnsi" w:hAnsiTheme="majorHAnsi"/>
          <w:sz w:val="21"/>
          <w:szCs w:val="21"/>
        </w:rPr>
        <w:t>zyrtar publik i nivelit drejtues t</w:t>
      </w:r>
      <w:r w:rsidR="00E04BE3" w:rsidRPr="00986B8B">
        <w:rPr>
          <w:rFonts w:asciiTheme="majorHAnsi" w:hAnsiTheme="majorHAnsi"/>
          <w:sz w:val="21"/>
          <w:szCs w:val="21"/>
        </w:rPr>
        <w:t>ë</w:t>
      </w:r>
      <w:r w:rsidR="004652F8" w:rsidRPr="00986B8B">
        <w:rPr>
          <w:rFonts w:asciiTheme="majorHAnsi" w:hAnsiTheme="majorHAnsi"/>
          <w:sz w:val="21"/>
          <w:szCs w:val="21"/>
        </w:rPr>
        <w:t xml:space="preserve"> ministris</w:t>
      </w:r>
      <w:r w:rsidR="00E04BE3" w:rsidRPr="00986B8B">
        <w:rPr>
          <w:rFonts w:asciiTheme="majorHAnsi" w:hAnsiTheme="majorHAnsi"/>
          <w:sz w:val="21"/>
          <w:szCs w:val="21"/>
        </w:rPr>
        <w:t>ë</w:t>
      </w:r>
      <w:r w:rsidR="002E66CC">
        <w:rPr>
          <w:rFonts w:asciiTheme="majorHAnsi" w:hAnsiTheme="majorHAnsi"/>
          <w:sz w:val="21"/>
          <w:szCs w:val="21"/>
        </w:rPr>
        <w:t>,</w:t>
      </w:r>
    </w:p>
    <w:p w14:paraId="67D89C48" w14:textId="3AC06C67" w:rsidR="00CD79F5" w:rsidRPr="00986B8B" w:rsidRDefault="00CD79F5"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w:t>
      </w:r>
      <w:r w:rsidR="00E874A9">
        <w:rPr>
          <w:rFonts w:asciiTheme="majorHAnsi" w:hAnsiTheme="majorHAnsi"/>
          <w:sz w:val="21"/>
          <w:szCs w:val="21"/>
        </w:rPr>
        <w:t xml:space="preserve">anëtar - </w:t>
      </w:r>
      <w:r w:rsidR="004652F8" w:rsidRPr="00986B8B">
        <w:rPr>
          <w:rFonts w:asciiTheme="majorHAnsi" w:hAnsiTheme="majorHAnsi"/>
          <w:sz w:val="21"/>
          <w:szCs w:val="21"/>
        </w:rPr>
        <w:t>zyrtar publik nga ministria p</w:t>
      </w:r>
      <w:r w:rsidR="00E04BE3" w:rsidRPr="00986B8B">
        <w:rPr>
          <w:rFonts w:asciiTheme="majorHAnsi" w:hAnsiTheme="majorHAnsi"/>
          <w:sz w:val="21"/>
          <w:szCs w:val="21"/>
        </w:rPr>
        <w:t>ë</w:t>
      </w:r>
      <w:r w:rsidR="004652F8" w:rsidRPr="00986B8B">
        <w:rPr>
          <w:rFonts w:asciiTheme="majorHAnsi" w:hAnsiTheme="majorHAnsi"/>
          <w:sz w:val="21"/>
          <w:szCs w:val="21"/>
        </w:rPr>
        <w:t>rgjegj</w:t>
      </w:r>
      <w:r w:rsidR="00E04BE3" w:rsidRPr="00986B8B">
        <w:rPr>
          <w:rFonts w:asciiTheme="majorHAnsi" w:hAnsiTheme="majorHAnsi"/>
          <w:sz w:val="21"/>
          <w:szCs w:val="21"/>
        </w:rPr>
        <w:t>ë</w:t>
      </w:r>
      <w:r w:rsidR="004652F8" w:rsidRPr="00986B8B">
        <w:rPr>
          <w:rFonts w:asciiTheme="majorHAnsi" w:hAnsiTheme="majorHAnsi"/>
          <w:sz w:val="21"/>
          <w:szCs w:val="21"/>
        </w:rPr>
        <w:t>se p</w:t>
      </w:r>
      <w:r w:rsidR="00E04BE3" w:rsidRPr="00986B8B">
        <w:rPr>
          <w:rFonts w:asciiTheme="majorHAnsi" w:hAnsiTheme="majorHAnsi"/>
          <w:sz w:val="21"/>
          <w:szCs w:val="21"/>
        </w:rPr>
        <w:t>ë</w:t>
      </w:r>
      <w:r w:rsidR="004652F8" w:rsidRPr="00986B8B">
        <w:rPr>
          <w:rFonts w:asciiTheme="majorHAnsi" w:hAnsiTheme="majorHAnsi"/>
          <w:sz w:val="21"/>
          <w:szCs w:val="21"/>
        </w:rPr>
        <w:t>r financa</w:t>
      </w:r>
      <w:r w:rsidR="002E66CC">
        <w:rPr>
          <w:rFonts w:asciiTheme="majorHAnsi" w:hAnsiTheme="majorHAnsi"/>
          <w:sz w:val="21"/>
          <w:szCs w:val="21"/>
        </w:rPr>
        <w:t>,</w:t>
      </w:r>
    </w:p>
    <w:p w14:paraId="1122F3AF" w14:textId="4DCFD64F" w:rsidR="00E874A9" w:rsidRDefault="00E874A9" w:rsidP="00E874A9">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vëzhgues nga </w:t>
      </w:r>
      <w:r>
        <w:rPr>
          <w:rFonts w:asciiTheme="majorHAnsi" w:hAnsiTheme="majorHAnsi"/>
          <w:sz w:val="21"/>
          <w:szCs w:val="21"/>
        </w:rPr>
        <w:t>Unioni Evropian në Kosovë</w:t>
      </w:r>
      <w:r w:rsidRPr="00986B8B">
        <w:rPr>
          <w:rFonts w:asciiTheme="majorHAnsi" w:hAnsiTheme="majorHAnsi"/>
          <w:sz w:val="21"/>
          <w:szCs w:val="21"/>
        </w:rPr>
        <w:t>,</w:t>
      </w:r>
    </w:p>
    <w:p w14:paraId="7BF054CA" w14:textId="74FCA33A" w:rsidR="00CE2CCF" w:rsidRPr="00986B8B" w:rsidRDefault="00CD79F5"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vëzhgues nga </w:t>
      </w:r>
      <w:r w:rsidR="00E500C3" w:rsidRPr="00986B8B">
        <w:rPr>
          <w:rFonts w:asciiTheme="majorHAnsi" w:hAnsiTheme="majorHAnsi"/>
          <w:sz w:val="21"/>
          <w:szCs w:val="21"/>
        </w:rPr>
        <w:t>S</w:t>
      </w:r>
      <w:r w:rsidR="003754A5">
        <w:rPr>
          <w:rFonts w:asciiTheme="majorHAnsi" w:hAnsiTheme="majorHAnsi"/>
          <w:sz w:val="21"/>
          <w:szCs w:val="21"/>
        </w:rPr>
        <w:t>uedia</w:t>
      </w:r>
      <w:r w:rsidR="006872D6">
        <w:rPr>
          <w:rFonts w:asciiTheme="majorHAnsi" w:hAnsiTheme="majorHAnsi"/>
          <w:sz w:val="21"/>
          <w:szCs w:val="21"/>
        </w:rPr>
        <w:t>,</w:t>
      </w:r>
      <w:r w:rsidR="00E11B7C" w:rsidRPr="00986B8B">
        <w:rPr>
          <w:rFonts w:asciiTheme="majorHAnsi" w:hAnsiTheme="majorHAnsi"/>
          <w:sz w:val="21"/>
          <w:szCs w:val="21"/>
        </w:rPr>
        <w:t xml:space="preserve"> </w:t>
      </w:r>
    </w:p>
    <w:p w14:paraId="3FE2E42A" w14:textId="49317DDF" w:rsidR="006872D6" w:rsidRPr="00986B8B" w:rsidRDefault="006872D6"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Pr>
          <w:rFonts w:asciiTheme="majorHAnsi" w:hAnsiTheme="majorHAnsi"/>
          <w:sz w:val="21"/>
          <w:szCs w:val="21"/>
        </w:rPr>
        <w:t xml:space="preserve">1 vëzhgues nga </w:t>
      </w:r>
      <w:r w:rsidR="003754A5">
        <w:rPr>
          <w:rFonts w:asciiTheme="majorHAnsi" w:hAnsiTheme="majorHAnsi"/>
          <w:sz w:val="21"/>
          <w:szCs w:val="21"/>
        </w:rPr>
        <w:t>Zvicrra</w:t>
      </w:r>
      <w:r>
        <w:rPr>
          <w:rFonts w:asciiTheme="majorHAnsi" w:hAnsiTheme="majorHAnsi"/>
          <w:sz w:val="21"/>
          <w:szCs w:val="21"/>
        </w:rPr>
        <w:t>,</w:t>
      </w:r>
    </w:p>
    <w:p w14:paraId="4C6E183E" w14:textId="0AB6A7EF" w:rsidR="00CD4813" w:rsidRPr="00986B8B" w:rsidRDefault="00CD4813"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vëzhgues nga </w:t>
      </w:r>
      <w:r w:rsidR="00713027" w:rsidRPr="00986B8B">
        <w:rPr>
          <w:rFonts w:asciiTheme="majorHAnsi" w:hAnsiTheme="majorHAnsi"/>
          <w:sz w:val="21"/>
          <w:szCs w:val="21"/>
        </w:rPr>
        <w:t>N</w:t>
      </w:r>
      <w:r w:rsidR="003754A5">
        <w:rPr>
          <w:rFonts w:asciiTheme="majorHAnsi" w:hAnsiTheme="majorHAnsi"/>
          <w:sz w:val="21"/>
          <w:szCs w:val="21"/>
        </w:rPr>
        <w:t>orvegjia</w:t>
      </w:r>
      <w:r w:rsidR="004652F8" w:rsidRPr="00986B8B">
        <w:rPr>
          <w:rFonts w:asciiTheme="majorHAnsi" w:hAnsiTheme="majorHAnsi"/>
          <w:sz w:val="21"/>
          <w:szCs w:val="21"/>
        </w:rPr>
        <w:t>,</w:t>
      </w:r>
      <w:r w:rsidRPr="00986B8B">
        <w:rPr>
          <w:rFonts w:asciiTheme="majorHAnsi" w:hAnsiTheme="majorHAnsi"/>
          <w:sz w:val="21"/>
          <w:szCs w:val="21"/>
        </w:rPr>
        <w:t xml:space="preserve"> dhe</w:t>
      </w:r>
    </w:p>
    <w:p w14:paraId="6BD7E247" w14:textId="15BD50BE" w:rsidR="004652F8" w:rsidRPr="00A64DB5" w:rsidRDefault="00927828" w:rsidP="00A64DB5">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vëzhgues</w:t>
      </w:r>
      <w:r w:rsidR="00CE2CCF" w:rsidRPr="00986B8B">
        <w:rPr>
          <w:rFonts w:asciiTheme="majorHAnsi" w:hAnsiTheme="majorHAnsi"/>
          <w:sz w:val="21"/>
          <w:szCs w:val="21"/>
        </w:rPr>
        <w:t xml:space="preserve"> nga </w:t>
      </w:r>
      <w:r w:rsidR="00713027" w:rsidRPr="00986B8B">
        <w:rPr>
          <w:rFonts w:asciiTheme="majorHAnsi" w:hAnsiTheme="majorHAnsi"/>
          <w:sz w:val="21"/>
          <w:szCs w:val="21"/>
        </w:rPr>
        <w:t>shoqëria civile</w:t>
      </w:r>
      <w:r w:rsidR="00CE2CCF" w:rsidRPr="00986B8B">
        <w:rPr>
          <w:rFonts w:asciiTheme="majorHAnsi" w:hAnsiTheme="majorHAnsi"/>
          <w:sz w:val="21"/>
          <w:szCs w:val="21"/>
        </w:rPr>
        <w:t>.</w:t>
      </w:r>
    </w:p>
    <w:p w14:paraId="5410A27F" w14:textId="292FD8FA" w:rsidR="004652F8" w:rsidRPr="004D2E1C" w:rsidRDefault="00A37E5F" w:rsidP="00D812D8">
      <w:pPr>
        <w:pStyle w:val="ListParagraph"/>
        <w:tabs>
          <w:tab w:val="left" w:pos="1710"/>
        </w:tabs>
        <w:spacing w:before="20" w:after="0" w:line="264" w:lineRule="auto"/>
        <w:ind w:left="-54"/>
        <w:jc w:val="both"/>
        <w:rPr>
          <w:rFonts w:asciiTheme="majorHAnsi" w:hAnsiTheme="majorHAnsi"/>
          <w:sz w:val="21"/>
          <w:szCs w:val="21"/>
        </w:rPr>
      </w:pPr>
      <w:r>
        <w:rPr>
          <w:rFonts w:asciiTheme="majorHAnsi" w:hAnsiTheme="majorHAnsi"/>
          <w:sz w:val="21"/>
          <w:szCs w:val="21"/>
        </w:rPr>
        <w:t>An</w:t>
      </w:r>
      <w:r w:rsidR="00C87181">
        <w:rPr>
          <w:rFonts w:asciiTheme="majorHAnsi" w:hAnsiTheme="majorHAnsi"/>
          <w:sz w:val="21"/>
          <w:szCs w:val="21"/>
        </w:rPr>
        <w:t>ë</w:t>
      </w:r>
      <w:r>
        <w:rPr>
          <w:rFonts w:asciiTheme="majorHAnsi" w:hAnsiTheme="majorHAnsi"/>
          <w:sz w:val="21"/>
          <w:szCs w:val="21"/>
        </w:rPr>
        <w:t>tar</w:t>
      </w:r>
      <w:r w:rsidR="00C87181">
        <w:rPr>
          <w:rFonts w:asciiTheme="majorHAnsi" w:hAnsiTheme="majorHAnsi"/>
          <w:sz w:val="21"/>
          <w:szCs w:val="21"/>
        </w:rPr>
        <w:t>ë</w:t>
      </w:r>
      <w:r w:rsidR="00713027">
        <w:rPr>
          <w:rFonts w:asciiTheme="majorHAnsi" w:hAnsiTheme="majorHAnsi"/>
          <w:sz w:val="21"/>
          <w:szCs w:val="21"/>
        </w:rPr>
        <w:t>t</w:t>
      </w:r>
      <w:r>
        <w:rPr>
          <w:rFonts w:asciiTheme="majorHAnsi" w:hAnsiTheme="majorHAnsi"/>
          <w:sz w:val="21"/>
          <w:szCs w:val="21"/>
        </w:rPr>
        <w:t xml:space="preserve"> </w:t>
      </w:r>
      <w:r w:rsidR="00713027">
        <w:rPr>
          <w:rFonts w:asciiTheme="majorHAnsi" w:hAnsiTheme="majorHAnsi"/>
          <w:sz w:val="21"/>
          <w:szCs w:val="21"/>
        </w:rPr>
        <w:t xml:space="preserve">e </w:t>
      </w:r>
      <w:r>
        <w:rPr>
          <w:rFonts w:asciiTheme="majorHAnsi" w:hAnsiTheme="majorHAnsi"/>
          <w:sz w:val="21"/>
          <w:szCs w:val="21"/>
        </w:rPr>
        <w:t>Komisionit t</w:t>
      </w:r>
      <w:r w:rsidR="00C87181">
        <w:rPr>
          <w:rFonts w:asciiTheme="majorHAnsi" w:hAnsiTheme="majorHAnsi"/>
          <w:sz w:val="21"/>
          <w:szCs w:val="21"/>
        </w:rPr>
        <w:t>ë</w:t>
      </w:r>
      <w:r>
        <w:rPr>
          <w:rFonts w:asciiTheme="majorHAnsi" w:hAnsiTheme="majorHAnsi"/>
          <w:sz w:val="21"/>
          <w:szCs w:val="21"/>
        </w:rPr>
        <w:t xml:space="preserve"> GPK-s</w:t>
      </w:r>
      <w:r w:rsidR="00C87181">
        <w:rPr>
          <w:rFonts w:asciiTheme="majorHAnsi" w:hAnsiTheme="majorHAnsi"/>
          <w:sz w:val="21"/>
          <w:szCs w:val="21"/>
        </w:rPr>
        <w:t>ë</w:t>
      </w:r>
      <w:r>
        <w:rPr>
          <w:rFonts w:asciiTheme="majorHAnsi" w:hAnsiTheme="majorHAnsi"/>
          <w:sz w:val="21"/>
          <w:szCs w:val="21"/>
        </w:rPr>
        <w:t xml:space="preserve"> nuk mund t</w:t>
      </w:r>
      <w:r w:rsidR="00C87181">
        <w:rPr>
          <w:rFonts w:asciiTheme="majorHAnsi" w:hAnsiTheme="majorHAnsi"/>
          <w:sz w:val="21"/>
          <w:szCs w:val="21"/>
        </w:rPr>
        <w:t>ë</w:t>
      </w:r>
      <w:r>
        <w:rPr>
          <w:rFonts w:asciiTheme="majorHAnsi" w:hAnsiTheme="majorHAnsi"/>
          <w:sz w:val="21"/>
          <w:szCs w:val="21"/>
        </w:rPr>
        <w:t xml:space="preserve"> jen</w:t>
      </w:r>
      <w:r w:rsidR="00C87181">
        <w:rPr>
          <w:rFonts w:asciiTheme="majorHAnsi" w:hAnsiTheme="majorHAnsi"/>
          <w:sz w:val="21"/>
          <w:szCs w:val="21"/>
        </w:rPr>
        <w:t>ë</w:t>
      </w:r>
      <w:r>
        <w:rPr>
          <w:rFonts w:asciiTheme="majorHAnsi" w:hAnsiTheme="majorHAnsi"/>
          <w:sz w:val="21"/>
          <w:szCs w:val="21"/>
        </w:rPr>
        <w:t xml:space="preserve"> zyrtar</w:t>
      </w:r>
      <w:r w:rsidR="00C87181">
        <w:rPr>
          <w:rFonts w:asciiTheme="majorHAnsi" w:hAnsiTheme="majorHAnsi"/>
          <w:sz w:val="21"/>
          <w:szCs w:val="21"/>
        </w:rPr>
        <w:t>ë</w:t>
      </w:r>
      <w:r>
        <w:rPr>
          <w:rFonts w:asciiTheme="majorHAnsi" w:hAnsiTheme="majorHAnsi"/>
          <w:sz w:val="21"/>
          <w:szCs w:val="21"/>
        </w:rPr>
        <w:t xml:space="preserve"> t</w:t>
      </w:r>
      <w:r w:rsidR="00C87181">
        <w:rPr>
          <w:rFonts w:asciiTheme="majorHAnsi" w:hAnsiTheme="majorHAnsi"/>
          <w:sz w:val="21"/>
          <w:szCs w:val="21"/>
        </w:rPr>
        <w:t>ë</w:t>
      </w:r>
      <w:r>
        <w:rPr>
          <w:rFonts w:asciiTheme="majorHAnsi" w:hAnsiTheme="majorHAnsi"/>
          <w:sz w:val="21"/>
          <w:szCs w:val="21"/>
        </w:rPr>
        <w:t xml:space="preserve"> p</w:t>
      </w:r>
      <w:r w:rsidR="00C87181">
        <w:rPr>
          <w:rFonts w:asciiTheme="majorHAnsi" w:hAnsiTheme="majorHAnsi"/>
          <w:sz w:val="21"/>
          <w:szCs w:val="21"/>
        </w:rPr>
        <w:t>ë</w:t>
      </w:r>
      <w:r>
        <w:rPr>
          <w:rFonts w:asciiTheme="majorHAnsi" w:hAnsiTheme="majorHAnsi"/>
          <w:sz w:val="21"/>
          <w:szCs w:val="21"/>
        </w:rPr>
        <w:t>rfshir</w:t>
      </w:r>
      <w:r w:rsidR="00C87181">
        <w:rPr>
          <w:rFonts w:asciiTheme="majorHAnsi" w:hAnsiTheme="majorHAnsi"/>
          <w:sz w:val="21"/>
          <w:szCs w:val="21"/>
        </w:rPr>
        <w:t>ë</w:t>
      </w:r>
      <w:r>
        <w:rPr>
          <w:rFonts w:asciiTheme="majorHAnsi" w:hAnsiTheme="majorHAnsi"/>
          <w:sz w:val="21"/>
          <w:szCs w:val="21"/>
        </w:rPr>
        <w:t xml:space="preserve"> n</w:t>
      </w:r>
      <w:r w:rsidR="00C87181">
        <w:rPr>
          <w:rFonts w:asciiTheme="majorHAnsi" w:hAnsiTheme="majorHAnsi"/>
          <w:sz w:val="21"/>
          <w:szCs w:val="21"/>
        </w:rPr>
        <w:t>ë</w:t>
      </w:r>
      <w:r>
        <w:rPr>
          <w:rFonts w:asciiTheme="majorHAnsi" w:hAnsiTheme="majorHAnsi"/>
          <w:sz w:val="21"/>
          <w:szCs w:val="21"/>
        </w:rPr>
        <w:t xml:space="preserve"> t</w:t>
      </w:r>
      <w:r w:rsidR="00C87181">
        <w:rPr>
          <w:rFonts w:asciiTheme="majorHAnsi" w:hAnsiTheme="majorHAnsi"/>
          <w:sz w:val="21"/>
          <w:szCs w:val="21"/>
        </w:rPr>
        <w:t>ë</w:t>
      </w:r>
      <w:r>
        <w:rPr>
          <w:rFonts w:asciiTheme="majorHAnsi" w:hAnsiTheme="majorHAnsi"/>
          <w:sz w:val="21"/>
          <w:szCs w:val="21"/>
        </w:rPr>
        <w:t xml:space="preserve"> nj</w:t>
      </w:r>
      <w:r w:rsidR="00C87181">
        <w:rPr>
          <w:rFonts w:asciiTheme="majorHAnsi" w:hAnsiTheme="majorHAnsi"/>
          <w:sz w:val="21"/>
          <w:szCs w:val="21"/>
        </w:rPr>
        <w:t>ë</w:t>
      </w:r>
      <w:r>
        <w:rPr>
          <w:rFonts w:asciiTheme="majorHAnsi" w:hAnsiTheme="majorHAnsi"/>
          <w:sz w:val="21"/>
          <w:szCs w:val="21"/>
        </w:rPr>
        <w:t>jt</w:t>
      </w:r>
      <w:r w:rsidR="00C87181">
        <w:rPr>
          <w:rFonts w:asciiTheme="majorHAnsi" w:hAnsiTheme="majorHAnsi"/>
          <w:sz w:val="21"/>
          <w:szCs w:val="21"/>
        </w:rPr>
        <w:t>ë</w:t>
      </w:r>
      <w:r>
        <w:rPr>
          <w:rFonts w:asciiTheme="majorHAnsi" w:hAnsiTheme="majorHAnsi"/>
          <w:sz w:val="21"/>
          <w:szCs w:val="21"/>
        </w:rPr>
        <w:t>n koh</w:t>
      </w:r>
      <w:r w:rsidR="00C87181">
        <w:rPr>
          <w:rFonts w:asciiTheme="majorHAnsi" w:hAnsiTheme="majorHAnsi"/>
          <w:sz w:val="21"/>
          <w:szCs w:val="21"/>
        </w:rPr>
        <w:t>ë</w:t>
      </w:r>
      <w:r>
        <w:rPr>
          <w:rFonts w:asciiTheme="majorHAnsi" w:hAnsiTheme="majorHAnsi"/>
          <w:sz w:val="21"/>
          <w:szCs w:val="21"/>
        </w:rPr>
        <w:t xml:space="preserve"> n</w:t>
      </w:r>
      <w:r w:rsidR="00C87181">
        <w:rPr>
          <w:rFonts w:asciiTheme="majorHAnsi" w:hAnsiTheme="majorHAnsi"/>
          <w:sz w:val="21"/>
          <w:szCs w:val="21"/>
        </w:rPr>
        <w:t>ë</w:t>
      </w:r>
      <w:r>
        <w:rPr>
          <w:rFonts w:asciiTheme="majorHAnsi" w:hAnsiTheme="majorHAnsi"/>
          <w:sz w:val="21"/>
          <w:szCs w:val="21"/>
        </w:rPr>
        <w:t xml:space="preserve"> Grupin Teknik dhe Komisionin e Ankesave.</w:t>
      </w:r>
      <w:r w:rsidR="004652F8" w:rsidRPr="004652F8">
        <w:rPr>
          <w:rFonts w:asciiTheme="majorHAnsi" w:hAnsiTheme="majorHAnsi"/>
          <w:sz w:val="21"/>
          <w:szCs w:val="21"/>
        </w:rPr>
        <w:t xml:space="preserve"> </w:t>
      </w:r>
      <w:r w:rsidR="003754A5">
        <w:rPr>
          <w:rFonts w:asciiTheme="majorHAnsi" w:hAnsiTheme="majorHAnsi"/>
          <w:sz w:val="21"/>
          <w:szCs w:val="21"/>
        </w:rPr>
        <w:t>An</w:t>
      </w:r>
      <w:r w:rsidR="006518E3">
        <w:rPr>
          <w:rFonts w:asciiTheme="majorHAnsi" w:hAnsiTheme="majorHAnsi"/>
          <w:sz w:val="21"/>
          <w:szCs w:val="21"/>
        </w:rPr>
        <w:t>ë</w:t>
      </w:r>
      <w:r w:rsidR="003754A5">
        <w:rPr>
          <w:rFonts w:asciiTheme="majorHAnsi" w:hAnsiTheme="majorHAnsi"/>
          <w:sz w:val="21"/>
          <w:szCs w:val="21"/>
        </w:rPr>
        <w:t>tar</w:t>
      </w:r>
      <w:r w:rsidR="006518E3">
        <w:rPr>
          <w:rFonts w:asciiTheme="majorHAnsi" w:hAnsiTheme="majorHAnsi"/>
          <w:sz w:val="21"/>
          <w:szCs w:val="21"/>
        </w:rPr>
        <w:t>ë</w:t>
      </w:r>
      <w:r w:rsidR="003754A5">
        <w:rPr>
          <w:rFonts w:asciiTheme="majorHAnsi" w:hAnsiTheme="majorHAnsi"/>
          <w:sz w:val="21"/>
          <w:szCs w:val="21"/>
        </w:rPr>
        <w:t>t kan</w:t>
      </w:r>
      <w:r w:rsidR="006518E3">
        <w:rPr>
          <w:rFonts w:asciiTheme="majorHAnsi" w:hAnsiTheme="majorHAnsi"/>
          <w:sz w:val="21"/>
          <w:szCs w:val="21"/>
        </w:rPr>
        <w:t>ë</w:t>
      </w:r>
      <w:r w:rsidR="003754A5">
        <w:rPr>
          <w:rFonts w:asciiTheme="majorHAnsi" w:hAnsiTheme="majorHAnsi"/>
          <w:sz w:val="21"/>
          <w:szCs w:val="21"/>
        </w:rPr>
        <w:t xml:space="preserve"> t</w:t>
      </w:r>
      <w:r w:rsidR="006518E3">
        <w:rPr>
          <w:rFonts w:asciiTheme="majorHAnsi" w:hAnsiTheme="majorHAnsi"/>
          <w:sz w:val="21"/>
          <w:szCs w:val="21"/>
        </w:rPr>
        <w:t>ë</w:t>
      </w:r>
      <w:r w:rsidR="003754A5">
        <w:rPr>
          <w:rFonts w:asciiTheme="majorHAnsi" w:hAnsiTheme="majorHAnsi"/>
          <w:sz w:val="21"/>
          <w:szCs w:val="21"/>
        </w:rPr>
        <w:t xml:space="preserve"> drejt</w:t>
      </w:r>
      <w:r w:rsidR="006518E3">
        <w:rPr>
          <w:rFonts w:asciiTheme="majorHAnsi" w:hAnsiTheme="majorHAnsi"/>
          <w:sz w:val="21"/>
          <w:szCs w:val="21"/>
        </w:rPr>
        <w:t>ë</w:t>
      </w:r>
      <w:r w:rsidR="003754A5">
        <w:rPr>
          <w:rFonts w:asciiTheme="majorHAnsi" w:hAnsiTheme="majorHAnsi"/>
          <w:sz w:val="21"/>
          <w:szCs w:val="21"/>
        </w:rPr>
        <w:t xml:space="preserve"> vote p</w:t>
      </w:r>
      <w:r w:rsidR="006518E3">
        <w:rPr>
          <w:rFonts w:asciiTheme="majorHAnsi" w:hAnsiTheme="majorHAnsi"/>
          <w:sz w:val="21"/>
          <w:szCs w:val="21"/>
        </w:rPr>
        <w:t>ë</w:t>
      </w:r>
      <w:r w:rsidR="003754A5">
        <w:rPr>
          <w:rFonts w:asciiTheme="majorHAnsi" w:hAnsiTheme="majorHAnsi"/>
          <w:sz w:val="21"/>
          <w:szCs w:val="21"/>
        </w:rPr>
        <w:t>rderisa v</w:t>
      </w:r>
      <w:r w:rsidR="006518E3">
        <w:rPr>
          <w:rFonts w:asciiTheme="majorHAnsi" w:hAnsiTheme="majorHAnsi"/>
          <w:sz w:val="21"/>
          <w:szCs w:val="21"/>
        </w:rPr>
        <w:t>ë</w:t>
      </w:r>
      <w:r w:rsidR="003754A5">
        <w:rPr>
          <w:rFonts w:asciiTheme="majorHAnsi" w:hAnsiTheme="majorHAnsi"/>
          <w:sz w:val="21"/>
          <w:szCs w:val="21"/>
        </w:rPr>
        <w:t>zhguesit mund t</w:t>
      </w:r>
      <w:r w:rsidR="006518E3">
        <w:rPr>
          <w:rFonts w:asciiTheme="majorHAnsi" w:hAnsiTheme="majorHAnsi"/>
          <w:sz w:val="21"/>
          <w:szCs w:val="21"/>
        </w:rPr>
        <w:t>ë</w:t>
      </w:r>
      <w:r w:rsidR="003754A5">
        <w:rPr>
          <w:rFonts w:asciiTheme="majorHAnsi" w:hAnsiTheme="majorHAnsi"/>
          <w:sz w:val="21"/>
          <w:szCs w:val="21"/>
        </w:rPr>
        <w:t xml:space="preserve"> ofrojn</w:t>
      </w:r>
      <w:r w:rsidR="006518E3">
        <w:rPr>
          <w:rFonts w:asciiTheme="majorHAnsi" w:hAnsiTheme="majorHAnsi"/>
          <w:sz w:val="21"/>
          <w:szCs w:val="21"/>
        </w:rPr>
        <w:t>ë</w:t>
      </w:r>
      <w:r w:rsidR="003754A5">
        <w:rPr>
          <w:rFonts w:asciiTheme="majorHAnsi" w:hAnsiTheme="majorHAnsi"/>
          <w:sz w:val="21"/>
          <w:szCs w:val="21"/>
        </w:rPr>
        <w:t xml:space="preserve"> sygjerimet e tyre por nuk kan</w:t>
      </w:r>
      <w:r w:rsidR="006518E3">
        <w:rPr>
          <w:rFonts w:asciiTheme="majorHAnsi" w:hAnsiTheme="majorHAnsi"/>
          <w:sz w:val="21"/>
          <w:szCs w:val="21"/>
        </w:rPr>
        <w:t>ë</w:t>
      </w:r>
      <w:r w:rsidR="003754A5">
        <w:rPr>
          <w:rFonts w:asciiTheme="majorHAnsi" w:hAnsiTheme="majorHAnsi"/>
          <w:sz w:val="21"/>
          <w:szCs w:val="21"/>
        </w:rPr>
        <w:t xml:space="preserve"> t</w:t>
      </w:r>
      <w:r w:rsidR="006518E3">
        <w:rPr>
          <w:rFonts w:asciiTheme="majorHAnsi" w:hAnsiTheme="majorHAnsi"/>
          <w:sz w:val="21"/>
          <w:szCs w:val="21"/>
        </w:rPr>
        <w:t>ë</w:t>
      </w:r>
      <w:r w:rsidR="003754A5">
        <w:rPr>
          <w:rFonts w:asciiTheme="majorHAnsi" w:hAnsiTheme="majorHAnsi"/>
          <w:sz w:val="21"/>
          <w:szCs w:val="21"/>
        </w:rPr>
        <w:t xml:space="preserve"> drejt</w:t>
      </w:r>
      <w:r w:rsidR="006518E3">
        <w:rPr>
          <w:rFonts w:asciiTheme="majorHAnsi" w:hAnsiTheme="majorHAnsi"/>
          <w:sz w:val="21"/>
          <w:szCs w:val="21"/>
        </w:rPr>
        <w:t>ë</w:t>
      </w:r>
      <w:r w:rsidR="003754A5">
        <w:rPr>
          <w:rFonts w:asciiTheme="majorHAnsi" w:hAnsiTheme="majorHAnsi"/>
          <w:sz w:val="21"/>
          <w:szCs w:val="21"/>
        </w:rPr>
        <w:t xml:space="preserve"> vote.</w:t>
      </w:r>
    </w:p>
    <w:p w14:paraId="1D36C0C6" w14:textId="77777777" w:rsidR="00CD79F5" w:rsidRPr="004D2E1C" w:rsidRDefault="00CD79F5" w:rsidP="00CD79F5">
      <w:pPr>
        <w:ind w:left="567"/>
        <w:jc w:val="both"/>
        <w:rPr>
          <w:rFonts w:asciiTheme="majorHAnsi" w:hAnsiTheme="majorHAnsi"/>
          <w:sz w:val="21"/>
          <w:szCs w:val="21"/>
        </w:rPr>
      </w:pPr>
    </w:p>
    <w:p w14:paraId="588E2F37" w14:textId="77777777" w:rsidR="00CD79F5" w:rsidRPr="001D6FCA" w:rsidRDefault="00CD79F5" w:rsidP="00CD79F5">
      <w:pPr>
        <w:pStyle w:val="Heading1"/>
        <w:numPr>
          <w:ilvl w:val="2"/>
          <w:numId w:val="7"/>
        </w:numPr>
        <w:tabs>
          <w:tab w:val="left" w:pos="540"/>
        </w:tabs>
        <w:ind w:hanging="3600"/>
        <w:rPr>
          <w:rFonts w:asciiTheme="majorHAnsi" w:hAnsiTheme="majorHAnsi"/>
          <w:sz w:val="24"/>
          <w:szCs w:val="21"/>
          <w:lang w:val="sq-AL"/>
        </w:rPr>
      </w:pPr>
      <w:bookmarkStart w:id="48" w:name="_Toc31029004"/>
      <w:bookmarkStart w:id="49" w:name="_Toc31194802"/>
      <w:bookmarkStart w:id="50" w:name="_Toc61062530"/>
      <w:r w:rsidRPr="001D6FCA">
        <w:rPr>
          <w:rFonts w:asciiTheme="majorHAnsi" w:hAnsiTheme="majorHAnsi"/>
          <w:sz w:val="24"/>
          <w:szCs w:val="21"/>
          <w:lang w:val="sq-AL"/>
        </w:rPr>
        <w:t>Grupi teknik</w:t>
      </w:r>
      <w:bookmarkEnd w:id="48"/>
      <w:bookmarkEnd w:id="49"/>
      <w:bookmarkEnd w:id="50"/>
    </w:p>
    <w:p w14:paraId="61B62F2A" w14:textId="77777777" w:rsidR="00CA1CC3" w:rsidRPr="0052538C" w:rsidRDefault="00CA1CC3" w:rsidP="0052538C">
      <w:r w:rsidRPr="009A2406">
        <w:rPr>
          <w:rFonts w:asciiTheme="majorHAnsi" w:hAnsiTheme="majorHAnsi"/>
          <w:sz w:val="21"/>
          <w:szCs w:val="21"/>
        </w:rPr>
        <w:t xml:space="preserve">Grupi teknik është organ i nivelit profesional i përbërë nga </w:t>
      </w:r>
      <w:r>
        <w:rPr>
          <w:rFonts w:asciiTheme="majorHAnsi" w:hAnsiTheme="majorHAnsi"/>
          <w:sz w:val="21"/>
          <w:szCs w:val="21"/>
        </w:rPr>
        <w:t>zyrtar</w:t>
      </w:r>
      <w:r w:rsidR="00DC0362">
        <w:rPr>
          <w:rFonts w:asciiTheme="majorHAnsi" w:hAnsiTheme="majorHAnsi"/>
          <w:sz w:val="21"/>
          <w:szCs w:val="21"/>
        </w:rPr>
        <w:t>ë</w:t>
      </w:r>
      <w:r>
        <w:rPr>
          <w:rFonts w:asciiTheme="majorHAnsi" w:hAnsiTheme="majorHAnsi"/>
          <w:sz w:val="21"/>
          <w:szCs w:val="21"/>
        </w:rPr>
        <w:t xml:space="preserve"> publik</w:t>
      </w:r>
      <w:r w:rsidRPr="009A2406">
        <w:rPr>
          <w:rFonts w:asciiTheme="majorHAnsi" w:hAnsiTheme="majorHAnsi"/>
          <w:sz w:val="21"/>
          <w:szCs w:val="21"/>
        </w:rPr>
        <w:t xml:space="preserve"> të njësisë përgjegjëse për performancë komunale dhe </w:t>
      </w:r>
      <w:r>
        <w:rPr>
          <w:rFonts w:asciiTheme="majorHAnsi" w:hAnsiTheme="majorHAnsi"/>
          <w:sz w:val="21"/>
          <w:szCs w:val="21"/>
        </w:rPr>
        <w:t xml:space="preserve">nga </w:t>
      </w:r>
      <w:r w:rsidRPr="009A2406">
        <w:rPr>
          <w:rFonts w:asciiTheme="majorHAnsi" w:hAnsiTheme="majorHAnsi"/>
          <w:sz w:val="21"/>
          <w:szCs w:val="21"/>
        </w:rPr>
        <w:t>përfaqësues</w:t>
      </w:r>
      <w:r>
        <w:rPr>
          <w:rFonts w:asciiTheme="majorHAnsi" w:hAnsiTheme="majorHAnsi"/>
          <w:sz w:val="21"/>
          <w:szCs w:val="21"/>
        </w:rPr>
        <w:t xml:space="preserve"> të subjekteve kontributdhënëse. </w:t>
      </w:r>
      <w:r w:rsidRPr="009A2406">
        <w:rPr>
          <w:rFonts w:asciiTheme="majorHAnsi" w:hAnsiTheme="majorHAnsi"/>
          <w:sz w:val="21"/>
          <w:szCs w:val="21"/>
        </w:rPr>
        <w:t xml:space="preserve"> </w:t>
      </w:r>
    </w:p>
    <w:p w14:paraId="253C4476" w14:textId="77777777" w:rsidR="00CD79F5" w:rsidRPr="004D2E1C" w:rsidRDefault="00CD79F5" w:rsidP="00363711">
      <w:pPr>
        <w:tabs>
          <w:tab w:val="left" w:pos="1710"/>
        </w:tabs>
        <w:spacing w:before="60" w:line="264" w:lineRule="auto"/>
        <w:jc w:val="both"/>
        <w:rPr>
          <w:rFonts w:asciiTheme="majorHAnsi" w:hAnsiTheme="majorHAnsi"/>
          <w:sz w:val="21"/>
          <w:szCs w:val="21"/>
        </w:rPr>
      </w:pPr>
      <w:r w:rsidRPr="004D2E1C">
        <w:rPr>
          <w:rFonts w:asciiTheme="majorHAnsi" w:hAnsiTheme="majorHAnsi"/>
          <w:sz w:val="21"/>
          <w:szCs w:val="21"/>
        </w:rPr>
        <w:t>Detyra</w:t>
      </w:r>
      <w:r w:rsidR="00E500C3">
        <w:rPr>
          <w:rFonts w:asciiTheme="majorHAnsi" w:hAnsiTheme="majorHAnsi"/>
          <w:sz w:val="21"/>
          <w:szCs w:val="21"/>
        </w:rPr>
        <w:t>t</w:t>
      </w:r>
      <w:r w:rsidRPr="004D2E1C">
        <w:rPr>
          <w:rFonts w:asciiTheme="majorHAnsi" w:hAnsiTheme="majorHAnsi"/>
          <w:sz w:val="21"/>
          <w:szCs w:val="21"/>
        </w:rPr>
        <w:t xml:space="preserve"> </w:t>
      </w:r>
      <w:r w:rsidR="00713027">
        <w:rPr>
          <w:rFonts w:asciiTheme="majorHAnsi" w:hAnsiTheme="majorHAnsi"/>
          <w:sz w:val="21"/>
          <w:szCs w:val="21"/>
        </w:rPr>
        <w:t>dhe p</w:t>
      </w:r>
      <w:r w:rsidR="00BB1193">
        <w:rPr>
          <w:rFonts w:asciiTheme="majorHAnsi" w:hAnsiTheme="majorHAnsi"/>
          <w:sz w:val="21"/>
          <w:szCs w:val="21"/>
        </w:rPr>
        <w:t>ë</w:t>
      </w:r>
      <w:r w:rsidR="00713027">
        <w:rPr>
          <w:rFonts w:asciiTheme="majorHAnsi" w:hAnsiTheme="majorHAnsi"/>
          <w:sz w:val="21"/>
          <w:szCs w:val="21"/>
        </w:rPr>
        <w:t>rgjegj</w:t>
      </w:r>
      <w:r w:rsidR="00BB1193">
        <w:rPr>
          <w:rFonts w:asciiTheme="majorHAnsi" w:hAnsiTheme="majorHAnsi"/>
          <w:sz w:val="21"/>
          <w:szCs w:val="21"/>
        </w:rPr>
        <w:t>ë</w:t>
      </w:r>
      <w:r w:rsidR="00713027">
        <w:rPr>
          <w:rFonts w:asciiTheme="majorHAnsi" w:hAnsiTheme="majorHAnsi"/>
          <w:sz w:val="21"/>
          <w:szCs w:val="21"/>
        </w:rPr>
        <w:t>sit</w:t>
      </w:r>
      <w:r w:rsidR="00BB1193">
        <w:rPr>
          <w:rFonts w:asciiTheme="majorHAnsi" w:hAnsiTheme="majorHAnsi"/>
          <w:sz w:val="21"/>
          <w:szCs w:val="21"/>
        </w:rPr>
        <w:t>ë</w:t>
      </w:r>
      <w:r w:rsidR="00713027">
        <w:rPr>
          <w:rFonts w:asciiTheme="majorHAnsi" w:hAnsiTheme="majorHAnsi"/>
          <w:sz w:val="21"/>
          <w:szCs w:val="21"/>
        </w:rPr>
        <w:t xml:space="preserve"> </w:t>
      </w:r>
      <w:r w:rsidRPr="004D2E1C">
        <w:rPr>
          <w:rFonts w:asciiTheme="majorHAnsi" w:hAnsiTheme="majorHAnsi"/>
          <w:sz w:val="21"/>
          <w:szCs w:val="21"/>
        </w:rPr>
        <w:t xml:space="preserve">e </w:t>
      </w:r>
      <w:r w:rsidR="00E500C3">
        <w:rPr>
          <w:rFonts w:asciiTheme="majorHAnsi" w:hAnsiTheme="majorHAnsi"/>
          <w:sz w:val="21"/>
          <w:szCs w:val="21"/>
        </w:rPr>
        <w:t>g</w:t>
      </w:r>
      <w:r w:rsidR="00E500C3" w:rsidRPr="004D2E1C">
        <w:rPr>
          <w:rFonts w:asciiTheme="majorHAnsi" w:hAnsiTheme="majorHAnsi"/>
          <w:sz w:val="21"/>
          <w:szCs w:val="21"/>
        </w:rPr>
        <w:t xml:space="preserve">rupit </w:t>
      </w:r>
      <w:r w:rsidRPr="004D2E1C">
        <w:rPr>
          <w:rFonts w:asciiTheme="majorHAnsi" w:hAnsiTheme="majorHAnsi"/>
          <w:sz w:val="21"/>
          <w:szCs w:val="21"/>
        </w:rPr>
        <w:t>teknik janë:</w:t>
      </w:r>
    </w:p>
    <w:p w14:paraId="141B336B" w14:textId="77777777" w:rsidR="007D0210" w:rsidRDefault="007D0210" w:rsidP="009A3BEC">
      <w:pPr>
        <w:pStyle w:val="ListParagraph"/>
        <w:numPr>
          <w:ilvl w:val="1"/>
          <w:numId w:val="34"/>
        </w:numPr>
        <w:tabs>
          <w:tab w:val="left" w:pos="1710"/>
        </w:tabs>
        <w:spacing w:after="0" w:line="264" w:lineRule="auto"/>
        <w:jc w:val="both"/>
        <w:rPr>
          <w:rFonts w:asciiTheme="majorHAnsi" w:hAnsiTheme="majorHAnsi"/>
          <w:sz w:val="21"/>
          <w:szCs w:val="21"/>
        </w:rPr>
      </w:pPr>
      <w:r w:rsidRPr="007D0210">
        <w:rPr>
          <w:rFonts w:asciiTheme="majorHAnsi" w:hAnsiTheme="majorHAnsi"/>
          <w:sz w:val="21"/>
          <w:szCs w:val="21"/>
        </w:rPr>
        <w:t xml:space="preserve">Zbatimi </w:t>
      </w:r>
      <w:r w:rsidR="00F0607D">
        <w:rPr>
          <w:rFonts w:asciiTheme="majorHAnsi" w:hAnsiTheme="majorHAnsi"/>
          <w:sz w:val="21"/>
          <w:szCs w:val="21"/>
        </w:rPr>
        <w:t>i</w:t>
      </w:r>
      <w:r w:rsidRPr="007D0210">
        <w:rPr>
          <w:rFonts w:asciiTheme="majorHAnsi" w:hAnsiTheme="majorHAnsi"/>
          <w:sz w:val="21"/>
          <w:szCs w:val="21"/>
        </w:rPr>
        <w:t xml:space="preserve"> standardeve të vlerësimit dhe llogaritjes së performancës siç përcaktohet në rregullat e </w:t>
      </w:r>
      <w:r w:rsidR="00713027">
        <w:rPr>
          <w:rFonts w:asciiTheme="majorHAnsi" w:hAnsiTheme="majorHAnsi"/>
          <w:sz w:val="21"/>
          <w:szCs w:val="21"/>
        </w:rPr>
        <w:t>GPK-s</w:t>
      </w:r>
      <w:r w:rsidR="00BB1193">
        <w:rPr>
          <w:rFonts w:asciiTheme="majorHAnsi" w:hAnsiTheme="majorHAnsi"/>
          <w:sz w:val="21"/>
          <w:szCs w:val="21"/>
        </w:rPr>
        <w:t>ë</w:t>
      </w:r>
      <w:r w:rsidRPr="007D0210">
        <w:rPr>
          <w:rFonts w:asciiTheme="majorHAnsi" w:hAnsiTheme="majorHAnsi"/>
          <w:sz w:val="21"/>
          <w:szCs w:val="21"/>
        </w:rPr>
        <w:t>;</w:t>
      </w:r>
    </w:p>
    <w:p w14:paraId="72904D76" w14:textId="78DBF812" w:rsidR="007D0210" w:rsidRDefault="007D0210" w:rsidP="009A3BEC">
      <w:pPr>
        <w:pStyle w:val="ListParagraph"/>
        <w:numPr>
          <w:ilvl w:val="1"/>
          <w:numId w:val="34"/>
        </w:numPr>
        <w:tabs>
          <w:tab w:val="left" w:pos="1710"/>
        </w:tabs>
        <w:spacing w:after="0" w:line="264" w:lineRule="auto"/>
        <w:jc w:val="both"/>
        <w:rPr>
          <w:rFonts w:asciiTheme="majorHAnsi" w:hAnsiTheme="majorHAnsi"/>
          <w:sz w:val="21"/>
          <w:szCs w:val="21"/>
        </w:rPr>
      </w:pPr>
      <w:r w:rsidRPr="007D0210">
        <w:rPr>
          <w:rFonts w:asciiTheme="majorHAnsi" w:hAnsiTheme="majorHAnsi"/>
          <w:sz w:val="21"/>
          <w:szCs w:val="21"/>
        </w:rPr>
        <w:t>Llogaritj</w:t>
      </w:r>
      <w:r w:rsidR="002E66CC">
        <w:rPr>
          <w:rFonts w:asciiTheme="majorHAnsi" w:hAnsiTheme="majorHAnsi"/>
          <w:sz w:val="21"/>
          <w:szCs w:val="21"/>
        </w:rPr>
        <w:t>a</w:t>
      </w:r>
      <w:r w:rsidRPr="007D0210">
        <w:rPr>
          <w:rFonts w:asciiTheme="majorHAnsi" w:hAnsiTheme="majorHAnsi"/>
          <w:sz w:val="21"/>
          <w:szCs w:val="21"/>
        </w:rPr>
        <w:t xml:space="preserve"> e shumës së grantit sipas formulës së përcaktuar në rregullat e </w:t>
      </w:r>
      <w:r w:rsidR="00713027">
        <w:rPr>
          <w:rFonts w:asciiTheme="majorHAnsi" w:hAnsiTheme="majorHAnsi"/>
          <w:sz w:val="21"/>
          <w:szCs w:val="21"/>
        </w:rPr>
        <w:t>GPK-s</w:t>
      </w:r>
      <w:r w:rsidR="00BB1193">
        <w:rPr>
          <w:rFonts w:asciiTheme="majorHAnsi" w:hAnsiTheme="majorHAnsi"/>
          <w:sz w:val="21"/>
          <w:szCs w:val="21"/>
        </w:rPr>
        <w:t>ë</w:t>
      </w:r>
      <w:r w:rsidRPr="007D0210">
        <w:rPr>
          <w:rFonts w:asciiTheme="majorHAnsi" w:hAnsiTheme="majorHAnsi"/>
          <w:sz w:val="21"/>
          <w:szCs w:val="21"/>
        </w:rPr>
        <w:t>;</w:t>
      </w:r>
    </w:p>
    <w:p w14:paraId="24F88D8C" w14:textId="77777777" w:rsidR="00CD79F5" w:rsidRDefault="00D0051B" w:rsidP="009A3BEC">
      <w:pPr>
        <w:pStyle w:val="ListParagraph"/>
        <w:numPr>
          <w:ilvl w:val="1"/>
          <w:numId w:val="34"/>
        </w:numPr>
        <w:tabs>
          <w:tab w:val="left" w:pos="1710"/>
        </w:tabs>
        <w:spacing w:after="0" w:line="264" w:lineRule="auto"/>
        <w:jc w:val="both"/>
        <w:rPr>
          <w:rFonts w:asciiTheme="majorHAnsi" w:hAnsiTheme="majorHAnsi"/>
          <w:sz w:val="21"/>
          <w:szCs w:val="21"/>
        </w:rPr>
      </w:pPr>
      <w:r>
        <w:rPr>
          <w:rFonts w:asciiTheme="majorHAnsi" w:hAnsiTheme="majorHAnsi"/>
          <w:sz w:val="21"/>
          <w:szCs w:val="21"/>
        </w:rPr>
        <w:t>H</w:t>
      </w:r>
      <w:r w:rsidR="004E0B57">
        <w:rPr>
          <w:rFonts w:asciiTheme="majorHAnsi" w:hAnsiTheme="majorHAnsi"/>
          <w:sz w:val="21"/>
          <w:szCs w:val="21"/>
        </w:rPr>
        <w:t xml:space="preserve">artimi i raportit </w:t>
      </w:r>
      <w:r>
        <w:rPr>
          <w:rFonts w:asciiTheme="majorHAnsi" w:hAnsiTheme="majorHAnsi"/>
          <w:sz w:val="21"/>
          <w:szCs w:val="21"/>
        </w:rPr>
        <w:t>t</w:t>
      </w:r>
      <w:r w:rsidR="001C397B">
        <w:rPr>
          <w:rFonts w:asciiTheme="majorHAnsi" w:hAnsiTheme="majorHAnsi"/>
          <w:sz w:val="21"/>
          <w:szCs w:val="21"/>
        </w:rPr>
        <w:t>ë</w:t>
      </w:r>
      <w:r>
        <w:rPr>
          <w:rFonts w:asciiTheme="majorHAnsi" w:hAnsiTheme="majorHAnsi"/>
          <w:sz w:val="21"/>
          <w:szCs w:val="21"/>
        </w:rPr>
        <w:t xml:space="preserve"> vler</w:t>
      </w:r>
      <w:r w:rsidR="001C397B">
        <w:rPr>
          <w:rFonts w:asciiTheme="majorHAnsi" w:hAnsiTheme="majorHAnsi"/>
          <w:sz w:val="21"/>
          <w:szCs w:val="21"/>
        </w:rPr>
        <w:t>ë</w:t>
      </w:r>
      <w:r>
        <w:rPr>
          <w:rFonts w:asciiTheme="majorHAnsi" w:hAnsiTheme="majorHAnsi"/>
          <w:sz w:val="21"/>
          <w:szCs w:val="21"/>
        </w:rPr>
        <w:t xml:space="preserve">simit </w:t>
      </w:r>
      <w:r w:rsidR="004E0B57">
        <w:rPr>
          <w:rFonts w:asciiTheme="majorHAnsi" w:hAnsiTheme="majorHAnsi"/>
          <w:sz w:val="21"/>
          <w:szCs w:val="21"/>
        </w:rPr>
        <w:t>p</w:t>
      </w:r>
      <w:r w:rsidR="001C397B">
        <w:rPr>
          <w:rFonts w:asciiTheme="majorHAnsi" w:hAnsiTheme="majorHAnsi"/>
          <w:sz w:val="21"/>
          <w:szCs w:val="21"/>
        </w:rPr>
        <w:t>ë</w:t>
      </w:r>
      <w:r w:rsidR="004E0B57">
        <w:rPr>
          <w:rFonts w:asciiTheme="majorHAnsi" w:hAnsiTheme="majorHAnsi"/>
          <w:sz w:val="21"/>
          <w:szCs w:val="21"/>
        </w:rPr>
        <w:t>r grant</w:t>
      </w:r>
      <w:r>
        <w:rPr>
          <w:rFonts w:asciiTheme="majorHAnsi" w:hAnsiTheme="majorHAnsi"/>
          <w:sz w:val="21"/>
          <w:szCs w:val="21"/>
        </w:rPr>
        <w:t xml:space="preserve"> dhe adresimi p</w:t>
      </w:r>
      <w:r w:rsidR="001C397B">
        <w:rPr>
          <w:rFonts w:asciiTheme="majorHAnsi" w:hAnsiTheme="majorHAnsi"/>
          <w:sz w:val="21"/>
          <w:szCs w:val="21"/>
        </w:rPr>
        <w:t>ë</w:t>
      </w:r>
      <w:r>
        <w:rPr>
          <w:rFonts w:asciiTheme="majorHAnsi" w:hAnsiTheme="majorHAnsi"/>
          <w:sz w:val="21"/>
          <w:szCs w:val="21"/>
        </w:rPr>
        <w:t>r aprovim n</w:t>
      </w:r>
      <w:r w:rsidR="001C397B">
        <w:rPr>
          <w:rFonts w:asciiTheme="majorHAnsi" w:hAnsiTheme="majorHAnsi"/>
          <w:sz w:val="21"/>
          <w:szCs w:val="21"/>
        </w:rPr>
        <w:t>ë</w:t>
      </w:r>
      <w:r>
        <w:rPr>
          <w:rFonts w:asciiTheme="majorHAnsi" w:hAnsiTheme="majorHAnsi"/>
          <w:sz w:val="21"/>
          <w:szCs w:val="21"/>
        </w:rPr>
        <w:t xml:space="preserve"> Komisionin e </w:t>
      </w:r>
      <w:r w:rsidR="00713027">
        <w:rPr>
          <w:rFonts w:asciiTheme="majorHAnsi" w:hAnsiTheme="majorHAnsi"/>
          <w:sz w:val="21"/>
          <w:szCs w:val="21"/>
        </w:rPr>
        <w:t>GPK-s</w:t>
      </w:r>
      <w:r w:rsidR="00BB1193">
        <w:rPr>
          <w:rFonts w:asciiTheme="majorHAnsi" w:hAnsiTheme="majorHAnsi"/>
          <w:sz w:val="21"/>
          <w:szCs w:val="21"/>
        </w:rPr>
        <w:t>ë</w:t>
      </w:r>
      <w:r w:rsidR="00CD79F5" w:rsidRPr="004D2E1C">
        <w:rPr>
          <w:rFonts w:asciiTheme="majorHAnsi" w:hAnsiTheme="majorHAnsi"/>
          <w:sz w:val="21"/>
          <w:szCs w:val="21"/>
        </w:rPr>
        <w:t>;</w:t>
      </w:r>
    </w:p>
    <w:p w14:paraId="6E5AFA11" w14:textId="0121DCD5" w:rsidR="00986B8B" w:rsidRDefault="37C112DB" w:rsidP="15215104">
      <w:pPr>
        <w:pStyle w:val="ListParagraph"/>
        <w:tabs>
          <w:tab w:val="left" w:pos="1710"/>
        </w:tabs>
        <w:spacing w:after="0" w:line="264" w:lineRule="auto"/>
        <w:ind w:left="-54"/>
        <w:jc w:val="both"/>
        <w:rPr>
          <w:rFonts w:asciiTheme="majorHAnsi" w:hAnsiTheme="majorHAnsi"/>
          <w:sz w:val="21"/>
          <w:szCs w:val="21"/>
        </w:rPr>
      </w:pPr>
      <w:r w:rsidRPr="15215104">
        <w:rPr>
          <w:rFonts w:asciiTheme="majorHAnsi" w:hAnsiTheme="majorHAnsi"/>
          <w:sz w:val="21"/>
          <w:szCs w:val="21"/>
        </w:rPr>
        <w:lastRenderedPageBreak/>
        <w:t xml:space="preserve">Grupi Teknik themelohet me vendim të Sekretarit të Përgjithshëm të </w:t>
      </w:r>
      <w:r w:rsidR="3DB9E792" w:rsidRPr="15215104">
        <w:rPr>
          <w:rFonts w:asciiTheme="majorHAnsi" w:hAnsiTheme="majorHAnsi"/>
          <w:sz w:val="21"/>
          <w:szCs w:val="21"/>
        </w:rPr>
        <w:t>MAPL</w:t>
      </w:r>
      <w:r w:rsidRPr="15215104">
        <w:rPr>
          <w:rFonts w:asciiTheme="majorHAnsi" w:hAnsiTheme="majorHAnsi"/>
          <w:sz w:val="21"/>
          <w:szCs w:val="21"/>
        </w:rPr>
        <w:t xml:space="preserve">-se konform nenit 34.1 të Rregullores 01/2020 për Sistemin e Menaxhimit të </w:t>
      </w:r>
      <w:r w:rsidR="023B087E" w:rsidRPr="15215104">
        <w:rPr>
          <w:rFonts w:asciiTheme="majorHAnsi" w:hAnsiTheme="majorHAnsi"/>
          <w:sz w:val="21"/>
          <w:szCs w:val="21"/>
        </w:rPr>
        <w:t>P</w:t>
      </w:r>
      <w:r w:rsidRPr="15215104">
        <w:rPr>
          <w:rFonts w:asciiTheme="majorHAnsi" w:hAnsiTheme="majorHAnsi"/>
          <w:sz w:val="21"/>
          <w:szCs w:val="21"/>
        </w:rPr>
        <w:t>erformancës Komunale dhe Skemës së Grantit të Bazuar në Performancë, përbërja e të cilit është si vijon:</w:t>
      </w:r>
    </w:p>
    <w:p w14:paraId="33383F95" w14:textId="34FDC246" w:rsidR="00986B8B" w:rsidRDefault="00986B8B" w:rsidP="009A3BEC">
      <w:pPr>
        <w:pStyle w:val="ListParagraph"/>
        <w:numPr>
          <w:ilvl w:val="0"/>
          <w:numId w:val="35"/>
        </w:numPr>
        <w:tabs>
          <w:tab w:val="left" w:pos="1710"/>
        </w:tabs>
        <w:spacing w:after="0" w:line="264" w:lineRule="auto"/>
        <w:jc w:val="both"/>
        <w:rPr>
          <w:rFonts w:asciiTheme="majorHAnsi" w:hAnsiTheme="majorHAnsi"/>
          <w:sz w:val="21"/>
          <w:szCs w:val="21"/>
        </w:rPr>
      </w:pPr>
      <w:r>
        <w:rPr>
          <w:rFonts w:asciiTheme="majorHAnsi" w:hAnsiTheme="majorHAnsi"/>
          <w:sz w:val="21"/>
          <w:szCs w:val="21"/>
        </w:rPr>
        <w:t xml:space="preserve">3 anëtarë nga njësia përgjegjëse </w:t>
      </w:r>
      <w:r w:rsidR="00876839">
        <w:rPr>
          <w:rFonts w:asciiTheme="majorHAnsi" w:hAnsiTheme="majorHAnsi"/>
          <w:sz w:val="21"/>
          <w:szCs w:val="21"/>
        </w:rPr>
        <w:t xml:space="preserve">e MAPL </w:t>
      </w:r>
      <w:r>
        <w:rPr>
          <w:rFonts w:asciiTheme="majorHAnsi" w:hAnsiTheme="majorHAnsi"/>
          <w:sz w:val="21"/>
          <w:szCs w:val="21"/>
        </w:rPr>
        <w:t>për performancë komunale;</w:t>
      </w:r>
    </w:p>
    <w:p w14:paraId="0FEC1611" w14:textId="4FE0227F" w:rsidR="00986B8B" w:rsidRDefault="00986B8B" w:rsidP="009A3BEC">
      <w:pPr>
        <w:pStyle w:val="ListParagraph"/>
        <w:numPr>
          <w:ilvl w:val="0"/>
          <w:numId w:val="35"/>
        </w:numPr>
        <w:tabs>
          <w:tab w:val="left" w:pos="1710"/>
        </w:tabs>
        <w:spacing w:after="0" w:line="264" w:lineRule="auto"/>
        <w:jc w:val="both"/>
        <w:rPr>
          <w:rFonts w:asciiTheme="majorHAnsi" w:hAnsiTheme="majorHAnsi"/>
          <w:sz w:val="21"/>
          <w:szCs w:val="21"/>
        </w:rPr>
      </w:pPr>
      <w:r>
        <w:rPr>
          <w:rFonts w:asciiTheme="majorHAnsi" w:hAnsiTheme="majorHAnsi"/>
          <w:sz w:val="21"/>
          <w:szCs w:val="21"/>
        </w:rPr>
        <w:t>2 anëtarë nga projekti DEMOS (të cilët përfaqësojnë subjektet kontributdhënëse)</w:t>
      </w:r>
      <w:r w:rsidR="003754A5">
        <w:rPr>
          <w:rFonts w:asciiTheme="majorHAnsi" w:hAnsiTheme="majorHAnsi"/>
          <w:sz w:val="21"/>
          <w:szCs w:val="21"/>
        </w:rPr>
        <w:t>;</w:t>
      </w:r>
    </w:p>
    <w:p w14:paraId="64984BDC" w14:textId="42F67BDC" w:rsidR="003754A5" w:rsidRDefault="003754A5" w:rsidP="009A3BEC">
      <w:pPr>
        <w:pStyle w:val="ListParagraph"/>
        <w:numPr>
          <w:ilvl w:val="0"/>
          <w:numId w:val="35"/>
        </w:numPr>
        <w:tabs>
          <w:tab w:val="left" w:pos="1710"/>
        </w:tabs>
        <w:spacing w:after="0" w:line="264" w:lineRule="auto"/>
        <w:jc w:val="both"/>
        <w:rPr>
          <w:rFonts w:asciiTheme="majorHAnsi" w:hAnsiTheme="majorHAnsi"/>
          <w:sz w:val="21"/>
          <w:szCs w:val="21"/>
        </w:rPr>
      </w:pPr>
      <w:r>
        <w:rPr>
          <w:rFonts w:asciiTheme="majorHAnsi" w:hAnsiTheme="majorHAnsi"/>
          <w:sz w:val="21"/>
          <w:szCs w:val="21"/>
        </w:rPr>
        <w:t>1 an</w:t>
      </w:r>
      <w:r w:rsidR="006518E3">
        <w:rPr>
          <w:rFonts w:asciiTheme="majorHAnsi" w:hAnsiTheme="majorHAnsi"/>
          <w:sz w:val="21"/>
          <w:szCs w:val="21"/>
        </w:rPr>
        <w:t>ë</w:t>
      </w:r>
      <w:r>
        <w:rPr>
          <w:rFonts w:asciiTheme="majorHAnsi" w:hAnsiTheme="majorHAnsi"/>
          <w:sz w:val="21"/>
          <w:szCs w:val="21"/>
        </w:rPr>
        <w:t>tar nga OJQ si v</w:t>
      </w:r>
      <w:r w:rsidR="006518E3">
        <w:rPr>
          <w:rFonts w:asciiTheme="majorHAnsi" w:hAnsiTheme="majorHAnsi"/>
          <w:sz w:val="21"/>
          <w:szCs w:val="21"/>
        </w:rPr>
        <w:t>ë</w:t>
      </w:r>
      <w:r>
        <w:rPr>
          <w:rFonts w:asciiTheme="majorHAnsi" w:hAnsiTheme="majorHAnsi"/>
          <w:sz w:val="21"/>
          <w:szCs w:val="21"/>
        </w:rPr>
        <w:t>zhgues.</w:t>
      </w:r>
    </w:p>
    <w:p w14:paraId="0FB89E4F" w14:textId="77777777" w:rsidR="005445C5" w:rsidRPr="004D2E1C" w:rsidRDefault="005445C5" w:rsidP="005445C5">
      <w:pPr>
        <w:tabs>
          <w:tab w:val="left" w:pos="1710"/>
        </w:tabs>
        <w:spacing w:line="264" w:lineRule="auto"/>
        <w:jc w:val="both"/>
        <w:rPr>
          <w:rFonts w:asciiTheme="majorHAnsi" w:hAnsiTheme="majorHAnsi"/>
          <w:sz w:val="21"/>
          <w:szCs w:val="21"/>
        </w:rPr>
      </w:pPr>
    </w:p>
    <w:p w14:paraId="389E0621" w14:textId="77777777" w:rsidR="009A2406" w:rsidRPr="001D6FCA" w:rsidRDefault="009A2406" w:rsidP="009A2406">
      <w:pPr>
        <w:pStyle w:val="Heading1"/>
        <w:numPr>
          <w:ilvl w:val="2"/>
          <w:numId w:val="7"/>
        </w:numPr>
        <w:tabs>
          <w:tab w:val="left" w:pos="540"/>
        </w:tabs>
        <w:ind w:hanging="3600"/>
        <w:rPr>
          <w:rFonts w:asciiTheme="majorHAnsi" w:hAnsiTheme="majorHAnsi"/>
          <w:sz w:val="24"/>
          <w:szCs w:val="21"/>
          <w:lang w:val="sq-AL"/>
        </w:rPr>
      </w:pPr>
      <w:bookmarkStart w:id="51" w:name="_Toc61062531"/>
      <w:r w:rsidRPr="001D6FCA">
        <w:rPr>
          <w:rFonts w:asciiTheme="majorHAnsi" w:hAnsiTheme="majorHAnsi"/>
          <w:sz w:val="24"/>
          <w:szCs w:val="21"/>
          <w:lang w:val="sq-AL"/>
        </w:rPr>
        <w:t>Komisioni i ankesave</w:t>
      </w:r>
      <w:bookmarkEnd w:id="51"/>
    </w:p>
    <w:p w14:paraId="215DFA21" w14:textId="77777777" w:rsidR="00CA1CC3" w:rsidRDefault="00223E82" w:rsidP="0052538C">
      <w:pPr>
        <w:rPr>
          <w:rFonts w:asciiTheme="majorHAnsi" w:hAnsiTheme="majorHAnsi"/>
          <w:sz w:val="21"/>
          <w:szCs w:val="21"/>
        </w:rPr>
      </w:pPr>
      <w:r>
        <w:rPr>
          <w:rFonts w:asciiTheme="majorHAnsi" w:hAnsiTheme="majorHAnsi"/>
          <w:sz w:val="21"/>
          <w:szCs w:val="21"/>
        </w:rPr>
        <w:t>Komisioni i ankesave shqyrton dhe vendos</w:t>
      </w:r>
      <w:r w:rsidR="00DC0362">
        <w:rPr>
          <w:rFonts w:asciiTheme="majorHAnsi" w:hAnsiTheme="majorHAnsi"/>
          <w:sz w:val="21"/>
          <w:szCs w:val="21"/>
        </w:rPr>
        <w:t>ë</w:t>
      </w:r>
      <w:r>
        <w:rPr>
          <w:rFonts w:asciiTheme="majorHAnsi" w:hAnsiTheme="majorHAnsi"/>
          <w:sz w:val="21"/>
          <w:szCs w:val="21"/>
        </w:rPr>
        <w:t xml:space="preserve"> lidhur me ankesat e parashtruara nga komunat lidhur me vler</w:t>
      </w:r>
      <w:r w:rsidR="00DC0362">
        <w:rPr>
          <w:rFonts w:asciiTheme="majorHAnsi" w:hAnsiTheme="majorHAnsi"/>
          <w:sz w:val="21"/>
          <w:szCs w:val="21"/>
        </w:rPr>
        <w:t>ë</w:t>
      </w:r>
      <w:r>
        <w:rPr>
          <w:rFonts w:asciiTheme="majorHAnsi" w:hAnsiTheme="majorHAnsi"/>
          <w:sz w:val="21"/>
          <w:szCs w:val="21"/>
        </w:rPr>
        <w:t>simin e performanc</w:t>
      </w:r>
      <w:r w:rsidR="00DC0362">
        <w:rPr>
          <w:rFonts w:asciiTheme="majorHAnsi" w:hAnsiTheme="majorHAnsi"/>
          <w:sz w:val="21"/>
          <w:szCs w:val="21"/>
        </w:rPr>
        <w:t>ë</w:t>
      </w:r>
      <w:r>
        <w:rPr>
          <w:rFonts w:asciiTheme="majorHAnsi" w:hAnsiTheme="majorHAnsi"/>
          <w:sz w:val="21"/>
          <w:szCs w:val="21"/>
        </w:rPr>
        <w:t>s s</w:t>
      </w:r>
      <w:r w:rsidR="00DC0362">
        <w:rPr>
          <w:rFonts w:asciiTheme="majorHAnsi" w:hAnsiTheme="majorHAnsi"/>
          <w:sz w:val="21"/>
          <w:szCs w:val="21"/>
        </w:rPr>
        <w:t>ë</w:t>
      </w:r>
      <w:r>
        <w:rPr>
          <w:rFonts w:asciiTheme="majorHAnsi" w:hAnsiTheme="majorHAnsi"/>
          <w:sz w:val="21"/>
          <w:szCs w:val="21"/>
        </w:rPr>
        <w:t xml:space="preserve"> tyre p</w:t>
      </w:r>
      <w:r w:rsidR="00DC0362">
        <w:rPr>
          <w:rFonts w:asciiTheme="majorHAnsi" w:hAnsiTheme="majorHAnsi"/>
          <w:sz w:val="21"/>
          <w:szCs w:val="21"/>
        </w:rPr>
        <w:t>ë</w:t>
      </w:r>
      <w:r>
        <w:rPr>
          <w:rFonts w:asciiTheme="majorHAnsi" w:hAnsiTheme="majorHAnsi"/>
          <w:sz w:val="21"/>
          <w:szCs w:val="21"/>
        </w:rPr>
        <w:t>r GPK</w:t>
      </w:r>
      <w:r w:rsidR="00F0607D">
        <w:rPr>
          <w:rFonts w:asciiTheme="majorHAnsi" w:hAnsiTheme="majorHAnsi"/>
          <w:sz w:val="21"/>
          <w:szCs w:val="21"/>
        </w:rPr>
        <w:t xml:space="preserve">, </w:t>
      </w:r>
      <w:r w:rsidR="00A91E64">
        <w:rPr>
          <w:rFonts w:asciiTheme="majorHAnsi" w:hAnsiTheme="majorHAnsi"/>
          <w:sz w:val="21"/>
          <w:szCs w:val="21"/>
        </w:rPr>
        <w:t xml:space="preserve">sipas </w:t>
      </w:r>
      <w:r w:rsidR="00F0607D">
        <w:rPr>
          <w:rFonts w:asciiTheme="majorHAnsi" w:hAnsiTheme="majorHAnsi"/>
          <w:sz w:val="21"/>
          <w:szCs w:val="21"/>
        </w:rPr>
        <w:t>nenit 39 t</w:t>
      </w:r>
      <w:r w:rsidR="00C87181">
        <w:rPr>
          <w:rFonts w:asciiTheme="majorHAnsi" w:hAnsiTheme="majorHAnsi"/>
          <w:sz w:val="21"/>
          <w:szCs w:val="21"/>
        </w:rPr>
        <w:t>ë</w:t>
      </w:r>
      <w:r w:rsidR="00F0607D">
        <w:rPr>
          <w:rFonts w:asciiTheme="majorHAnsi" w:hAnsiTheme="majorHAnsi"/>
          <w:sz w:val="21"/>
          <w:szCs w:val="21"/>
        </w:rPr>
        <w:t xml:space="preserve"> Rregullores 01/2020 p</w:t>
      </w:r>
      <w:r w:rsidR="00C87181">
        <w:rPr>
          <w:rFonts w:asciiTheme="majorHAnsi" w:hAnsiTheme="majorHAnsi"/>
          <w:sz w:val="21"/>
          <w:szCs w:val="21"/>
        </w:rPr>
        <w:t>ë</w:t>
      </w:r>
      <w:r w:rsidR="00F0607D">
        <w:rPr>
          <w:rFonts w:asciiTheme="majorHAnsi" w:hAnsiTheme="majorHAnsi"/>
          <w:sz w:val="21"/>
          <w:szCs w:val="21"/>
        </w:rPr>
        <w:t>r Sistemin e Menaxhimit t</w:t>
      </w:r>
      <w:r w:rsidR="00C87181">
        <w:rPr>
          <w:rFonts w:asciiTheme="majorHAnsi" w:hAnsiTheme="majorHAnsi"/>
          <w:sz w:val="21"/>
          <w:szCs w:val="21"/>
        </w:rPr>
        <w:t>ë</w:t>
      </w:r>
      <w:r w:rsidR="00F0607D">
        <w:rPr>
          <w:rFonts w:asciiTheme="majorHAnsi" w:hAnsiTheme="majorHAnsi"/>
          <w:sz w:val="21"/>
          <w:szCs w:val="21"/>
        </w:rPr>
        <w:t xml:space="preserve"> </w:t>
      </w:r>
      <w:r w:rsidR="00EC73DD">
        <w:rPr>
          <w:rFonts w:asciiTheme="majorHAnsi" w:hAnsiTheme="majorHAnsi"/>
          <w:sz w:val="21"/>
          <w:szCs w:val="21"/>
        </w:rPr>
        <w:t>P</w:t>
      </w:r>
      <w:r w:rsidR="00F0607D">
        <w:rPr>
          <w:rFonts w:asciiTheme="majorHAnsi" w:hAnsiTheme="majorHAnsi"/>
          <w:sz w:val="21"/>
          <w:szCs w:val="21"/>
        </w:rPr>
        <w:t>erformanc</w:t>
      </w:r>
      <w:r w:rsidR="00C87181">
        <w:rPr>
          <w:rFonts w:asciiTheme="majorHAnsi" w:hAnsiTheme="majorHAnsi"/>
          <w:sz w:val="21"/>
          <w:szCs w:val="21"/>
        </w:rPr>
        <w:t>ë</w:t>
      </w:r>
      <w:r w:rsidR="00F0607D">
        <w:rPr>
          <w:rFonts w:asciiTheme="majorHAnsi" w:hAnsiTheme="majorHAnsi"/>
          <w:sz w:val="21"/>
          <w:szCs w:val="21"/>
        </w:rPr>
        <w:t>s Komunale dhe Skem</w:t>
      </w:r>
      <w:r w:rsidR="00C87181">
        <w:rPr>
          <w:rFonts w:asciiTheme="majorHAnsi" w:hAnsiTheme="majorHAnsi"/>
          <w:sz w:val="21"/>
          <w:szCs w:val="21"/>
        </w:rPr>
        <w:t>ë</w:t>
      </w:r>
      <w:r w:rsidR="00F0607D">
        <w:rPr>
          <w:rFonts w:asciiTheme="majorHAnsi" w:hAnsiTheme="majorHAnsi"/>
          <w:sz w:val="21"/>
          <w:szCs w:val="21"/>
        </w:rPr>
        <w:t>s s</w:t>
      </w:r>
      <w:r w:rsidR="00C87181">
        <w:rPr>
          <w:rFonts w:asciiTheme="majorHAnsi" w:hAnsiTheme="majorHAnsi"/>
          <w:sz w:val="21"/>
          <w:szCs w:val="21"/>
        </w:rPr>
        <w:t>ë</w:t>
      </w:r>
      <w:r w:rsidR="00F0607D">
        <w:rPr>
          <w:rFonts w:asciiTheme="majorHAnsi" w:hAnsiTheme="majorHAnsi"/>
          <w:sz w:val="21"/>
          <w:szCs w:val="21"/>
        </w:rPr>
        <w:t xml:space="preserve"> Grantit t</w:t>
      </w:r>
      <w:r w:rsidR="00C87181">
        <w:rPr>
          <w:rFonts w:asciiTheme="majorHAnsi" w:hAnsiTheme="majorHAnsi"/>
          <w:sz w:val="21"/>
          <w:szCs w:val="21"/>
        </w:rPr>
        <w:t>ë</w:t>
      </w:r>
      <w:r w:rsidR="00F0607D">
        <w:rPr>
          <w:rFonts w:asciiTheme="majorHAnsi" w:hAnsiTheme="majorHAnsi"/>
          <w:sz w:val="21"/>
          <w:szCs w:val="21"/>
        </w:rPr>
        <w:t xml:space="preserve"> Bazuar n</w:t>
      </w:r>
      <w:r w:rsidR="00C87181">
        <w:rPr>
          <w:rFonts w:asciiTheme="majorHAnsi" w:hAnsiTheme="majorHAnsi"/>
          <w:sz w:val="21"/>
          <w:szCs w:val="21"/>
        </w:rPr>
        <w:t>ë</w:t>
      </w:r>
      <w:r w:rsidR="00F0607D">
        <w:rPr>
          <w:rFonts w:asciiTheme="majorHAnsi" w:hAnsiTheme="majorHAnsi"/>
          <w:sz w:val="21"/>
          <w:szCs w:val="21"/>
        </w:rPr>
        <w:t xml:space="preserve"> Performanc</w:t>
      </w:r>
      <w:r w:rsidR="00C87181">
        <w:rPr>
          <w:rFonts w:asciiTheme="majorHAnsi" w:hAnsiTheme="majorHAnsi"/>
          <w:sz w:val="21"/>
          <w:szCs w:val="21"/>
        </w:rPr>
        <w:t>ë</w:t>
      </w:r>
    </w:p>
    <w:p w14:paraId="2D518B2C" w14:textId="77777777" w:rsidR="00223E82" w:rsidRDefault="00223E82" w:rsidP="0052538C">
      <w:pPr>
        <w:rPr>
          <w:rFonts w:asciiTheme="majorHAnsi" w:hAnsiTheme="majorHAnsi"/>
          <w:sz w:val="21"/>
          <w:szCs w:val="21"/>
        </w:rPr>
      </w:pPr>
    </w:p>
    <w:p w14:paraId="2C54DFE4" w14:textId="77777777" w:rsidR="009A2406" w:rsidRDefault="009A2406" w:rsidP="0052538C">
      <w:pPr>
        <w:rPr>
          <w:rFonts w:asciiTheme="majorHAnsi" w:hAnsiTheme="majorHAnsi"/>
          <w:sz w:val="21"/>
          <w:szCs w:val="21"/>
        </w:rPr>
      </w:pPr>
      <w:r w:rsidRPr="0052538C">
        <w:rPr>
          <w:rFonts w:asciiTheme="majorHAnsi" w:hAnsiTheme="majorHAnsi"/>
          <w:sz w:val="21"/>
          <w:szCs w:val="21"/>
        </w:rPr>
        <w:t>Detyrat</w:t>
      </w:r>
      <w:r w:rsidR="00DE0730">
        <w:rPr>
          <w:rFonts w:asciiTheme="majorHAnsi" w:hAnsiTheme="majorHAnsi"/>
          <w:sz w:val="21"/>
          <w:szCs w:val="21"/>
        </w:rPr>
        <w:t xml:space="preserve"> e komisionit t</w:t>
      </w:r>
      <w:r w:rsidR="00DC0362">
        <w:rPr>
          <w:rFonts w:asciiTheme="majorHAnsi" w:hAnsiTheme="majorHAnsi"/>
          <w:sz w:val="21"/>
          <w:szCs w:val="21"/>
        </w:rPr>
        <w:t>ë</w:t>
      </w:r>
      <w:r w:rsidR="00DE0730">
        <w:rPr>
          <w:rFonts w:asciiTheme="majorHAnsi" w:hAnsiTheme="majorHAnsi"/>
          <w:sz w:val="21"/>
          <w:szCs w:val="21"/>
        </w:rPr>
        <w:t xml:space="preserve"> ankesave jan</w:t>
      </w:r>
      <w:r w:rsidR="00DC0362">
        <w:rPr>
          <w:rFonts w:asciiTheme="majorHAnsi" w:hAnsiTheme="majorHAnsi"/>
          <w:sz w:val="21"/>
          <w:szCs w:val="21"/>
        </w:rPr>
        <w:t>ë</w:t>
      </w:r>
      <w:r w:rsidR="00DE0730">
        <w:rPr>
          <w:rFonts w:asciiTheme="majorHAnsi" w:hAnsiTheme="majorHAnsi"/>
          <w:sz w:val="21"/>
          <w:szCs w:val="21"/>
        </w:rPr>
        <w:t xml:space="preserve">: </w:t>
      </w:r>
    </w:p>
    <w:p w14:paraId="4F1DFD8D" w14:textId="77777777" w:rsidR="00DE0730" w:rsidRDefault="00DE0730" w:rsidP="009A3BEC">
      <w:pPr>
        <w:pStyle w:val="ListParagraph"/>
        <w:numPr>
          <w:ilvl w:val="0"/>
          <w:numId w:val="24"/>
        </w:numPr>
        <w:spacing w:after="0"/>
        <w:rPr>
          <w:rFonts w:asciiTheme="majorHAnsi" w:hAnsiTheme="majorHAnsi"/>
          <w:sz w:val="21"/>
          <w:szCs w:val="21"/>
        </w:rPr>
      </w:pPr>
      <w:r>
        <w:rPr>
          <w:rFonts w:asciiTheme="majorHAnsi" w:hAnsiTheme="majorHAnsi"/>
          <w:sz w:val="21"/>
          <w:szCs w:val="21"/>
        </w:rPr>
        <w:t>Shqyrtimi i ankesave p</w:t>
      </w:r>
      <w:r w:rsidR="00DC0362">
        <w:rPr>
          <w:rFonts w:asciiTheme="majorHAnsi" w:hAnsiTheme="majorHAnsi"/>
          <w:sz w:val="21"/>
          <w:szCs w:val="21"/>
        </w:rPr>
        <w:t>ë</w:t>
      </w:r>
      <w:r>
        <w:rPr>
          <w:rFonts w:asciiTheme="majorHAnsi" w:hAnsiTheme="majorHAnsi"/>
          <w:sz w:val="21"/>
          <w:szCs w:val="21"/>
        </w:rPr>
        <w:t>r grant t</w:t>
      </w:r>
      <w:r w:rsidR="00DC0362">
        <w:rPr>
          <w:rFonts w:asciiTheme="majorHAnsi" w:hAnsiTheme="majorHAnsi"/>
          <w:sz w:val="21"/>
          <w:szCs w:val="21"/>
        </w:rPr>
        <w:t>ë</w:t>
      </w:r>
      <w:r>
        <w:rPr>
          <w:rFonts w:asciiTheme="majorHAnsi" w:hAnsiTheme="majorHAnsi"/>
          <w:sz w:val="21"/>
          <w:szCs w:val="21"/>
        </w:rPr>
        <w:t xml:space="preserve"> parashtruara nga komunat ;  </w:t>
      </w:r>
    </w:p>
    <w:p w14:paraId="4C94EE40" w14:textId="77777777" w:rsidR="00DE0730" w:rsidRDefault="00DE0730" w:rsidP="009A3BEC">
      <w:pPr>
        <w:pStyle w:val="ListParagraph"/>
        <w:numPr>
          <w:ilvl w:val="0"/>
          <w:numId w:val="24"/>
        </w:numPr>
        <w:spacing w:after="0"/>
        <w:rPr>
          <w:rFonts w:asciiTheme="majorHAnsi" w:hAnsiTheme="majorHAnsi"/>
          <w:sz w:val="21"/>
          <w:szCs w:val="21"/>
        </w:rPr>
      </w:pPr>
      <w:r>
        <w:rPr>
          <w:rFonts w:asciiTheme="majorHAnsi" w:hAnsiTheme="majorHAnsi"/>
          <w:sz w:val="21"/>
          <w:szCs w:val="21"/>
        </w:rPr>
        <w:t>Marrja e vendimeve p</w:t>
      </w:r>
      <w:r w:rsidR="00DC0362">
        <w:rPr>
          <w:rFonts w:asciiTheme="majorHAnsi" w:hAnsiTheme="majorHAnsi"/>
          <w:sz w:val="21"/>
          <w:szCs w:val="21"/>
        </w:rPr>
        <w:t>ë</w:t>
      </w:r>
      <w:r>
        <w:rPr>
          <w:rFonts w:asciiTheme="majorHAnsi" w:hAnsiTheme="majorHAnsi"/>
          <w:sz w:val="21"/>
          <w:szCs w:val="21"/>
        </w:rPr>
        <w:t>r ankesat e parashtruara.</w:t>
      </w:r>
    </w:p>
    <w:p w14:paraId="0884F9E6" w14:textId="77777777" w:rsidR="00DE0730" w:rsidRDefault="00DE0730" w:rsidP="00A741F2">
      <w:pPr>
        <w:rPr>
          <w:rFonts w:asciiTheme="majorHAnsi" w:hAnsiTheme="majorHAnsi"/>
          <w:sz w:val="21"/>
          <w:szCs w:val="21"/>
        </w:rPr>
      </w:pPr>
      <w:r>
        <w:rPr>
          <w:rFonts w:asciiTheme="majorHAnsi" w:hAnsiTheme="majorHAnsi"/>
          <w:sz w:val="21"/>
          <w:szCs w:val="21"/>
        </w:rPr>
        <w:t>Komisioni i ankesave p</w:t>
      </w:r>
      <w:r w:rsidR="00DC0362">
        <w:rPr>
          <w:rFonts w:asciiTheme="majorHAnsi" w:hAnsiTheme="majorHAnsi"/>
          <w:sz w:val="21"/>
          <w:szCs w:val="21"/>
        </w:rPr>
        <w:t>ë</w:t>
      </w:r>
      <w:r>
        <w:rPr>
          <w:rFonts w:asciiTheme="majorHAnsi" w:hAnsiTheme="majorHAnsi"/>
          <w:sz w:val="21"/>
          <w:szCs w:val="21"/>
        </w:rPr>
        <w:t>rb</w:t>
      </w:r>
      <w:r w:rsidR="00DC0362">
        <w:rPr>
          <w:rFonts w:asciiTheme="majorHAnsi" w:hAnsiTheme="majorHAnsi"/>
          <w:sz w:val="21"/>
          <w:szCs w:val="21"/>
        </w:rPr>
        <w:t>ë</w:t>
      </w:r>
      <w:r>
        <w:rPr>
          <w:rFonts w:asciiTheme="majorHAnsi" w:hAnsiTheme="majorHAnsi"/>
          <w:sz w:val="21"/>
          <w:szCs w:val="21"/>
        </w:rPr>
        <w:t>het nga 3 an</w:t>
      </w:r>
      <w:r w:rsidR="00DC0362">
        <w:rPr>
          <w:rFonts w:asciiTheme="majorHAnsi" w:hAnsiTheme="majorHAnsi"/>
          <w:sz w:val="21"/>
          <w:szCs w:val="21"/>
        </w:rPr>
        <w:t>ë</w:t>
      </w:r>
      <w:r>
        <w:rPr>
          <w:rFonts w:asciiTheme="majorHAnsi" w:hAnsiTheme="majorHAnsi"/>
          <w:sz w:val="21"/>
          <w:szCs w:val="21"/>
        </w:rPr>
        <w:t>tar</w:t>
      </w:r>
      <w:r w:rsidR="00DC0362">
        <w:rPr>
          <w:rFonts w:asciiTheme="majorHAnsi" w:hAnsiTheme="majorHAnsi"/>
          <w:sz w:val="21"/>
          <w:szCs w:val="21"/>
        </w:rPr>
        <w:t>ë</w:t>
      </w:r>
      <w:r w:rsidR="00F561FD">
        <w:rPr>
          <w:rFonts w:asciiTheme="majorHAnsi" w:hAnsiTheme="majorHAnsi"/>
          <w:sz w:val="21"/>
          <w:szCs w:val="21"/>
        </w:rPr>
        <w:t xml:space="preserve"> dhe 2 vëzhgues</w:t>
      </w:r>
      <w:r>
        <w:rPr>
          <w:rFonts w:asciiTheme="majorHAnsi" w:hAnsiTheme="majorHAnsi"/>
          <w:sz w:val="21"/>
          <w:szCs w:val="21"/>
        </w:rPr>
        <w:t>:</w:t>
      </w:r>
    </w:p>
    <w:p w14:paraId="7073AE90" w14:textId="0B2199C5" w:rsidR="00DE0730" w:rsidRDefault="6DA2B7FE" w:rsidP="15215104">
      <w:pPr>
        <w:pStyle w:val="ListParagraph"/>
        <w:numPr>
          <w:ilvl w:val="0"/>
          <w:numId w:val="36"/>
        </w:numPr>
        <w:spacing w:after="0"/>
        <w:rPr>
          <w:rFonts w:asciiTheme="majorHAnsi" w:hAnsiTheme="majorHAnsi"/>
          <w:sz w:val="21"/>
          <w:szCs w:val="21"/>
        </w:rPr>
      </w:pPr>
      <w:r w:rsidRPr="15215104">
        <w:rPr>
          <w:rFonts w:asciiTheme="majorHAnsi" w:hAnsiTheme="majorHAnsi"/>
          <w:sz w:val="21"/>
          <w:szCs w:val="21"/>
        </w:rPr>
        <w:t xml:space="preserve">2 </w:t>
      </w:r>
      <w:r w:rsidR="120B7C2E" w:rsidRPr="15215104">
        <w:rPr>
          <w:rFonts w:asciiTheme="majorHAnsi" w:hAnsiTheme="majorHAnsi"/>
          <w:sz w:val="21"/>
          <w:szCs w:val="21"/>
        </w:rPr>
        <w:t>p</w:t>
      </w:r>
      <w:r w:rsidR="324B9C00" w:rsidRPr="15215104">
        <w:rPr>
          <w:rFonts w:asciiTheme="majorHAnsi" w:hAnsiTheme="majorHAnsi"/>
          <w:sz w:val="21"/>
          <w:szCs w:val="21"/>
        </w:rPr>
        <w:t>ë</w:t>
      </w:r>
      <w:r w:rsidR="120B7C2E" w:rsidRPr="15215104">
        <w:rPr>
          <w:rFonts w:asciiTheme="majorHAnsi" w:hAnsiTheme="majorHAnsi"/>
          <w:sz w:val="21"/>
          <w:szCs w:val="21"/>
        </w:rPr>
        <w:t>rfaq</w:t>
      </w:r>
      <w:r w:rsidR="023B087E" w:rsidRPr="15215104">
        <w:rPr>
          <w:rFonts w:asciiTheme="majorHAnsi" w:hAnsiTheme="majorHAnsi"/>
          <w:sz w:val="21"/>
          <w:szCs w:val="21"/>
        </w:rPr>
        <w:t>ë</w:t>
      </w:r>
      <w:r w:rsidR="120B7C2E" w:rsidRPr="15215104">
        <w:rPr>
          <w:rFonts w:asciiTheme="majorHAnsi" w:hAnsiTheme="majorHAnsi"/>
          <w:sz w:val="21"/>
          <w:szCs w:val="21"/>
        </w:rPr>
        <w:t>sues</w:t>
      </w:r>
      <w:r w:rsidRPr="15215104">
        <w:rPr>
          <w:rFonts w:asciiTheme="majorHAnsi" w:hAnsiTheme="majorHAnsi"/>
          <w:sz w:val="21"/>
          <w:szCs w:val="21"/>
        </w:rPr>
        <w:t xml:space="preserve"> nga </w:t>
      </w:r>
      <w:r w:rsidR="7BBBE6FD" w:rsidRPr="15215104">
        <w:rPr>
          <w:rFonts w:asciiTheme="majorHAnsi" w:hAnsiTheme="majorHAnsi"/>
          <w:sz w:val="21"/>
          <w:szCs w:val="21"/>
        </w:rPr>
        <w:t>MAPL</w:t>
      </w:r>
      <w:r w:rsidR="66C972FD" w:rsidRPr="15215104">
        <w:rPr>
          <w:rFonts w:asciiTheme="majorHAnsi" w:hAnsiTheme="majorHAnsi"/>
          <w:sz w:val="21"/>
          <w:szCs w:val="21"/>
        </w:rPr>
        <w:t xml:space="preserve"> </w:t>
      </w:r>
      <w:r w:rsidR="2E8F7B3D" w:rsidRPr="15215104">
        <w:rPr>
          <w:rFonts w:asciiTheme="majorHAnsi" w:hAnsiTheme="majorHAnsi"/>
          <w:sz w:val="21"/>
          <w:szCs w:val="21"/>
        </w:rPr>
        <w:t>(nj</w:t>
      </w:r>
      <w:r w:rsidR="324B9C00" w:rsidRPr="15215104">
        <w:rPr>
          <w:rFonts w:asciiTheme="majorHAnsi" w:hAnsiTheme="majorHAnsi"/>
          <w:sz w:val="21"/>
          <w:szCs w:val="21"/>
        </w:rPr>
        <w:t>ë</w:t>
      </w:r>
      <w:r w:rsidR="2E8F7B3D" w:rsidRPr="15215104">
        <w:rPr>
          <w:rFonts w:asciiTheme="majorHAnsi" w:hAnsiTheme="majorHAnsi"/>
          <w:sz w:val="21"/>
          <w:szCs w:val="21"/>
        </w:rPr>
        <w:t>ri prej tyre kryesues)</w:t>
      </w:r>
    </w:p>
    <w:p w14:paraId="20FCCB7E" w14:textId="1C03B4D2" w:rsidR="00DE0730" w:rsidRDefault="00DE0730" w:rsidP="009A3BEC">
      <w:pPr>
        <w:pStyle w:val="ListParagraph"/>
        <w:numPr>
          <w:ilvl w:val="0"/>
          <w:numId w:val="36"/>
        </w:numPr>
        <w:spacing w:after="0"/>
        <w:rPr>
          <w:rFonts w:asciiTheme="majorHAnsi" w:hAnsiTheme="majorHAnsi"/>
          <w:sz w:val="21"/>
          <w:szCs w:val="21"/>
        </w:rPr>
      </w:pPr>
      <w:r>
        <w:rPr>
          <w:rFonts w:asciiTheme="majorHAnsi" w:hAnsiTheme="majorHAnsi"/>
          <w:sz w:val="21"/>
          <w:szCs w:val="21"/>
        </w:rPr>
        <w:t>1 p</w:t>
      </w:r>
      <w:r w:rsidR="00DC0362">
        <w:rPr>
          <w:rFonts w:asciiTheme="majorHAnsi" w:hAnsiTheme="majorHAnsi"/>
          <w:sz w:val="21"/>
          <w:szCs w:val="21"/>
        </w:rPr>
        <w:t>ë</w:t>
      </w:r>
      <w:r>
        <w:rPr>
          <w:rFonts w:asciiTheme="majorHAnsi" w:hAnsiTheme="majorHAnsi"/>
          <w:sz w:val="21"/>
          <w:szCs w:val="21"/>
        </w:rPr>
        <w:t>rfaq</w:t>
      </w:r>
      <w:r w:rsidR="00DC0362">
        <w:rPr>
          <w:rFonts w:asciiTheme="majorHAnsi" w:hAnsiTheme="majorHAnsi"/>
          <w:sz w:val="21"/>
          <w:szCs w:val="21"/>
        </w:rPr>
        <w:t>ë</w:t>
      </w:r>
      <w:r>
        <w:rPr>
          <w:rFonts w:asciiTheme="majorHAnsi" w:hAnsiTheme="majorHAnsi"/>
          <w:sz w:val="21"/>
          <w:szCs w:val="21"/>
        </w:rPr>
        <w:t>sues i jasht</w:t>
      </w:r>
      <w:r w:rsidR="00DC0362">
        <w:rPr>
          <w:rFonts w:asciiTheme="majorHAnsi" w:hAnsiTheme="majorHAnsi"/>
          <w:sz w:val="21"/>
          <w:szCs w:val="21"/>
        </w:rPr>
        <w:t>ë</w:t>
      </w:r>
      <w:r>
        <w:rPr>
          <w:rFonts w:asciiTheme="majorHAnsi" w:hAnsiTheme="majorHAnsi"/>
          <w:sz w:val="21"/>
          <w:szCs w:val="21"/>
        </w:rPr>
        <w:t>m</w:t>
      </w:r>
      <w:r w:rsidR="00DE654F">
        <w:rPr>
          <w:rFonts w:asciiTheme="majorHAnsi" w:hAnsiTheme="majorHAnsi"/>
          <w:sz w:val="21"/>
          <w:szCs w:val="21"/>
        </w:rPr>
        <w:t xml:space="preserve"> (</w:t>
      </w:r>
      <w:r w:rsidR="009B044C">
        <w:rPr>
          <w:rFonts w:asciiTheme="majorHAnsi" w:hAnsiTheme="majorHAnsi"/>
          <w:sz w:val="21"/>
          <w:szCs w:val="21"/>
        </w:rPr>
        <w:t>nga OshC)</w:t>
      </w:r>
    </w:p>
    <w:p w14:paraId="1D1759F2" w14:textId="43409ED6" w:rsidR="00F561FD" w:rsidRDefault="00F561FD" w:rsidP="009A3BEC">
      <w:pPr>
        <w:pStyle w:val="ListParagraph"/>
        <w:numPr>
          <w:ilvl w:val="0"/>
          <w:numId w:val="36"/>
        </w:numPr>
        <w:spacing w:after="0"/>
        <w:rPr>
          <w:rFonts w:asciiTheme="majorHAnsi" w:hAnsiTheme="majorHAnsi"/>
          <w:sz w:val="21"/>
          <w:szCs w:val="21"/>
        </w:rPr>
      </w:pPr>
      <w:r>
        <w:rPr>
          <w:rFonts w:asciiTheme="majorHAnsi" w:hAnsiTheme="majorHAnsi"/>
          <w:sz w:val="21"/>
          <w:szCs w:val="21"/>
        </w:rPr>
        <w:t>2 vëzhgues nga</w:t>
      </w:r>
      <w:r w:rsidR="003754A5">
        <w:rPr>
          <w:rFonts w:asciiTheme="majorHAnsi" w:hAnsiTheme="majorHAnsi"/>
          <w:sz w:val="21"/>
          <w:szCs w:val="21"/>
        </w:rPr>
        <w:t xml:space="preserve"> projekti</w:t>
      </w:r>
      <w:r>
        <w:rPr>
          <w:rFonts w:asciiTheme="majorHAnsi" w:hAnsiTheme="majorHAnsi"/>
          <w:sz w:val="21"/>
          <w:szCs w:val="21"/>
        </w:rPr>
        <w:t xml:space="preserve"> DEMOS</w:t>
      </w:r>
    </w:p>
    <w:p w14:paraId="23E26318" w14:textId="77777777" w:rsidR="00F561FD" w:rsidRDefault="00F561FD" w:rsidP="00490A6C">
      <w:pPr>
        <w:rPr>
          <w:rFonts w:asciiTheme="majorHAnsi" w:hAnsiTheme="majorHAnsi"/>
          <w:sz w:val="21"/>
          <w:szCs w:val="21"/>
        </w:rPr>
      </w:pPr>
    </w:p>
    <w:p w14:paraId="478927B9" w14:textId="3213E863" w:rsidR="00397EB6" w:rsidRDefault="00397EB6" w:rsidP="00490A6C">
      <w:pPr>
        <w:rPr>
          <w:rFonts w:asciiTheme="majorHAnsi" w:hAnsiTheme="majorHAnsi"/>
          <w:sz w:val="21"/>
          <w:szCs w:val="21"/>
        </w:rPr>
      </w:pPr>
      <w:r>
        <w:rPr>
          <w:rFonts w:asciiTheme="majorHAnsi" w:hAnsiTheme="majorHAnsi"/>
          <w:sz w:val="21"/>
          <w:szCs w:val="21"/>
        </w:rPr>
        <w:t>Komisioni i ankesave nuk do të rishikojë ankesat që ndërlidhen me burimin e të dhënave të përdorur  gjatë vlerësimit</w:t>
      </w:r>
      <w:r w:rsidRPr="00397EB6">
        <w:rPr>
          <w:rFonts w:asciiTheme="majorHAnsi" w:hAnsiTheme="majorHAnsi"/>
          <w:sz w:val="21"/>
          <w:szCs w:val="21"/>
        </w:rPr>
        <w:t>.</w:t>
      </w:r>
    </w:p>
    <w:p w14:paraId="3FE3743F" w14:textId="77777777" w:rsidR="00397EB6" w:rsidRDefault="00397EB6" w:rsidP="00490A6C">
      <w:pPr>
        <w:rPr>
          <w:rFonts w:asciiTheme="majorHAnsi" w:hAnsiTheme="majorHAnsi"/>
          <w:sz w:val="21"/>
          <w:szCs w:val="21"/>
        </w:rPr>
      </w:pPr>
    </w:p>
    <w:p w14:paraId="0CDBB044" w14:textId="5A2105AC" w:rsidR="00215A4E" w:rsidRDefault="00DE0730" w:rsidP="00490A6C">
      <w:pPr>
        <w:rPr>
          <w:rFonts w:asciiTheme="majorHAnsi" w:hAnsiTheme="majorHAnsi"/>
          <w:sz w:val="21"/>
          <w:szCs w:val="21"/>
        </w:rPr>
      </w:pPr>
      <w:r>
        <w:rPr>
          <w:rFonts w:asciiTheme="majorHAnsi" w:hAnsiTheme="majorHAnsi"/>
          <w:sz w:val="21"/>
          <w:szCs w:val="21"/>
        </w:rPr>
        <w:t>An</w:t>
      </w:r>
      <w:r w:rsidR="00DC0362">
        <w:rPr>
          <w:rFonts w:asciiTheme="majorHAnsi" w:hAnsiTheme="majorHAnsi"/>
          <w:sz w:val="21"/>
          <w:szCs w:val="21"/>
        </w:rPr>
        <w:t>ë</w:t>
      </w:r>
      <w:r>
        <w:rPr>
          <w:rFonts w:asciiTheme="majorHAnsi" w:hAnsiTheme="majorHAnsi"/>
          <w:sz w:val="21"/>
          <w:szCs w:val="21"/>
        </w:rPr>
        <w:t>tar</w:t>
      </w:r>
      <w:r w:rsidR="00DC0362">
        <w:rPr>
          <w:rFonts w:asciiTheme="majorHAnsi" w:hAnsiTheme="majorHAnsi"/>
          <w:sz w:val="21"/>
          <w:szCs w:val="21"/>
        </w:rPr>
        <w:t>ë</w:t>
      </w:r>
      <w:r>
        <w:rPr>
          <w:rFonts w:asciiTheme="majorHAnsi" w:hAnsiTheme="majorHAnsi"/>
          <w:sz w:val="21"/>
          <w:szCs w:val="21"/>
        </w:rPr>
        <w:t>t e komisioni t</w:t>
      </w:r>
      <w:r w:rsidR="00DC0362">
        <w:rPr>
          <w:rFonts w:asciiTheme="majorHAnsi" w:hAnsiTheme="majorHAnsi"/>
          <w:sz w:val="21"/>
          <w:szCs w:val="21"/>
        </w:rPr>
        <w:t>ë</w:t>
      </w:r>
      <w:r>
        <w:rPr>
          <w:rFonts w:asciiTheme="majorHAnsi" w:hAnsiTheme="majorHAnsi"/>
          <w:sz w:val="21"/>
          <w:szCs w:val="21"/>
        </w:rPr>
        <w:t xml:space="preserve"> grantit apo grupit teknik nuk mund t</w:t>
      </w:r>
      <w:r w:rsidR="00DC0362">
        <w:rPr>
          <w:rFonts w:asciiTheme="majorHAnsi" w:hAnsiTheme="majorHAnsi"/>
          <w:sz w:val="21"/>
          <w:szCs w:val="21"/>
        </w:rPr>
        <w:t>ë</w:t>
      </w:r>
      <w:r>
        <w:rPr>
          <w:rFonts w:asciiTheme="majorHAnsi" w:hAnsiTheme="majorHAnsi"/>
          <w:sz w:val="21"/>
          <w:szCs w:val="21"/>
        </w:rPr>
        <w:t xml:space="preserve"> jen</w:t>
      </w:r>
      <w:r w:rsidR="00DC0362">
        <w:rPr>
          <w:rFonts w:asciiTheme="majorHAnsi" w:hAnsiTheme="majorHAnsi"/>
          <w:sz w:val="21"/>
          <w:szCs w:val="21"/>
        </w:rPr>
        <w:t>ë</w:t>
      </w:r>
      <w:r>
        <w:rPr>
          <w:rFonts w:asciiTheme="majorHAnsi" w:hAnsiTheme="majorHAnsi"/>
          <w:sz w:val="21"/>
          <w:szCs w:val="21"/>
        </w:rPr>
        <w:t xml:space="preserve"> an</w:t>
      </w:r>
      <w:r w:rsidR="00DC0362">
        <w:rPr>
          <w:rFonts w:asciiTheme="majorHAnsi" w:hAnsiTheme="majorHAnsi"/>
          <w:sz w:val="21"/>
          <w:szCs w:val="21"/>
        </w:rPr>
        <w:t>ë</w:t>
      </w:r>
      <w:r>
        <w:rPr>
          <w:rFonts w:asciiTheme="majorHAnsi" w:hAnsiTheme="majorHAnsi"/>
          <w:sz w:val="21"/>
          <w:szCs w:val="21"/>
        </w:rPr>
        <w:t>tar</w:t>
      </w:r>
      <w:r w:rsidR="00DC0362">
        <w:rPr>
          <w:rFonts w:asciiTheme="majorHAnsi" w:hAnsiTheme="majorHAnsi"/>
          <w:sz w:val="21"/>
          <w:szCs w:val="21"/>
        </w:rPr>
        <w:t>ë</w:t>
      </w:r>
      <w:r>
        <w:rPr>
          <w:rFonts w:asciiTheme="majorHAnsi" w:hAnsiTheme="majorHAnsi"/>
          <w:sz w:val="21"/>
          <w:szCs w:val="21"/>
        </w:rPr>
        <w:t xml:space="preserve"> t</w:t>
      </w:r>
      <w:r w:rsidR="00DC0362">
        <w:rPr>
          <w:rFonts w:asciiTheme="majorHAnsi" w:hAnsiTheme="majorHAnsi"/>
          <w:sz w:val="21"/>
          <w:szCs w:val="21"/>
        </w:rPr>
        <w:t>ë</w:t>
      </w:r>
      <w:r>
        <w:rPr>
          <w:rFonts w:asciiTheme="majorHAnsi" w:hAnsiTheme="majorHAnsi"/>
          <w:sz w:val="21"/>
          <w:szCs w:val="21"/>
        </w:rPr>
        <w:t xml:space="preserve"> komisionit t</w:t>
      </w:r>
      <w:r w:rsidR="00DC0362">
        <w:rPr>
          <w:rFonts w:asciiTheme="majorHAnsi" w:hAnsiTheme="majorHAnsi"/>
          <w:sz w:val="21"/>
          <w:szCs w:val="21"/>
        </w:rPr>
        <w:t>ë</w:t>
      </w:r>
      <w:r>
        <w:rPr>
          <w:rFonts w:asciiTheme="majorHAnsi" w:hAnsiTheme="majorHAnsi"/>
          <w:sz w:val="21"/>
          <w:szCs w:val="21"/>
        </w:rPr>
        <w:t xml:space="preserve"> ankesave.</w:t>
      </w:r>
    </w:p>
    <w:p w14:paraId="6305C6FD" w14:textId="77777777" w:rsidR="00215A4E" w:rsidRDefault="00215A4E" w:rsidP="00490A6C">
      <w:pPr>
        <w:rPr>
          <w:rFonts w:asciiTheme="majorHAnsi" w:hAnsiTheme="majorHAnsi"/>
          <w:sz w:val="21"/>
          <w:szCs w:val="21"/>
        </w:rPr>
      </w:pPr>
    </w:p>
    <w:p w14:paraId="6FAFD124" w14:textId="2C9743A4" w:rsidR="00D40460" w:rsidRPr="001D6FCA" w:rsidRDefault="00215A4E" w:rsidP="001D6FCA">
      <w:pPr>
        <w:pStyle w:val="Heading1"/>
        <w:tabs>
          <w:tab w:val="left" w:pos="540"/>
        </w:tabs>
        <w:rPr>
          <w:rFonts w:asciiTheme="majorHAnsi" w:hAnsiTheme="majorHAnsi" w:cstheme="majorHAnsi"/>
          <w:sz w:val="24"/>
          <w:szCs w:val="21"/>
          <w:lang w:val="sq-AL"/>
        </w:rPr>
      </w:pPr>
      <w:bookmarkStart w:id="52" w:name="_Toc61062532"/>
      <w:r w:rsidRPr="001D6FCA">
        <w:rPr>
          <w:rFonts w:asciiTheme="majorHAnsi" w:hAnsiTheme="majorHAnsi" w:cstheme="majorHAnsi"/>
          <w:sz w:val="24"/>
          <w:szCs w:val="21"/>
          <w:lang w:val="sq-AL"/>
        </w:rPr>
        <w:t xml:space="preserve">3.1.4. Grupi </w:t>
      </w:r>
      <w:r w:rsidR="00EE017C">
        <w:rPr>
          <w:rFonts w:asciiTheme="majorHAnsi" w:hAnsiTheme="majorHAnsi" w:cstheme="majorHAnsi"/>
          <w:sz w:val="24"/>
          <w:szCs w:val="21"/>
          <w:lang w:val="sq-AL"/>
        </w:rPr>
        <w:t>Punues</w:t>
      </w:r>
      <w:r w:rsidR="00EE017C" w:rsidRPr="001D6FCA">
        <w:rPr>
          <w:rFonts w:asciiTheme="majorHAnsi" w:hAnsiTheme="majorHAnsi" w:cstheme="majorHAnsi"/>
          <w:sz w:val="24"/>
          <w:szCs w:val="21"/>
          <w:lang w:val="sq-AL"/>
        </w:rPr>
        <w:t xml:space="preserve"> </w:t>
      </w:r>
      <w:r w:rsidRPr="001D6FCA">
        <w:rPr>
          <w:rFonts w:asciiTheme="majorHAnsi" w:hAnsiTheme="majorHAnsi" w:cstheme="majorHAnsi"/>
          <w:sz w:val="24"/>
          <w:szCs w:val="21"/>
          <w:lang w:val="sq-AL"/>
        </w:rPr>
        <w:t>për hartimin e Rregullave të GPK-së</w:t>
      </w:r>
      <w:bookmarkEnd w:id="52"/>
    </w:p>
    <w:p w14:paraId="46F74E3C" w14:textId="5211DE71" w:rsidR="00D40460" w:rsidRPr="00A05BAE" w:rsidRDefault="00D40460" w:rsidP="07D96137">
      <w:pPr>
        <w:rPr>
          <w:b/>
          <w:bCs/>
        </w:rPr>
      </w:pPr>
      <w:bookmarkStart w:id="53" w:name="_Toc61062360"/>
      <w:bookmarkStart w:id="54" w:name="_Toc61062533"/>
      <w:r w:rsidRPr="07D96137">
        <w:rPr>
          <w:rStyle w:val="Heading1Char"/>
          <w:rFonts w:asciiTheme="majorHAnsi" w:hAnsiTheme="majorHAnsi" w:cstheme="majorBidi"/>
          <w:b w:val="0"/>
          <w:sz w:val="21"/>
          <w:szCs w:val="21"/>
          <w:lang w:val="sq-AL"/>
        </w:rPr>
        <w:t xml:space="preserve">Ky grup punues </w:t>
      </w:r>
      <w:r w:rsidR="00EE017C">
        <w:rPr>
          <w:rStyle w:val="Heading1Char"/>
          <w:rFonts w:asciiTheme="majorHAnsi" w:hAnsiTheme="majorHAnsi" w:cstheme="majorBidi"/>
          <w:b w:val="0"/>
          <w:sz w:val="21"/>
          <w:szCs w:val="21"/>
          <w:lang w:val="sq-AL"/>
        </w:rPr>
        <w:t xml:space="preserve">përgjegjës për hartim të Rregullave të GPK </w:t>
      </w:r>
      <w:r w:rsidRPr="07D96137">
        <w:rPr>
          <w:rStyle w:val="Heading1Char"/>
          <w:rFonts w:asciiTheme="majorHAnsi" w:hAnsiTheme="majorHAnsi" w:cstheme="majorBidi"/>
          <w:b w:val="0"/>
          <w:sz w:val="21"/>
          <w:szCs w:val="21"/>
          <w:lang w:val="sq-AL"/>
        </w:rPr>
        <w:t xml:space="preserve">themelohet me vendim të Sekretarit të Përgjithshëm të </w:t>
      </w:r>
      <w:r w:rsidR="7BBBE6FD" w:rsidRPr="07D96137">
        <w:rPr>
          <w:rStyle w:val="Heading1Char"/>
          <w:rFonts w:asciiTheme="majorHAnsi" w:hAnsiTheme="majorHAnsi" w:cstheme="majorBidi"/>
          <w:b w:val="0"/>
          <w:sz w:val="21"/>
          <w:szCs w:val="21"/>
          <w:lang w:val="sq-AL"/>
        </w:rPr>
        <w:t>MAPL</w:t>
      </w:r>
      <w:r w:rsidRPr="07D96137">
        <w:rPr>
          <w:rStyle w:val="Heading1Char"/>
          <w:rFonts w:asciiTheme="majorHAnsi" w:hAnsiTheme="majorHAnsi" w:cstheme="majorBidi"/>
          <w:b w:val="0"/>
          <w:sz w:val="21"/>
          <w:szCs w:val="21"/>
          <w:lang w:val="sq-AL"/>
        </w:rPr>
        <w:t>-së në bashkëpunim me kontributdhënësit</w:t>
      </w:r>
      <w:r w:rsidRPr="07D96137">
        <w:rPr>
          <w:b/>
          <w:bCs/>
        </w:rPr>
        <w:t>.</w:t>
      </w:r>
      <w:bookmarkEnd w:id="53"/>
      <w:bookmarkEnd w:id="54"/>
    </w:p>
    <w:p w14:paraId="18812CE4" w14:textId="77777777" w:rsidR="00D40460" w:rsidRPr="000A47C9" w:rsidRDefault="00D40460" w:rsidP="00D40460">
      <w:pPr>
        <w:spacing w:line="264" w:lineRule="auto"/>
        <w:jc w:val="both"/>
        <w:rPr>
          <w:rFonts w:asciiTheme="majorHAnsi" w:hAnsiTheme="majorHAnsi" w:cstheme="majorHAnsi"/>
          <w:sz w:val="21"/>
          <w:szCs w:val="21"/>
        </w:rPr>
      </w:pPr>
    </w:p>
    <w:p w14:paraId="2EA3D92E" w14:textId="77777777" w:rsidR="00215A4E" w:rsidRPr="000A47C9" w:rsidRDefault="00D40460" w:rsidP="00D40460">
      <w:pPr>
        <w:spacing w:line="264" w:lineRule="auto"/>
        <w:jc w:val="both"/>
        <w:rPr>
          <w:rFonts w:asciiTheme="majorHAnsi" w:hAnsiTheme="majorHAnsi" w:cstheme="majorHAnsi"/>
          <w:sz w:val="21"/>
          <w:szCs w:val="21"/>
        </w:rPr>
      </w:pPr>
      <w:r w:rsidRPr="000A47C9">
        <w:rPr>
          <w:rFonts w:asciiTheme="majorHAnsi" w:hAnsiTheme="majorHAnsi" w:cstheme="majorHAnsi"/>
          <w:sz w:val="21"/>
          <w:szCs w:val="21"/>
        </w:rPr>
        <w:t>G</w:t>
      </w:r>
      <w:r w:rsidR="00CA1C47" w:rsidRPr="000A47C9">
        <w:rPr>
          <w:rFonts w:asciiTheme="majorHAnsi" w:hAnsiTheme="majorHAnsi" w:cstheme="majorHAnsi"/>
          <w:sz w:val="21"/>
          <w:szCs w:val="21"/>
        </w:rPr>
        <w:t>rup</w:t>
      </w:r>
      <w:r w:rsidR="00EC73DD">
        <w:rPr>
          <w:rFonts w:asciiTheme="majorHAnsi" w:hAnsiTheme="majorHAnsi" w:cstheme="majorHAnsi"/>
          <w:sz w:val="21"/>
          <w:szCs w:val="21"/>
        </w:rPr>
        <w:t>i</w:t>
      </w:r>
      <w:r w:rsidR="00CA1C47" w:rsidRPr="000A47C9">
        <w:rPr>
          <w:rFonts w:asciiTheme="majorHAnsi" w:hAnsiTheme="majorHAnsi" w:cstheme="majorHAnsi"/>
          <w:sz w:val="21"/>
          <w:szCs w:val="21"/>
        </w:rPr>
        <w:t xml:space="preserve"> punues </w:t>
      </w:r>
      <w:r w:rsidR="00215A4E" w:rsidRPr="000A47C9">
        <w:rPr>
          <w:rFonts w:asciiTheme="majorHAnsi" w:hAnsiTheme="majorHAnsi" w:cstheme="majorHAnsi"/>
          <w:sz w:val="21"/>
          <w:szCs w:val="21"/>
        </w:rPr>
        <w:t>është përgjegjës për:</w:t>
      </w:r>
    </w:p>
    <w:p w14:paraId="5ECF95F2" w14:textId="77777777" w:rsidR="00215A4E" w:rsidRPr="000A47C9" w:rsidRDefault="00215A4E" w:rsidP="009A3BEC">
      <w:pPr>
        <w:pStyle w:val="ListParagraph"/>
        <w:numPr>
          <w:ilvl w:val="0"/>
          <w:numId w:val="37"/>
        </w:numPr>
        <w:spacing w:after="0" w:line="264" w:lineRule="auto"/>
        <w:jc w:val="both"/>
        <w:rPr>
          <w:rFonts w:asciiTheme="majorHAnsi" w:hAnsiTheme="majorHAnsi" w:cstheme="majorHAnsi"/>
          <w:sz w:val="21"/>
          <w:szCs w:val="21"/>
        </w:rPr>
      </w:pPr>
      <w:r w:rsidRPr="000A47C9">
        <w:rPr>
          <w:rFonts w:asciiTheme="majorHAnsi" w:hAnsiTheme="majorHAnsi" w:cstheme="majorHAnsi"/>
          <w:sz w:val="21"/>
          <w:szCs w:val="21"/>
        </w:rPr>
        <w:t>Përgatitjen e rregullave të GPK-së para çdo cikli të vlerësimit;</w:t>
      </w:r>
    </w:p>
    <w:p w14:paraId="5CB855C1" w14:textId="4CA45BE6" w:rsidR="00215A4E" w:rsidRPr="000A47C9" w:rsidRDefault="00215A4E" w:rsidP="07D96137">
      <w:pPr>
        <w:pStyle w:val="ListParagraph"/>
        <w:numPr>
          <w:ilvl w:val="0"/>
          <w:numId w:val="37"/>
        </w:numPr>
        <w:spacing w:after="0" w:line="264" w:lineRule="auto"/>
        <w:jc w:val="both"/>
        <w:rPr>
          <w:rFonts w:asciiTheme="majorHAnsi" w:hAnsiTheme="majorHAnsi" w:cstheme="majorBidi"/>
          <w:sz w:val="21"/>
          <w:szCs w:val="21"/>
        </w:rPr>
      </w:pPr>
      <w:r w:rsidRPr="07D96137">
        <w:rPr>
          <w:rFonts w:asciiTheme="majorHAnsi" w:hAnsiTheme="majorHAnsi" w:cstheme="majorBidi"/>
          <w:sz w:val="21"/>
          <w:szCs w:val="21"/>
        </w:rPr>
        <w:t>Dërgimin e rregullave</w:t>
      </w:r>
      <w:r w:rsidR="0011631B">
        <w:rPr>
          <w:rFonts w:asciiTheme="majorHAnsi" w:hAnsiTheme="majorHAnsi" w:cstheme="majorBidi"/>
          <w:sz w:val="21"/>
          <w:szCs w:val="21"/>
        </w:rPr>
        <w:t xml:space="preserve"> tek</w:t>
      </w:r>
      <w:r w:rsidRPr="07D96137">
        <w:rPr>
          <w:rFonts w:asciiTheme="majorHAnsi" w:hAnsiTheme="majorHAnsi" w:cstheme="majorBidi"/>
          <w:sz w:val="21"/>
          <w:szCs w:val="21"/>
        </w:rPr>
        <w:t xml:space="preserve"> Sekretari </w:t>
      </w:r>
      <w:r w:rsidR="0011631B">
        <w:rPr>
          <w:rFonts w:asciiTheme="majorHAnsi" w:hAnsiTheme="majorHAnsi" w:cstheme="majorBidi"/>
          <w:sz w:val="21"/>
          <w:szCs w:val="21"/>
        </w:rPr>
        <w:t>i</w:t>
      </w:r>
      <w:r w:rsidRPr="07D96137">
        <w:rPr>
          <w:rFonts w:asciiTheme="majorHAnsi" w:hAnsiTheme="majorHAnsi" w:cstheme="majorBidi"/>
          <w:sz w:val="21"/>
          <w:szCs w:val="21"/>
        </w:rPr>
        <w:t xml:space="preserve"> përgjithshëm </w:t>
      </w:r>
      <w:r w:rsidR="0011631B">
        <w:rPr>
          <w:rFonts w:asciiTheme="majorHAnsi" w:hAnsiTheme="majorHAnsi" w:cstheme="majorBidi"/>
          <w:sz w:val="21"/>
          <w:szCs w:val="21"/>
        </w:rPr>
        <w:t>i</w:t>
      </w:r>
      <w:r w:rsidRPr="07D96137">
        <w:rPr>
          <w:rFonts w:asciiTheme="majorHAnsi" w:hAnsiTheme="majorHAnsi" w:cstheme="majorBidi"/>
          <w:sz w:val="21"/>
          <w:szCs w:val="21"/>
        </w:rPr>
        <w:t xml:space="preserve"> </w:t>
      </w:r>
      <w:r w:rsidR="1538F57E" w:rsidRPr="07D96137">
        <w:rPr>
          <w:rFonts w:asciiTheme="majorHAnsi" w:hAnsiTheme="majorHAnsi" w:cstheme="majorBidi"/>
          <w:sz w:val="21"/>
          <w:szCs w:val="21"/>
        </w:rPr>
        <w:t>MAPL</w:t>
      </w:r>
      <w:r w:rsidRPr="07D96137">
        <w:rPr>
          <w:rFonts w:asciiTheme="majorHAnsi" w:hAnsiTheme="majorHAnsi" w:cstheme="majorBidi"/>
          <w:sz w:val="21"/>
          <w:szCs w:val="21"/>
        </w:rPr>
        <w:t>-së dhe kontributdhënës</w:t>
      </w:r>
      <w:r w:rsidR="0011631B">
        <w:rPr>
          <w:rFonts w:asciiTheme="majorHAnsi" w:hAnsiTheme="majorHAnsi" w:cstheme="majorBidi"/>
          <w:sz w:val="21"/>
          <w:szCs w:val="21"/>
        </w:rPr>
        <w:t>it</w:t>
      </w:r>
      <w:r w:rsidRPr="07D96137">
        <w:rPr>
          <w:rFonts w:asciiTheme="majorHAnsi" w:hAnsiTheme="majorHAnsi" w:cstheme="majorBidi"/>
          <w:sz w:val="21"/>
          <w:szCs w:val="21"/>
        </w:rPr>
        <w:t xml:space="preserve"> për aprovim;</w:t>
      </w:r>
    </w:p>
    <w:p w14:paraId="26BEBC15" w14:textId="77777777" w:rsidR="00215A4E" w:rsidRPr="000A47C9" w:rsidRDefault="00215A4E" w:rsidP="00D40460">
      <w:pPr>
        <w:tabs>
          <w:tab w:val="left" w:pos="1710"/>
        </w:tabs>
        <w:spacing w:line="264" w:lineRule="auto"/>
        <w:ind w:left="540"/>
        <w:jc w:val="both"/>
        <w:rPr>
          <w:rFonts w:asciiTheme="majorHAnsi" w:hAnsiTheme="majorHAnsi" w:cstheme="majorHAnsi"/>
          <w:b/>
          <w:sz w:val="21"/>
          <w:szCs w:val="21"/>
        </w:rPr>
      </w:pPr>
    </w:p>
    <w:p w14:paraId="7E424BD7" w14:textId="77777777" w:rsidR="00215A4E" w:rsidRPr="000A47C9" w:rsidRDefault="00215A4E" w:rsidP="00D40460">
      <w:pPr>
        <w:tabs>
          <w:tab w:val="left" w:pos="1710"/>
        </w:tabs>
        <w:spacing w:line="264" w:lineRule="auto"/>
        <w:jc w:val="both"/>
        <w:rPr>
          <w:rFonts w:asciiTheme="majorHAnsi" w:hAnsiTheme="majorHAnsi" w:cstheme="majorHAnsi"/>
          <w:color w:val="000000" w:themeColor="text1"/>
          <w:sz w:val="21"/>
          <w:szCs w:val="21"/>
        </w:rPr>
      </w:pPr>
      <w:r w:rsidRPr="000A47C9">
        <w:rPr>
          <w:rFonts w:asciiTheme="majorHAnsi" w:hAnsiTheme="majorHAnsi" w:cstheme="majorHAnsi"/>
          <w:color w:val="000000" w:themeColor="text1"/>
          <w:sz w:val="21"/>
          <w:szCs w:val="21"/>
        </w:rPr>
        <w:t>Përbërja e grupit punues themelohet sipas nenit 32.2 të Rregullores 01/2020 për SMPK dhe Skemën e Grantit të bazuar në performancë</w:t>
      </w:r>
      <w:r w:rsidR="00BF3E0F" w:rsidRPr="000A47C9">
        <w:rPr>
          <w:rFonts w:asciiTheme="majorHAnsi" w:hAnsiTheme="majorHAnsi" w:cstheme="majorHAnsi"/>
          <w:color w:val="000000" w:themeColor="text1"/>
          <w:sz w:val="21"/>
          <w:szCs w:val="21"/>
        </w:rPr>
        <w:t>.</w:t>
      </w:r>
    </w:p>
    <w:p w14:paraId="50646B9E" w14:textId="77777777" w:rsidR="00BF3E0F" w:rsidRPr="000A47C9" w:rsidRDefault="00BF3E0F" w:rsidP="00D40460">
      <w:pPr>
        <w:tabs>
          <w:tab w:val="left" w:pos="1710"/>
        </w:tabs>
        <w:spacing w:line="264" w:lineRule="auto"/>
        <w:jc w:val="both"/>
        <w:rPr>
          <w:rFonts w:asciiTheme="majorHAnsi" w:hAnsiTheme="majorHAnsi" w:cstheme="majorHAnsi"/>
          <w:color w:val="000000" w:themeColor="text1"/>
          <w:sz w:val="21"/>
          <w:szCs w:val="21"/>
        </w:rPr>
      </w:pPr>
    </w:p>
    <w:p w14:paraId="3781779F" w14:textId="4CD648AC" w:rsidR="00BF3E0F" w:rsidRPr="000A47C9" w:rsidRDefault="00BF3E0F" w:rsidP="07D96137">
      <w:pPr>
        <w:tabs>
          <w:tab w:val="left" w:pos="1710"/>
        </w:tabs>
        <w:spacing w:line="264" w:lineRule="auto"/>
        <w:jc w:val="both"/>
        <w:rPr>
          <w:rFonts w:asciiTheme="majorHAnsi" w:hAnsiTheme="majorHAnsi" w:cstheme="majorBidi"/>
          <w:color w:val="000000" w:themeColor="text1"/>
          <w:sz w:val="21"/>
          <w:szCs w:val="21"/>
        </w:rPr>
      </w:pPr>
      <w:r w:rsidRPr="07D96137">
        <w:rPr>
          <w:rFonts w:asciiTheme="majorHAnsi" w:hAnsiTheme="majorHAnsi" w:cstheme="majorBidi"/>
          <w:color w:val="000000" w:themeColor="text1"/>
          <w:sz w:val="21"/>
          <w:szCs w:val="21"/>
        </w:rPr>
        <w:t>Grupi punues p</w:t>
      </w:r>
      <w:r w:rsidRPr="07D96137">
        <w:rPr>
          <w:rFonts w:asciiTheme="majorHAnsi" w:hAnsiTheme="majorHAnsi"/>
          <w:sz w:val="21"/>
          <w:szCs w:val="21"/>
        </w:rPr>
        <w:t xml:space="preserve">ërbëhet nga </w:t>
      </w:r>
      <w:r w:rsidR="004E26AC" w:rsidRPr="07D96137">
        <w:rPr>
          <w:rFonts w:asciiTheme="majorHAnsi" w:hAnsiTheme="majorHAnsi"/>
          <w:sz w:val="21"/>
          <w:szCs w:val="21"/>
        </w:rPr>
        <w:t xml:space="preserve">2 </w:t>
      </w:r>
      <w:r w:rsidRPr="07D96137">
        <w:rPr>
          <w:rFonts w:asciiTheme="majorHAnsi" w:hAnsiTheme="majorHAnsi"/>
          <w:sz w:val="21"/>
          <w:szCs w:val="21"/>
        </w:rPr>
        <w:t xml:space="preserve">zyrtarë të </w:t>
      </w:r>
      <w:r w:rsidR="1538F57E" w:rsidRPr="07D96137">
        <w:rPr>
          <w:rFonts w:asciiTheme="majorHAnsi" w:hAnsiTheme="majorHAnsi"/>
          <w:sz w:val="21"/>
          <w:szCs w:val="21"/>
        </w:rPr>
        <w:t>MAPL</w:t>
      </w:r>
      <w:r w:rsidRPr="07D96137">
        <w:rPr>
          <w:rFonts w:asciiTheme="majorHAnsi" w:hAnsiTheme="majorHAnsi"/>
          <w:sz w:val="21"/>
          <w:szCs w:val="21"/>
        </w:rPr>
        <w:t xml:space="preserve">-së </w:t>
      </w:r>
      <w:r w:rsidR="004E26AC" w:rsidRPr="07D96137">
        <w:rPr>
          <w:rFonts w:asciiTheme="majorHAnsi" w:hAnsiTheme="majorHAnsi"/>
          <w:sz w:val="21"/>
          <w:szCs w:val="21"/>
        </w:rPr>
        <w:t xml:space="preserve">(njëri kryesues) </w:t>
      </w:r>
      <w:r w:rsidRPr="07D96137">
        <w:rPr>
          <w:rFonts w:asciiTheme="majorHAnsi" w:hAnsiTheme="majorHAnsi"/>
          <w:sz w:val="21"/>
          <w:szCs w:val="21"/>
        </w:rPr>
        <w:t xml:space="preserve">dhe </w:t>
      </w:r>
      <w:r w:rsidR="004E26AC" w:rsidRPr="07D96137">
        <w:rPr>
          <w:rFonts w:asciiTheme="majorHAnsi" w:hAnsiTheme="majorHAnsi"/>
          <w:sz w:val="21"/>
          <w:szCs w:val="21"/>
        </w:rPr>
        <w:t xml:space="preserve">2 </w:t>
      </w:r>
      <w:r w:rsidR="00EE017C">
        <w:rPr>
          <w:rFonts w:asciiTheme="majorHAnsi" w:hAnsiTheme="majorHAnsi"/>
          <w:sz w:val="21"/>
          <w:szCs w:val="21"/>
        </w:rPr>
        <w:t xml:space="preserve">përfaqësues </w:t>
      </w:r>
      <w:r w:rsidR="004E26AC" w:rsidRPr="07D96137">
        <w:rPr>
          <w:rFonts w:asciiTheme="majorHAnsi" w:hAnsiTheme="majorHAnsi"/>
          <w:sz w:val="21"/>
          <w:szCs w:val="21"/>
        </w:rPr>
        <w:t xml:space="preserve">nga projekti DEMOS (si </w:t>
      </w:r>
      <w:r w:rsidRPr="07D96137">
        <w:rPr>
          <w:rFonts w:asciiTheme="majorHAnsi" w:hAnsiTheme="majorHAnsi"/>
          <w:sz w:val="21"/>
          <w:szCs w:val="21"/>
        </w:rPr>
        <w:t>përfaqësues të kontributdhënësve</w:t>
      </w:r>
      <w:r w:rsidR="004E26AC" w:rsidRPr="07D96137">
        <w:rPr>
          <w:rFonts w:asciiTheme="majorHAnsi" w:hAnsiTheme="majorHAnsi"/>
          <w:sz w:val="21"/>
          <w:szCs w:val="21"/>
        </w:rPr>
        <w:t>).</w:t>
      </w:r>
    </w:p>
    <w:p w14:paraId="7CD6E5D3" w14:textId="77777777" w:rsidR="00EC39F0" w:rsidRPr="00311411" w:rsidRDefault="00EC39F0" w:rsidP="00311411">
      <w:pPr>
        <w:tabs>
          <w:tab w:val="left" w:pos="1710"/>
        </w:tabs>
        <w:spacing w:before="20" w:line="264" w:lineRule="auto"/>
        <w:jc w:val="both"/>
        <w:rPr>
          <w:rFonts w:asciiTheme="majorHAnsi" w:hAnsiTheme="majorHAnsi"/>
          <w:sz w:val="21"/>
          <w:szCs w:val="21"/>
        </w:rPr>
      </w:pPr>
    </w:p>
    <w:p w14:paraId="5B3BD267" w14:textId="534B88AA" w:rsidR="00CD79F5" w:rsidRPr="004D2E1C" w:rsidRDefault="00CD79F5" w:rsidP="00CD79F5">
      <w:pPr>
        <w:pStyle w:val="Heading1"/>
        <w:numPr>
          <w:ilvl w:val="1"/>
          <w:numId w:val="7"/>
        </w:numPr>
        <w:tabs>
          <w:tab w:val="left" w:pos="540"/>
        </w:tabs>
        <w:ind w:hanging="1800"/>
        <w:rPr>
          <w:rFonts w:asciiTheme="majorHAnsi" w:hAnsiTheme="majorHAnsi"/>
          <w:color w:val="C0504D"/>
          <w:lang w:val="sq-AL"/>
        </w:rPr>
      </w:pPr>
      <w:bookmarkStart w:id="55" w:name="_Toc61062534"/>
      <w:r w:rsidRPr="7D684930">
        <w:rPr>
          <w:rFonts w:asciiTheme="majorHAnsi" w:hAnsiTheme="majorHAnsi"/>
          <w:color w:val="C0504D" w:themeColor="accent2"/>
          <w:lang w:val="sq-AL"/>
        </w:rPr>
        <w:t>Afati kohor</w:t>
      </w:r>
      <w:bookmarkEnd w:id="55"/>
    </w:p>
    <w:p w14:paraId="210391E9" w14:textId="51AD38E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Procesi i vlerësimit të </w:t>
      </w:r>
      <w:r w:rsidR="00D105C7">
        <w:rPr>
          <w:rFonts w:asciiTheme="majorHAnsi" w:hAnsiTheme="majorHAnsi"/>
          <w:sz w:val="21"/>
          <w:szCs w:val="21"/>
        </w:rPr>
        <w:t>GPK-s</w:t>
      </w:r>
      <w:r w:rsidR="00BB1193">
        <w:rPr>
          <w:rFonts w:asciiTheme="majorHAnsi" w:hAnsiTheme="majorHAnsi"/>
          <w:sz w:val="21"/>
          <w:szCs w:val="21"/>
        </w:rPr>
        <w:t>ë</w:t>
      </w:r>
      <w:r w:rsidR="00D105C7" w:rsidRPr="004D2E1C">
        <w:rPr>
          <w:rFonts w:asciiTheme="majorHAnsi" w:hAnsiTheme="majorHAnsi"/>
          <w:sz w:val="21"/>
          <w:szCs w:val="21"/>
        </w:rPr>
        <w:t xml:space="preserve"> </w:t>
      </w:r>
      <w:r w:rsidRPr="004D2E1C">
        <w:rPr>
          <w:rFonts w:asciiTheme="majorHAnsi" w:hAnsiTheme="majorHAnsi"/>
          <w:sz w:val="21"/>
          <w:szCs w:val="21"/>
        </w:rPr>
        <w:t xml:space="preserve">fillon çdo vit kur të dhënat në lidhje me performancën komunale bëhen të disponueshme. Tabela më poshtë tregon afatin kohor </w:t>
      </w:r>
      <w:r w:rsidR="00665282">
        <w:rPr>
          <w:rFonts w:asciiTheme="majorHAnsi" w:hAnsiTheme="majorHAnsi"/>
          <w:sz w:val="21"/>
          <w:szCs w:val="21"/>
        </w:rPr>
        <w:t xml:space="preserve">tentativ </w:t>
      </w:r>
      <w:r w:rsidRPr="004D2E1C">
        <w:rPr>
          <w:rFonts w:asciiTheme="majorHAnsi" w:hAnsiTheme="majorHAnsi"/>
          <w:sz w:val="21"/>
          <w:szCs w:val="21"/>
        </w:rPr>
        <w:t xml:space="preserve">të </w:t>
      </w:r>
      <w:r w:rsidR="0015790F" w:rsidRPr="004D2E1C">
        <w:rPr>
          <w:rFonts w:asciiTheme="majorHAnsi" w:hAnsiTheme="majorHAnsi"/>
          <w:sz w:val="21"/>
          <w:szCs w:val="21"/>
        </w:rPr>
        <w:t>ndarjes</w:t>
      </w:r>
      <w:r w:rsidRPr="004D2E1C">
        <w:rPr>
          <w:rFonts w:asciiTheme="majorHAnsi" w:hAnsiTheme="majorHAnsi"/>
          <w:sz w:val="21"/>
          <w:szCs w:val="21"/>
        </w:rPr>
        <w:t xml:space="preserve"> </w:t>
      </w:r>
      <w:r w:rsidR="00F0607D">
        <w:rPr>
          <w:rFonts w:asciiTheme="majorHAnsi" w:hAnsiTheme="majorHAnsi"/>
          <w:sz w:val="21"/>
          <w:szCs w:val="21"/>
        </w:rPr>
        <w:t xml:space="preserve">së </w:t>
      </w:r>
      <w:r w:rsidRPr="004D2E1C">
        <w:rPr>
          <w:rFonts w:asciiTheme="majorHAnsi" w:hAnsiTheme="majorHAnsi"/>
          <w:sz w:val="21"/>
          <w:szCs w:val="21"/>
        </w:rPr>
        <w:t>grant</w:t>
      </w:r>
      <w:r w:rsidR="0015790F" w:rsidRPr="004D2E1C">
        <w:rPr>
          <w:rFonts w:asciiTheme="majorHAnsi" w:hAnsiTheme="majorHAnsi"/>
          <w:sz w:val="21"/>
          <w:szCs w:val="21"/>
        </w:rPr>
        <w:t>it</w:t>
      </w:r>
      <w:r w:rsidRPr="004D2E1C">
        <w:rPr>
          <w:rFonts w:asciiTheme="majorHAnsi" w:hAnsiTheme="majorHAnsi"/>
          <w:sz w:val="21"/>
          <w:szCs w:val="21"/>
        </w:rPr>
        <w:t xml:space="preserve"> </w:t>
      </w:r>
      <w:r w:rsidR="00784424">
        <w:rPr>
          <w:rFonts w:asciiTheme="majorHAnsi" w:hAnsiTheme="majorHAnsi"/>
          <w:sz w:val="21"/>
          <w:szCs w:val="21"/>
        </w:rPr>
        <w:t>për vitin</w:t>
      </w:r>
      <w:r w:rsidRPr="004D2E1C">
        <w:rPr>
          <w:rFonts w:asciiTheme="majorHAnsi" w:hAnsiTheme="majorHAnsi"/>
          <w:sz w:val="21"/>
          <w:szCs w:val="21"/>
        </w:rPr>
        <w:t xml:space="preserve"> </w:t>
      </w:r>
      <w:r w:rsidRPr="719F2906">
        <w:rPr>
          <w:rFonts w:asciiTheme="majorHAnsi" w:hAnsiTheme="majorHAnsi"/>
          <w:sz w:val="21"/>
          <w:szCs w:val="21"/>
        </w:rPr>
        <w:t>202</w:t>
      </w:r>
      <w:r w:rsidR="009B044C">
        <w:rPr>
          <w:rFonts w:asciiTheme="majorHAnsi" w:hAnsiTheme="majorHAnsi"/>
          <w:sz w:val="21"/>
          <w:szCs w:val="21"/>
        </w:rPr>
        <w:t>1</w:t>
      </w:r>
      <w:r w:rsidR="00F0607D">
        <w:rPr>
          <w:rFonts w:asciiTheme="majorHAnsi" w:hAnsiTheme="majorHAnsi"/>
          <w:sz w:val="21"/>
          <w:szCs w:val="21"/>
        </w:rPr>
        <w:t xml:space="preserve"> sipas </w:t>
      </w:r>
      <w:r w:rsidR="003754A5">
        <w:rPr>
          <w:rFonts w:asciiTheme="majorHAnsi" w:hAnsiTheme="majorHAnsi"/>
          <w:sz w:val="21"/>
          <w:szCs w:val="21"/>
        </w:rPr>
        <w:t>vler</w:t>
      </w:r>
      <w:r w:rsidR="006518E3">
        <w:rPr>
          <w:rFonts w:asciiTheme="majorHAnsi" w:hAnsiTheme="majorHAnsi"/>
          <w:sz w:val="21"/>
          <w:szCs w:val="21"/>
        </w:rPr>
        <w:t>ë</w:t>
      </w:r>
      <w:r w:rsidR="003754A5">
        <w:rPr>
          <w:rFonts w:asciiTheme="majorHAnsi" w:hAnsiTheme="majorHAnsi"/>
          <w:sz w:val="21"/>
          <w:szCs w:val="21"/>
        </w:rPr>
        <w:t>simit t</w:t>
      </w:r>
      <w:r w:rsidR="006518E3">
        <w:rPr>
          <w:rFonts w:asciiTheme="majorHAnsi" w:hAnsiTheme="majorHAnsi"/>
          <w:sz w:val="21"/>
          <w:szCs w:val="21"/>
        </w:rPr>
        <w:t>ë</w:t>
      </w:r>
      <w:r w:rsidR="003754A5">
        <w:rPr>
          <w:rFonts w:asciiTheme="majorHAnsi" w:hAnsiTheme="majorHAnsi"/>
          <w:sz w:val="21"/>
          <w:szCs w:val="21"/>
        </w:rPr>
        <w:t xml:space="preserve"> </w:t>
      </w:r>
      <w:r w:rsidR="00F0607D">
        <w:rPr>
          <w:rFonts w:asciiTheme="majorHAnsi" w:hAnsiTheme="majorHAnsi"/>
          <w:sz w:val="21"/>
          <w:szCs w:val="21"/>
        </w:rPr>
        <w:t xml:space="preserve">performancës së vitit </w:t>
      </w:r>
      <w:r w:rsidR="00F0607D" w:rsidRPr="719F2906">
        <w:rPr>
          <w:rFonts w:asciiTheme="majorHAnsi" w:hAnsiTheme="majorHAnsi"/>
          <w:sz w:val="21"/>
          <w:szCs w:val="21"/>
        </w:rPr>
        <w:t>20</w:t>
      </w:r>
      <w:r w:rsidR="3D2FBF50" w:rsidRPr="719F2906">
        <w:rPr>
          <w:rFonts w:asciiTheme="majorHAnsi" w:hAnsiTheme="majorHAnsi"/>
          <w:sz w:val="21"/>
          <w:szCs w:val="21"/>
        </w:rPr>
        <w:t>2</w:t>
      </w:r>
      <w:r w:rsidR="009B044C">
        <w:rPr>
          <w:rFonts w:asciiTheme="majorHAnsi" w:hAnsiTheme="majorHAnsi"/>
          <w:sz w:val="21"/>
          <w:szCs w:val="21"/>
        </w:rPr>
        <w:t>3</w:t>
      </w:r>
      <w:r w:rsidRPr="004D2E1C">
        <w:rPr>
          <w:rFonts w:asciiTheme="majorHAnsi" w:hAnsiTheme="majorHAnsi"/>
          <w:sz w:val="21"/>
          <w:szCs w:val="21"/>
        </w:rPr>
        <w:t>.</w:t>
      </w:r>
    </w:p>
    <w:p w14:paraId="21015EFA" w14:textId="77777777" w:rsidR="00CD79F5" w:rsidRPr="004D2E1C" w:rsidRDefault="00CD79F5" w:rsidP="00363711">
      <w:pPr>
        <w:spacing w:before="120" w:line="264" w:lineRule="auto"/>
        <w:jc w:val="both"/>
        <w:rPr>
          <w:rFonts w:asciiTheme="majorHAnsi" w:hAnsiTheme="majorHAnsi"/>
          <w:b/>
          <w:sz w:val="21"/>
          <w:szCs w:val="21"/>
        </w:rPr>
      </w:pPr>
      <w:r w:rsidRPr="004D2E1C">
        <w:rPr>
          <w:rFonts w:asciiTheme="majorHAnsi" w:hAnsiTheme="majorHAnsi"/>
          <w:b/>
          <w:sz w:val="21"/>
          <w:szCs w:val="21"/>
        </w:rPr>
        <w:t xml:space="preserve">Tabela 4: Afati kohor </w:t>
      </w:r>
      <w:r w:rsidR="0015790F" w:rsidRPr="004D2E1C">
        <w:rPr>
          <w:rFonts w:asciiTheme="majorHAnsi" w:hAnsiTheme="majorHAnsi"/>
          <w:b/>
          <w:sz w:val="21"/>
          <w:szCs w:val="21"/>
        </w:rPr>
        <w:t>tentativ</w:t>
      </w:r>
      <w:r w:rsidRPr="004D2E1C">
        <w:rPr>
          <w:rFonts w:asciiTheme="majorHAnsi" w:hAnsiTheme="majorHAnsi"/>
          <w:b/>
          <w:sz w:val="21"/>
          <w:szCs w:val="21"/>
        </w:rPr>
        <w:t xml:space="preserve"> i procesit të vlerësimit </w:t>
      </w:r>
    </w:p>
    <w:tbl>
      <w:tblPr>
        <w:tblStyle w:val="TableGrid"/>
        <w:tblW w:w="7285" w:type="dxa"/>
        <w:jc w:val="center"/>
        <w:tblLayout w:type="fixed"/>
        <w:tblLook w:val="04A0" w:firstRow="1" w:lastRow="0" w:firstColumn="1" w:lastColumn="0" w:noHBand="0" w:noVBand="1"/>
      </w:tblPr>
      <w:tblGrid>
        <w:gridCol w:w="5500"/>
        <w:gridCol w:w="1785"/>
      </w:tblGrid>
      <w:tr w:rsidR="00784424" w:rsidRPr="004D2E1C" w14:paraId="466FF0F0" w14:textId="77777777" w:rsidTr="00164F19">
        <w:trPr>
          <w:jc w:val="center"/>
        </w:trPr>
        <w:tc>
          <w:tcPr>
            <w:tcW w:w="5500" w:type="dxa"/>
            <w:shd w:val="clear" w:color="auto" w:fill="365F91" w:themeFill="accent1" w:themeFillShade="BF"/>
          </w:tcPr>
          <w:p w14:paraId="4CA573A9" w14:textId="77777777" w:rsidR="00784424" w:rsidRPr="004D2E1C" w:rsidRDefault="00784424" w:rsidP="0008450B">
            <w:pPr>
              <w:spacing w:before="120" w:line="264" w:lineRule="auto"/>
              <w:jc w:val="both"/>
              <w:rPr>
                <w:rFonts w:asciiTheme="majorHAnsi" w:hAnsiTheme="majorHAnsi"/>
                <w:b/>
                <w:color w:val="FFFFFF" w:themeColor="background1"/>
                <w:sz w:val="21"/>
                <w:szCs w:val="21"/>
              </w:rPr>
            </w:pPr>
            <w:r w:rsidRPr="004D2E1C">
              <w:rPr>
                <w:rFonts w:asciiTheme="majorHAnsi" w:hAnsiTheme="majorHAnsi"/>
                <w:b/>
                <w:color w:val="FFFFFF" w:themeColor="background1"/>
                <w:sz w:val="21"/>
                <w:szCs w:val="21"/>
              </w:rPr>
              <w:t>Aktiviteti</w:t>
            </w:r>
          </w:p>
        </w:tc>
        <w:tc>
          <w:tcPr>
            <w:tcW w:w="1785" w:type="dxa"/>
            <w:shd w:val="clear" w:color="auto" w:fill="365F91" w:themeFill="accent1" w:themeFillShade="BF"/>
          </w:tcPr>
          <w:p w14:paraId="0253083E" w14:textId="7D6CDF6A" w:rsidR="00784424" w:rsidRPr="004D2E1C" w:rsidRDefault="00784424" w:rsidP="0008450B">
            <w:pPr>
              <w:spacing w:before="120" w:line="264" w:lineRule="auto"/>
              <w:jc w:val="center"/>
              <w:rPr>
                <w:rFonts w:asciiTheme="majorHAnsi" w:hAnsiTheme="majorHAnsi"/>
                <w:b/>
                <w:color w:val="FFFFFF" w:themeColor="background1"/>
                <w:sz w:val="21"/>
                <w:szCs w:val="21"/>
              </w:rPr>
            </w:pPr>
            <w:r>
              <w:rPr>
                <w:rFonts w:asciiTheme="majorHAnsi" w:hAnsiTheme="majorHAnsi"/>
                <w:b/>
                <w:color w:val="FFFFFF" w:themeColor="background1"/>
                <w:sz w:val="21"/>
                <w:szCs w:val="21"/>
              </w:rPr>
              <w:t xml:space="preserve">GPK </w:t>
            </w:r>
            <w:r w:rsidRPr="719F2906">
              <w:rPr>
                <w:rFonts w:asciiTheme="majorHAnsi" w:hAnsiTheme="majorHAnsi"/>
                <w:b/>
                <w:bCs/>
                <w:color w:val="FFFFFF" w:themeColor="background1"/>
                <w:sz w:val="21"/>
                <w:szCs w:val="21"/>
              </w:rPr>
              <w:t>202</w:t>
            </w:r>
            <w:r w:rsidR="009B044C">
              <w:rPr>
                <w:rFonts w:asciiTheme="majorHAnsi" w:hAnsiTheme="majorHAnsi"/>
                <w:b/>
                <w:bCs/>
                <w:color w:val="FFFFFF" w:themeColor="background1"/>
                <w:sz w:val="21"/>
                <w:szCs w:val="21"/>
              </w:rPr>
              <w:t>3</w:t>
            </w:r>
          </w:p>
        </w:tc>
      </w:tr>
      <w:tr w:rsidR="00784424" w:rsidRPr="004D2E1C" w14:paraId="1904EF81" w14:textId="77777777" w:rsidTr="00164F19">
        <w:trPr>
          <w:trHeight w:val="227"/>
          <w:jc w:val="center"/>
        </w:trPr>
        <w:tc>
          <w:tcPr>
            <w:tcW w:w="5500" w:type="dxa"/>
          </w:tcPr>
          <w:p w14:paraId="4F7B0CCB"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Miratim</w:t>
            </w:r>
            <w:r>
              <w:rPr>
                <w:rFonts w:asciiTheme="majorHAnsi" w:hAnsiTheme="majorHAnsi"/>
                <w:sz w:val="18"/>
                <w:szCs w:val="21"/>
              </w:rPr>
              <w:t>i</w:t>
            </w:r>
            <w:r w:rsidRPr="004D2E1C">
              <w:rPr>
                <w:rFonts w:asciiTheme="majorHAnsi" w:hAnsiTheme="majorHAnsi"/>
                <w:sz w:val="18"/>
                <w:szCs w:val="21"/>
              </w:rPr>
              <w:t xml:space="preserve"> i rregullave</w:t>
            </w:r>
          </w:p>
        </w:tc>
        <w:tc>
          <w:tcPr>
            <w:tcW w:w="1785" w:type="dxa"/>
            <w:vAlign w:val="center"/>
          </w:tcPr>
          <w:p w14:paraId="3EA69DEA" w14:textId="54C3DC1E" w:rsidR="00784424" w:rsidRPr="004D2E1C" w:rsidRDefault="009B044C" w:rsidP="00F0607D">
            <w:pPr>
              <w:spacing w:before="40" w:after="40"/>
              <w:ind w:right="-108" w:hanging="108"/>
              <w:jc w:val="center"/>
              <w:rPr>
                <w:rFonts w:asciiTheme="majorHAnsi" w:hAnsiTheme="majorHAnsi"/>
                <w:sz w:val="17"/>
                <w:szCs w:val="17"/>
              </w:rPr>
            </w:pPr>
            <w:r>
              <w:rPr>
                <w:rFonts w:asciiTheme="majorHAnsi" w:hAnsiTheme="majorHAnsi"/>
                <w:sz w:val="17"/>
                <w:szCs w:val="17"/>
              </w:rPr>
              <w:t>Gusht</w:t>
            </w:r>
            <w:r w:rsidR="007D0210">
              <w:rPr>
                <w:rFonts w:asciiTheme="majorHAnsi" w:hAnsiTheme="majorHAnsi"/>
                <w:sz w:val="17"/>
                <w:szCs w:val="17"/>
              </w:rPr>
              <w:t xml:space="preserve"> </w:t>
            </w:r>
            <w:r w:rsidR="00F0607D" w:rsidRPr="004D2E1C">
              <w:rPr>
                <w:rFonts w:asciiTheme="majorHAnsi" w:hAnsiTheme="majorHAnsi"/>
                <w:sz w:val="17"/>
                <w:szCs w:val="17"/>
              </w:rPr>
              <w:t>202</w:t>
            </w:r>
            <w:r w:rsidR="003754A5">
              <w:rPr>
                <w:rFonts w:asciiTheme="majorHAnsi" w:hAnsiTheme="majorHAnsi"/>
                <w:sz w:val="17"/>
                <w:szCs w:val="17"/>
              </w:rPr>
              <w:t>2</w:t>
            </w:r>
          </w:p>
        </w:tc>
      </w:tr>
      <w:tr w:rsidR="00784424" w:rsidRPr="004D2E1C" w14:paraId="5FC4EFAE" w14:textId="77777777" w:rsidTr="00164F19">
        <w:trPr>
          <w:trHeight w:val="227"/>
          <w:jc w:val="center"/>
        </w:trPr>
        <w:tc>
          <w:tcPr>
            <w:tcW w:w="5500" w:type="dxa"/>
          </w:tcPr>
          <w:p w14:paraId="4AADC654"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Mbledhja e të dhënave</w:t>
            </w:r>
          </w:p>
        </w:tc>
        <w:tc>
          <w:tcPr>
            <w:tcW w:w="1785" w:type="dxa"/>
            <w:vAlign w:val="center"/>
          </w:tcPr>
          <w:p w14:paraId="079E5238" w14:textId="51D334A3" w:rsidR="00784424" w:rsidRPr="004D2E1C" w:rsidRDefault="009B044C" w:rsidP="0008450B">
            <w:pPr>
              <w:spacing w:before="40" w:after="40"/>
              <w:ind w:right="-108" w:hanging="108"/>
              <w:jc w:val="center"/>
              <w:rPr>
                <w:rFonts w:asciiTheme="majorHAnsi" w:hAnsiTheme="majorHAnsi"/>
                <w:sz w:val="17"/>
                <w:szCs w:val="17"/>
              </w:rPr>
            </w:pPr>
            <w:r>
              <w:rPr>
                <w:rFonts w:asciiTheme="majorHAnsi" w:hAnsiTheme="majorHAnsi"/>
                <w:sz w:val="17"/>
                <w:szCs w:val="17"/>
              </w:rPr>
              <w:t xml:space="preserve">Gusht </w:t>
            </w:r>
            <w:r w:rsidR="007D0210">
              <w:rPr>
                <w:rFonts w:asciiTheme="majorHAnsi" w:hAnsiTheme="majorHAnsi"/>
                <w:sz w:val="17"/>
                <w:szCs w:val="17"/>
              </w:rPr>
              <w:t>202</w:t>
            </w:r>
            <w:r w:rsidR="006872D6">
              <w:rPr>
                <w:rFonts w:asciiTheme="majorHAnsi" w:hAnsiTheme="majorHAnsi"/>
                <w:sz w:val="17"/>
                <w:szCs w:val="17"/>
              </w:rPr>
              <w:t>2</w:t>
            </w:r>
          </w:p>
        </w:tc>
      </w:tr>
      <w:tr w:rsidR="00784424" w:rsidRPr="004D2E1C" w14:paraId="5FADAA36" w14:textId="77777777" w:rsidTr="00164F19">
        <w:trPr>
          <w:jc w:val="center"/>
        </w:trPr>
        <w:tc>
          <w:tcPr>
            <w:tcW w:w="5500" w:type="dxa"/>
          </w:tcPr>
          <w:p w14:paraId="212BCF0A" w14:textId="77777777" w:rsidR="00784424" w:rsidRPr="004D2E1C" w:rsidRDefault="00784424" w:rsidP="004267A3">
            <w:pPr>
              <w:spacing w:before="40" w:after="40"/>
              <w:rPr>
                <w:rFonts w:asciiTheme="majorHAnsi" w:hAnsiTheme="majorHAnsi"/>
                <w:sz w:val="21"/>
                <w:szCs w:val="21"/>
              </w:rPr>
            </w:pPr>
            <w:r w:rsidRPr="004D2E1C">
              <w:rPr>
                <w:rFonts w:asciiTheme="majorHAnsi" w:hAnsiTheme="majorHAnsi"/>
                <w:sz w:val="18"/>
                <w:szCs w:val="21"/>
              </w:rPr>
              <w:lastRenderedPageBreak/>
              <w:t>Procesi i vlerësimit</w:t>
            </w:r>
            <w:r>
              <w:rPr>
                <w:rFonts w:asciiTheme="majorHAnsi" w:hAnsiTheme="majorHAnsi"/>
                <w:sz w:val="18"/>
                <w:szCs w:val="21"/>
              </w:rPr>
              <w:t>/pikëve</w:t>
            </w:r>
            <w:r w:rsidRPr="004D2E1C">
              <w:rPr>
                <w:rFonts w:asciiTheme="majorHAnsi" w:hAnsiTheme="majorHAnsi"/>
                <w:sz w:val="18"/>
                <w:szCs w:val="21"/>
              </w:rPr>
              <w:t xml:space="preserve"> </w:t>
            </w:r>
          </w:p>
        </w:tc>
        <w:tc>
          <w:tcPr>
            <w:tcW w:w="1785" w:type="dxa"/>
            <w:vAlign w:val="center"/>
          </w:tcPr>
          <w:p w14:paraId="28B26A88" w14:textId="7A5572FE" w:rsidR="00784424" w:rsidRPr="004D2E1C" w:rsidRDefault="009B044C" w:rsidP="00FF7CC6">
            <w:pPr>
              <w:spacing w:before="40" w:after="40"/>
              <w:ind w:right="-108" w:hanging="108"/>
              <w:jc w:val="center"/>
              <w:rPr>
                <w:rFonts w:asciiTheme="majorHAnsi" w:hAnsiTheme="majorHAnsi"/>
                <w:sz w:val="17"/>
                <w:szCs w:val="17"/>
              </w:rPr>
            </w:pPr>
            <w:r>
              <w:rPr>
                <w:rFonts w:asciiTheme="majorHAnsi" w:hAnsiTheme="majorHAnsi"/>
                <w:sz w:val="17"/>
                <w:szCs w:val="17"/>
              </w:rPr>
              <w:t xml:space="preserve">Gusht </w:t>
            </w:r>
            <w:r w:rsidR="007D0210">
              <w:rPr>
                <w:rFonts w:asciiTheme="majorHAnsi" w:hAnsiTheme="majorHAnsi"/>
                <w:sz w:val="17"/>
                <w:szCs w:val="17"/>
              </w:rPr>
              <w:t>202</w:t>
            </w:r>
            <w:r w:rsidR="006872D6">
              <w:rPr>
                <w:rFonts w:asciiTheme="majorHAnsi" w:hAnsiTheme="majorHAnsi"/>
                <w:sz w:val="17"/>
                <w:szCs w:val="17"/>
              </w:rPr>
              <w:t>2</w:t>
            </w:r>
          </w:p>
        </w:tc>
      </w:tr>
      <w:tr w:rsidR="00784424" w:rsidRPr="004D2E1C" w14:paraId="19A09255" w14:textId="77777777" w:rsidTr="00164F19">
        <w:trPr>
          <w:jc w:val="center"/>
        </w:trPr>
        <w:tc>
          <w:tcPr>
            <w:tcW w:w="5500" w:type="dxa"/>
          </w:tcPr>
          <w:p w14:paraId="2467CC69"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Miratimi i rezultateve të vlerësimit</w:t>
            </w:r>
          </w:p>
        </w:tc>
        <w:tc>
          <w:tcPr>
            <w:tcW w:w="1785" w:type="dxa"/>
            <w:vAlign w:val="center"/>
          </w:tcPr>
          <w:p w14:paraId="3D19961C" w14:textId="41C526A3" w:rsidR="00784424" w:rsidRPr="004D2E1C" w:rsidRDefault="009B044C" w:rsidP="00784424">
            <w:pPr>
              <w:spacing w:before="40" w:after="40"/>
              <w:ind w:right="-108" w:hanging="108"/>
              <w:jc w:val="center"/>
              <w:rPr>
                <w:rFonts w:asciiTheme="majorHAnsi" w:hAnsiTheme="majorHAnsi"/>
                <w:sz w:val="17"/>
                <w:szCs w:val="17"/>
              </w:rPr>
            </w:pPr>
            <w:r>
              <w:rPr>
                <w:rFonts w:asciiTheme="majorHAnsi" w:hAnsiTheme="majorHAnsi"/>
                <w:sz w:val="17"/>
                <w:szCs w:val="17"/>
              </w:rPr>
              <w:t xml:space="preserve">Gusht </w:t>
            </w:r>
            <w:r w:rsidR="00EE017C">
              <w:rPr>
                <w:rFonts w:asciiTheme="majorHAnsi" w:hAnsiTheme="majorHAnsi"/>
                <w:sz w:val="17"/>
                <w:szCs w:val="17"/>
              </w:rPr>
              <w:t>2022</w:t>
            </w:r>
          </w:p>
        </w:tc>
      </w:tr>
      <w:tr w:rsidR="00784424" w:rsidRPr="004D2E1C" w14:paraId="14B20C2B" w14:textId="77777777" w:rsidTr="00164F19">
        <w:trPr>
          <w:jc w:val="center"/>
        </w:trPr>
        <w:tc>
          <w:tcPr>
            <w:tcW w:w="5500" w:type="dxa"/>
          </w:tcPr>
          <w:p w14:paraId="401A7868" w14:textId="77777777" w:rsidR="00784424" w:rsidRPr="004D2E1C" w:rsidRDefault="00784424" w:rsidP="0015790F">
            <w:pPr>
              <w:spacing w:before="40" w:after="40"/>
              <w:ind w:right="-108"/>
              <w:rPr>
                <w:rFonts w:asciiTheme="majorHAnsi" w:hAnsiTheme="majorHAnsi"/>
                <w:sz w:val="21"/>
                <w:szCs w:val="21"/>
              </w:rPr>
            </w:pPr>
            <w:r w:rsidRPr="004D2E1C">
              <w:rPr>
                <w:rFonts w:asciiTheme="majorHAnsi" w:hAnsiTheme="majorHAnsi"/>
                <w:sz w:val="18"/>
                <w:szCs w:val="21"/>
              </w:rPr>
              <w:t>Komunikimi i rezultateve tek komunat</w:t>
            </w:r>
          </w:p>
        </w:tc>
        <w:tc>
          <w:tcPr>
            <w:tcW w:w="1785" w:type="dxa"/>
            <w:vAlign w:val="center"/>
          </w:tcPr>
          <w:p w14:paraId="528A0A18" w14:textId="09058265" w:rsidR="00784424" w:rsidRPr="004D2E1C" w:rsidRDefault="009B044C" w:rsidP="0008450B">
            <w:pPr>
              <w:spacing w:before="40" w:after="40"/>
              <w:ind w:right="-108" w:hanging="108"/>
              <w:jc w:val="center"/>
              <w:rPr>
                <w:rFonts w:asciiTheme="majorHAnsi" w:hAnsiTheme="majorHAnsi"/>
                <w:sz w:val="17"/>
                <w:szCs w:val="17"/>
              </w:rPr>
            </w:pPr>
            <w:r>
              <w:rPr>
                <w:rFonts w:asciiTheme="majorHAnsi" w:hAnsiTheme="majorHAnsi"/>
                <w:sz w:val="17"/>
                <w:szCs w:val="17"/>
              </w:rPr>
              <w:t>Gusht</w:t>
            </w:r>
            <w:r w:rsidRPr="719F2906">
              <w:rPr>
                <w:rFonts w:asciiTheme="majorHAnsi" w:hAnsiTheme="majorHAnsi"/>
                <w:sz w:val="17"/>
                <w:szCs w:val="17"/>
              </w:rPr>
              <w:t xml:space="preserve"> </w:t>
            </w:r>
            <w:r w:rsidR="007D0210" w:rsidRPr="719F2906">
              <w:rPr>
                <w:rFonts w:asciiTheme="majorHAnsi" w:hAnsiTheme="majorHAnsi"/>
                <w:sz w:val="17"/>
                <w:szCs w:val="17"/>
              </w:rPr>
              <w:t>202</w:t>
            </w:r>
            <w:r w:rsidR="5F66B4D6" w:rsidRPr="719F2906">
              <w:rPr>
                <w:rFonts w:asciiTheme="majorHAnsi" w:hAnsiTheme="majorHAnsi"/>
                <w:sz w:val="17"/>
                <w:szCs w:val="17"/>
              </w:rPr>
              <w:t>2</w:t>
            </w:r>
          </w:p>
        </w:tc>
      </w:tr>
      <w:tr w:rsidR="00784424" w:rsidRPr="004D2E1C" w14:paraId="123143B0" w14:textId="77777777" w:rsidTr="00164F19">
        <w:trPr>
          <w:jc w:val="center"/>
        </w:trPr>
        <w:tc>
          <w:tcPr>
            <w:tcW w:w="5500" w:type="dxa"/>
          </w:tcPr>
          <w:p w14:paraId="0D89921C" w14:textId="77777777" w:rsidR="00784424" w:rsidRPr="004D2E1C" w:rsidRDefault="00784424" w:rsidP="0015790F">
            <w:pPr>
              <w:spacing w:before="40" w:after="40"/>
              <w:rPr>
                <w:rFonts w:asciiTheme="majorHAnsi" w:hAnsiTheme="majorHAnsi"/>
                <w:sz w:val="21"/>
                <w:szCs w:val="21"/>
              </w:rPr>
            </w:pPr>
            <w:r w:rsidRPr="004D2E1C">
              <w:rPr>
                <w:rFonts w:asciiTheme="majorHAnsi" w:hAnsiTheme="majorHAnsi"/>
                <w:sz w:val="18"/>
                <w:szCs w:val="21"/>
              </w:rPr>
              <w:t>Periudha për ankesa</w:t>
            </w:r>
          </w:p>
        </w:tc>
        <w:tc>
          <w:tcPr>
            <w:tcW w:w="1785" w:type="dxa"/>
            <w:vAlign w:val="center"/>
          </w:tcPr>
          <w:p w14:paraId="71B6F065" w14:textId="3907C164" w:rsidR="00784424" w:rsidRPr="004D2E1C" w:rsidRDefault="009B044C" w:rsidP="0008450B">
            <w:pPr>
              <w:spacing w:before="40" w:after="40"/>
              <w:ind w:right="-108" w:hanging="108"/>
              <w:jc w:val="center"/>
              <w:rPr>
                <w:rFonts w:asciiTheme="majorHAnsi" w:hAnsiTheme="majorHAnsi"/>
                <w:sz w:val="17"/>
                <w:szCs w:val="17"/>
              </w:rPr>
            </w:pPr>
            <w:r>
              <w:rPr>
                <w:rFonts w:asciiTheme="majorHAnsi" w:hAnsiTheme="majorHAnsi"/>
                <w:sz w:val="17"/>
                <w:szCs w:val="17"/>
              </w:rPr>
              <w:t xml:space="preserve">Gusht - Shtator </w:t>
            </w:r>
            <w:r w:rsidR="007D0210" w:rsidRPr="719F2906">
              <w:rPr>
                <w:rFonts w:asciiTheme="majorHAnsi" w:hAnsiTheme="majorHAnsi"/>
                <w:sz w:val="17"/>
                <w:szCs w:val="17"/>
              </w:rPr>
              <w:t>202</w:t>
            </w:r>
            <w:r w:rsidR="7498BC94" w:rsidRPr="719F2906">
              <w:rPr>
                <w:rFonts w:asciiTheme="majorHAnsi" w:hAnsiTheme="majorHAnsi"/>
                <w:sz w:val="17"/>
                <w:szCs w:val="17"/>
              </w:rPr>
              <w:t>2</w:t>
            </w:r>
          </w:p>
        </w:tc>
      </w:tr>
      <w:tr w:rsidR="00784424" w:rsidRPr="004D2E1C" w14:paraId="2B2228EA" w14:textId="77777777" w:rsidTr="00164F19">
        <w:trPr>
          <w:jc w:val="center"/>
        </w:trPr>
        <w:tc>
          <w:tcPr>
            <w:tcW w:w="5500" w:type="dxa"/>
          </w:tcPr>
          <w:p w14:paraId="06FE671F"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Konfirmimi i rezultateve përfundimtare</w:t>
            </w:r>
            <w:r>
              <w:rPr>
                <w:rFonts w:asciiTheme="majorHAnsi" w:hAnsiTheme="majorHAnsi"/>
                <w:sz w:val="18"/>
                <w:szCs w:val="21"/>
              </w:rPr>
              <w:t xml:space="preserve"> dhe shumave të grantit</w:t>
            </w:r>
          </w:p>
        </w:tc>
        <w:tc>
          <w:tcPr>
            <w:tcW w:w="1785" w:type="dxa"/>
            <w:vAlign w:val="center"/>
          </w:tcPr>
          <w:p w14:paraId="68C6BBDE" w14:textId="7992E78D" w:rsidR="00784424" w:rsidRPr="004D2E1C" w:rsidRDefault="009B044C" w:rsidP="00FF7CC6">
            <w:pPr>
              <w:spacing w:before="40" w:after="40"/>
              <w:ind w:right="-108" w:hanging="108"/>
              <w:jc w:val="center"/>
              <w:rPr>
                <w:rFonts w:asciiTheme="majorHAnsi" w:hAnsiTheme="majorHAnsi"/>
                <w:sz w:val="17"/>
                <w:szCs w:val="17"/>
              </w:rPr>
            </w:pPr>
            <w:r>
              <w:rPr>
                <w:rFonts w:asciiTheme="majorHAnsi" w:hAnsiTheme="majorHAnsi"/>
                <w:sz w:val="17"/>
                <w:szCs w:val="17"/>
              </w:rPr>
              <w:t xml:space="preserve">Shtator </w:t>
            </w:r>
            <w:r w:rsidR="003B754E" w:rsidRPr="719F2906">
              <w:rPr>
                <w:rFonts w:asciiTheme="majorHAnsi" w:hAnsiTheme="majorHAnsi"/>
                <w:sz w:val="17"/>
                <w:szCs w:val="17"/>
              </w:rPr>
              <w:t>2022</w:t>
            </w:r>
          </w:p>
        </w:tc>
      </w:tr>
      <w:tr w:rsidR="00784424" w:rsidRPr="004D2E1C" w14:paraId="7982D140" w14:textId="77777777" w:rsidTr="00164F19">
        <w:trPr>
          <w:jc w:val="center"/>
        </w:trPr>
        <w:tc>
          <w:tcPr>
            <w:tcW w:w="5500" w:type="dxa"/>
          </w:tcPr>
          <w:p w14:paraId="588856BF" w14:textId="77777777" w:rsidR="00784424" w:rsidRPr="004D2E1C" w:rsidRDefault="00784424" w:rsidP="0015790F">
            <w:pPr>
              <w:spacing w:before="40" w:after="40"/>
              <w:rPr>
                <w:rFonts w:asciiTheme="majorHAnsi" w:hAnsiTheme="majorHAnsi"/>
                <w:sz w:val="21"/>
                <w:szCs w:val="21"/>
              </w:rPr>
            </w:pPr>
            <w:r w:rsidRPr="004D2E1C">
              <w:rPr>
                <w:rFonts w:asciiTheme="majorHAnsi" w:hAnsiTheme="majorHAnsi"/>
                <w:sz w:val="18"/>
                <w:szCs w:val="21"/>
              </w:rPr>
              <w:t>Transferimi i mjeteve</w:t>
            </w:r>
          </w:p>
        </w:tc>
        <w:tc>
          <w:tcPr>
            <w:tcW w:w="1785" w:type="dxa"/>
            <w:vAlign w:val="center"/>
          </w:tcPr>
          <w:p w14:paraId="0174D101" w14:textId="7544E3E1" w:rsidR="00784424" w:rsidRPr="004D2E1C" w:rsidRDefault="009B044C" w:rsidP="00FF7CC6">
            <w:pPr>
              <w:spacing w:before="40" w:after="40"/>
              <w:ind w:right="-108" w:hanging="108"/>
              <w:jc w:val="center"/>
              <w:rPr>
                <w:rFonts w:asciiTheme="majorHAnsi" w:hAnsiTheme="majorHAnsi"/>
                <w:sz w:val="17"/>
                <w:szCs w:val="17"/>
              </w:rPr>
            </w:pPr>
            <w:r>
              <w:rPr>
                <w:rFonts w:asciiTheme="majorHAnsi" w:hAnsiTheme="majorHAnsi"/>
                <w:sz w:val="17"/>
                <w:szCs w:val="17"/>
              </w:rPr>
              <w:t xml:space="preserve">Janar - Shkurt </w:t>
            </w:r>
            <w:r w:rsidR="00784424" w:rsidRPr="719F2906">
              <w:rPr>
                <w:rFonts w:asciiTheme="majorHAnsi" w:hAnsiTheme="majorHAnsi"/>
                <w:sz w:val="17"/>
                <w:szCs w:val="17"/>
              </w:rPr>
              <w:t>202</w:t>
            </w:r>
            <w:r>
              <w:rPr>
                <w:rFonts w:asciiTheme="majorHAnsi" w:hAnsiTheme="majorHAnsi"/>
                <w:sz w:val="17"/>
                <w:szCs w:val="17"/>
              </w:rPr>
              <w:t>3</w:t>
            </w:r>
          </w:p>
        </w:tc>
      </w:tr>
      <w:tr w:rsidR="00784424" w:rsidRPr="004D2E1C" w14:paraId="24752DF1" w14:textId="77777777" w:rsidTr="00164F19">
        <w:trPr>
          <w:jc w:val="center"/>
        </w:trPr>
        <w:tc>
          <w:tcPr>
            <w:tcW w:w="5500" w:type="dxa"/>
          </w:tcPr>
          <w:p w14:paraId="2AA285CE" w14:textId="77777777" w:rsidR="00784424" w:rsidRPr="004D2E1C" w:rsidRDefault="00784424" w:rsidP="0015790F">
            <w:pPr>
              <w:spacing w:before="40" w:after="40"/>
              <w:rPr>
                <w:rFonts w:asciiTheme="majorHAnsi" w:hAnsiTheme="majorHAnsi"/>
                <w:sz w:val="21"/>
                <w:szCs w:val="21"/>
              </w:rPr>
            </w:pPr>
            <w:r w:rsidRPr="004D2E1C">
              <w:rPr>
                <w:rFonts w:asciiTheme="majorHAnsi" w:hAnsiTheme="majorHAnsi"/>
                <w:sz w:val="18"/>
                <w:szCs w:val="21"/>
              </w:rPr>
              <w:t>Shfrytëzimi i mjeteve</w:t>
            </w:r>
          </w:p>
        </w:tc>
        <w:tc>
          <w:tcPr>
            <w:tcW w:w="1785" w:type="dxa"/>
            <w:vAlign w:val="center"/>
          </w:tcPr>
          <w:p w14:paraId="37F3F119" w14:textId="6EE7257F" w:rsidR="00784424" w:rsidRPr="004D2E1C" w:rsidRDefault="00784424" w:rsidP="0008450B">
            <w:pPr>
              <w:spacing w:before="40" w:after="40"/>
              <w:ind w:right="-108" w:hanging="108"/>
              <w:jc w:val="center"/>
              <w:rPr>
                <w:rFonts w:asciiTheme="majorHAnsi" w:hAnsiTheme="majorHAnsi"/>
                <w:sz w:val="17"/>
                <w:szCs w:val="17"/>
              </w:rPr>
            </w:pPr>
            <w:r w:rsidRPr="004D2E1C">
              <w:rPr>
                <w:rFonts w:asciiTheme="majorHAnsi" w:hAnsiTheme="majorHAnsi"/>
                <w:sz w:val="17"/>
                <w:szCs w:val="17"/>
              </w:rPr>
              <w:t xml:space="preserve">VF </w:t>
            </w:r>
            <w:r w:rsidRPr="719F2906">
              <w:rPr>
                <w:rFonts w:asciiTheme="majorHAnsi" w:hAnsiTheme="majorHAnsi"/>
                <w:sz w:val="17"/>
                <w:szCs w:val="17"/>
              </w:rPr>
              <w:t>202</w:t>
            </w:r>
            <w:r w:rsidR="009B044C">
              <w:rPr>
                <w:rFonts w:asciiTheme="majorHAnsi" w:hAnsiTheme="majorHAnsi"/>
                <w:sz w:val="17"/>
                <w:szCs w:val="17"/>
              </w:rPr>
              <w:t>3</w:t>
            </w:r>
            <w:r w:rsidR="00420957">
              <w:rPr>
                <w:rStyle w:val="FootnoteReference"/>
                <w:rFonts w:asciiTheme="majorHAnsi" w:hAnsiTheme="majorHAnsi"/>
                <w:sz w:val="17"/>
                <w:szCs w:val="17"/>
              </w:rPr>
              <w:footnoteReference w:id="10"/>
            </w:r>
          </w:p>
        </w:tc>
      </w:tr>
    </w:tbl>
    <w:p w14:paraId="7150D178" w14:textId="77777777" w:rsidR="00051852" w:rsidRDefault="00051852" w:rsidP="00164F19">
      <w:pPr>
        <w:jc w:val="both"/>
        <w:rPr>
          <w:rFonts w:asciiTheme="majorHAnsi" w:hAnsiTheme="majorHAnsi"/>
          <w:b/>
          <w:sz w:val="12"/>
          <w:szCs w:val="12"/>
        </w:rPr>
      </w:pPr>
    </w:p>
    <w:p w14:paraId="4480DEE8" w14:textId="77777777" w:rsidR="002B25B0" w:rsidRDefault="002B25B0" w:rsidP="00CD79F5">
      <w:pPr>
        <w:ind w:left="567"/>
        <w:jc w:val="both"/>
        <w:rPr>
          <w:rFonts w:asciiTheme="majorHAnsi" w:hAnsiTheme="majorHAnsi"/>
          <w:b/>
          <w:sz w:val="12"/>
          <w:szCs w:val="12"/>
        </w:rPr>
      </w:pPr>
    </w:p>
    <w:p w14:paraId="1AD2375A" w14:textId="77777777" w:rsidR="002B25B0" w:rsidRDefault="002B25B0" w:rsidP="00164F19">
      <w:pPr>
        <w:jc w:val="both"/>
        <w:rPr>
          <w:rFonts w:asciiTheme="majorHAnsi" w:hAnsiTheme="majorHAnsi"/>
          <w:b/>
          <w:sz w:val="12"/>
          <w:szCs w:val="12"/>
        </w:rPr>
      </w:pPr>
    </w:p>
    <w:p w14:paraId="568B91BC" w14:textId="13C6C99D" w:rsidR="00CD79F5" w:rsidRDefault="00CD79F5" w:rsidP="00CD79F5">
      <w:pPr>
        <w:pStyle w:val="Heading1"/>
        <w:numPr>
          <w:ilvl w:val="1"/>
          <w:numId w:val="7"/>
        </w:numPr>
        <w:tabs>
          <w:tab w:val="left" w:pos="540"/>
        </w:tabs>
        <w:ind w:hanging="1800"/>
        <w:rPr>
          <w:rFonts w:asciiTheme="majorHAnsi" w:hAnsiTheme="majorHAnsi"/>
          <w:color w:val="C0504D"/>
          <w:lang w:val="sq-AL"/>
        </w:rPr>
      </w:pPr>
      <w:bookmarkStart w:id="56" w:name="_Toc61062535"/>
      <w:r w:rsidRPr="7D684930">
        <w:rPr>
          <w:rFonts w:asciiTheme="majorHAnsi" w:hAnsiTheme="majorHAnsi"/>
          <w:color w:val="C0504D" w:themeColor="accent2"/>
          <w:lang w:val="sq-AL"/>
        </w:rPr>
        <w:t>Procedura</w:t>
      </w:r>
      <w:r w:rsidR="00563BD9" w:rsidRPr="7D684930">
        <w:rPr>
          <w:rFonts w:asciiTheme="majorHAnsi" w:hAnsiTheme="majorHAnsi"/>
          <w:color w:val="C0504D" w:themeColor="accent2"/>
          <w:lang w:val="sq-AL"/>
        </w:rPr>
        <w:t>t</w:t>
      </w:r>
      <w:r w:rsidR="004E0B57" w:rsidRPr="7D684930">
        <w:rPr>
          <w:rFonts w:asciiTheme="majorHAnsi" w:hAnsiTheme="majorHAnsi"/>
          <w:color w:val="C0504D" w:themeColor="accent2"/>
          <w:lang w:val="sq-AL"/>
        </w:rPr>
        <w:t xml:space="preserve"> </w:t>
      </w:r>
      <w:r w:rsidR="00D0051B" w:rsidRPr="7D684930">
        <w:rPr>
          <w:rFonts w:asciiTheme="majorHAnsi" w:hAnsiTheme="majorHAnsi"/>
          <w:color w:val="C0504D" w:themeColor="accent2"/>
          <w:lang w:val="sq-AL"/>
        </w:rPr>
        <w:t>e vlerësimit</w:t>
      </w:r>
      <w:bookmarkEnd w:id="56"/>
      <w:r w:rsidR="00D0051B" w:rsidRPr="7D684930">
        <w:rPr>
          <w:rFonts w:asciiTheme="majorHAnsi" w:hAnsiTheme="majorHAnsi"/>
          <w:color w:val="C0504D" w:themeColor="accent2"/>
          <w:lang w:val="sq-AL"/>
        </w:rPr>
        <w:t xml:space="preserve"> </w:t>
      </w:r>
    </w:p>
    <w:p w14:paraId="4362BFB9" w14:textId="77777777" w:rsidR="00893784" w:rsidRDefault="00893784" w:rsidP="00D812D8">
      <w:pPr>
        <w:jc w:val="both"/>
      </w:pPr>
    </w:p>
    <w:p w14:paraId="3E6201A9" w14:textId="77777777" w:rsidR="00893784" w:rsidRPr="006216C8" w:rsidRDefault="00893784" w:rsidP="006216C8">
      <w:pPr>
        <w:pStyle w:val="Heading1"/>
        <w:tabs>
          <w:tab w:val="left" w:pos="540"/>
        </w:tabs>
        <w:rPr>
          <w:rFonts w:asciiTheme="majorHAnsi" w:hAnsiTheme="majorHAnsi"/>
          <w:sz w:val="24"/>
          <w:szCs w:val="21"/>
          <w:lang w:val="sq-AL"/>
        </w:rPr>
      </w:pPr>
      <w:r w:rsidRPr="006216C8">
        <w:rPr>
          <w:rFonts w:asciiTheme="majorHAnsi" w:hAnsiTheme="majorHAnsi"/>
          <w:sz w:val="24"/>
          <w:szCs w:val="21"/>
          <w:lang w:val="sq-AL"/>
        </w:rPr>
        <w:t xml:space="preserve">3.3.1 Periudha e Vlerësimit për Grantin e </w:t>
      </w:r>
      <w:r w:rsidR="00CD16A4">
        <w:rPr>
          <w:rFonts w:asciiTheme="majorHAnsi" w:hAnsiTheme="majorHAnsi"/>
          <w:sz w:val="24"/>
          <w:szCs w:val="21"/>
          <w:lang w:val="sq-AL"/>
        </w:rPr>
        <w:t>P</w:t>
      </w:r>
      <w:r w:rsidRPr="006216C8">
        <w:rPr>
          <w:rFonts w:asciiTheme="majorHAnsi" w:hAnsiTheme="majorHAnsi"/>
          <w:sz w:val="24"/>
          <w:szCs w:val="21"/>
          <w:lang w:val="sq-AL"/>
        </w:rPr>
        <w:t>erformancës Komunale (Ciklet e Menaxhimit të Grantit)</w:t>
      </w:r>
    </w:p>
    <w:p w14:paraId="50E687FC" w14:textId="77777777" w:rsidR="00893784" w:rsidRDefault="00893784" w:rsidP="00893784">
      <w:pPr>
        <w:ind w:left="567"/>
        <w:jc w:val="both"/>
        <w:rPr>
          <w:rFonts w:asciiTheme="majorHAnsi" w:hAnsiTheme="majorHAnsi"/>
          <w:b/>
          <w:sz w:val="12"/>
          <w:szCs w:val="12"/>
        </w:rPr>
      </w:pPr>
    </w:p>
    <w:p w14:paraId="36FBB559" w14:textId="77777777" w:rsidR="00893784" w:rsidRPr="009E1360" w:rsidRDefault="00893784" w:rsidP="00893784">
      <w:pPr>
        <w:spacing w:before="60" w:line="264" w:lineRule="auto"/>
        <w:jc w:val="both"/>
        <w:rPr>
          <w:rFonts w:asciiTheme="majorHAnsi" w:hAnsiTheme="majorHAnsi"/>
          <w:sz w:val="21"/>
          <w:szCs w:val="21"/>
        </w:rPr>
      </w:pPr>
      <w:r w:rsidRPr="009E1360">
        <w:rPr>
          <w:rFonts w:asciiTheme="majorHAnsi" w:hAnsiTheme="majorHAnsi"/>
          <w:sz w:val="21"/>
          <w:szCs w:val="21"/>
        </w:rPr>
        <w:t xml:space="preserve">Periudha e vlerësimit për grantin e performancës </w:t>
      </w:r>
      <w:r>
        <w:rPr>
          <w:rFonts w:asciiTheme="majorHAnsi" w:hAnsiTheme="majorHAnsi"/>
          <w:sz w:val="21"/>
          <w:szCs w:val="21"/>
        </w:rPr>
        <w:t xml:space="preserve">komunale </w:t>
      </w:r>
      <w:r w:rsidRPr="009E1360">
        <w:rPr>
          <w:rFonts w:asciiTheme="majorHAnsi" w:hAnsiTheme="majorHAnsi"/>
          <w:sz w:val="21"/>
          <w:szCs w:val="21"/>
        </w:rPr>
        <w:t xml:space="preserve">ndahet në 3 faza kryesore: </w:t>
      </w:r>
    </w:p>
    <w:p w14:paraId="7168F943" w14:textId="0B2A16D2" w:rsidR="00893784" w:rsidRPr="009E1360" w:rsidRDefault="00893784" w:rsidP="00140C9B">
      <w:pPr>
        <w:spacing w:before="60" w:line="264" w:lineRule="auto"/>
        <w:ind w:left="540" w:hanging="540"/>
        <w:jc w:val="both"/>
        <w:rPr>
          <w:rFonts w:asciiTheme="majorHAnsi" w:hAnsiTheme="majorHAnsi"/>
          <w:sz w:val="21"/>
          <w:szCs w:val="21"/>
        </w:rPr>
      </w:pPr>
      <w:r w:rsidRPr="008A4645">
        <w:rPr>
          <w:rFonts w:asciiTheme="majorHAnsi" w:hAnsiTheme="majorHAnsi"/>
          <w:b/>
          <w:bCs/>
          <w:sz w:val="21"/>
          <w:szCs w:val="21"/>
        </w:rPr>
        <w:t>1.1.</w:t>
      </w:r>
      <w:r w:rsidRPr="008A4645">
        <w:rPr>
          <w:rFonts w:asciiTheme="majorHAnsi" w:hAnsiTheme="majorHAnsi"/>
          <w:b/>
          <w:bCs/>
          <w:sz w:val="21"/>
          <w:szCs w:val="21"/>
        </w:rPr>
        <w:tab/>
        <w:t xml:space="preserve">Periudha e performancës - </w:t>
      </w:r>
      <w:r w:rsidRPr="009E1360">
        <w:rPr>
          <w:rFonts w:asciiTheme="majorHAnsi" w:hAnsiTheme="majorHAnsi"/>
          <w:sz w:val="21"/>
          <w:szCs w:val="21"/>
        </w:rPr>
        <w:t>që nënkupton vitin për të cilin vlerësohet performanca e komunës</w:t>
      </w:r>
      <w:r>
        <w:rPr>
          <w:rFonts w:asciiTheme="majorHAnsi" w:hAnsiTheme="majorHAnsi"/>
          <w:sz w:val="21"/>
          <w:szCs w:val="21"/>
        </w:rPr>
        <w:t>. Në bazë të këtyre rregullave të GPK 202</w:t>
      </w:r>
      <w:r w:rsidR="009B044C">
        <w:rPr>
          <w:rFonts w:asciiTheme="majorHAnsi" w:hAnsiTheme="majorHAnsi"/>
          <w:sz w:val="21"/>
          <w:szCs w:val="21"/>
        </w:rPr>
        <w:t>3</w:t>
      </w:r>
      <w:r>
        <w:rPr>
          <w:rFonts w:asciiTheme="majorHAnsi" w:hAnsiTheme="majorHAnsi"/>
          <w:sz w:val="21"/>
          <w:szCs w:val="21"/>
        </w:rPr>
        <w:t xml:space="preserve"> </w:t>
      </w:r>
      <w:r w:rsidRPr="009E1360">
        <w:rPr>
          <w:rFonts w:asciiTheme="majorHAnsi" w:hAnsiTheme="majorHAnsi"/>
          <w:sz w:val="21"/>
          <w:szCs w:val="21"/>
        </w:rPr>
        <w:t xml:space="preserve">vlerësohet </w:t>
      </w:r>
      <w:r>
        <w:rPr>
          <w:rFonts w:asciiTheme="majorHAnsi" w:hAnsiTheme="majorHAnsi"/>
          <w:sz w:val="21"/>
          <w:szCs w:val="21"/>
        </w:rPr>
        <w:t>performanca komunale e vitit 20</w:t>
      </w:r>
      <w:r w:rsidR="00484EAE">
        <w:rPr>
          <w:rFonts w:asciiTheme="majorHAnsi" w:hAnsiTheme="majorHAnsi"/>
          <w:sz w:val="21"/>
          <w:szCs w:val="21"/>
        </w:rPr>
        <w:t>2</w:t>
      </w:r>
      <w:r w:rsidR="009B044C">
        <w:rPr>
          <w:rFonts w:asciiTheme="majorHAnsi" w:hAnsiTheme="majorHAnsi"/>
          <w:sz w:val="21"/>
          <w:szCs w:val="21"/>
        </w:rPr>
        <w:t>1</w:t>
      </w:r>
      <w:r w:rsidRPr="009E1360">
        <w:rPr>
          <w:rFonts w:asciiTheme="majorHAnsi" w:hAnsiTheme="majorHAnsi"/>
          <w:sz w:val="21"/>
          <w:szCs w:val="21"/>
        </w:rPr>
        <w:t>;</w:t>
      </w:r>
    </w:p>
    <w:p w14:paraId="632F68B0" w14:textId="68BA3E85" w:rsidR="00893784" w:rsidRPr="009E1360" w:rsidRDefault="00893784" w:rsidP="00140C9B">
      <w:pPr>
        <w:spacing w:before="60" w:line="264" w:lineRule="auto"/>
        <w:ind w:left="540" w:hanging="540"/>
        <w:jc w:val="both"/>
        <w:rPr>
          <w:rFonts w:asciiTheme="majorHAnsi" w:hAnsiTheme="majorHAnsi"/>
          <w:sz w:val="21"/>
          <w:szCs w:val="21"/>
        </w:rPr>
      </w:pPr>
      <w:r w:rsidRPr="008A4645">
        <w:rPr>
          <w:rFonts w:asciiTheme="majorHAnsi" w:hAnsiTheme="majorHAnsi"/>
          <w:b/>
          <w:bCs/>
          <w:sz w:val="21"/>
          <w:szCs w:val="21"/>
        </w:rPr>
        <w:t>1.2.</w:t>
      </w:r>
      <w:r w:rsidRPr="008A4645">
        <w:rPr>
          <w:rFonts w:asciiTheme="majorHAnsi" w:hAnsiTheme="majorHAnsi"/>
          <w:b/>
          <w:bCs/>
          <w:sz w:val="21"/>
          <w:szCs w:val="21"/>
        </w:rPr>
        <w:tab/>
        <w:t>Periudha e vlerësimit -</w:t>
      </w:r>
      <w:r w:rsidRPr="009E1360">
        <w:rPr>
          <w:rFonts w:asciiTheme="majorHAnsi" w:hAnsiTheme="majorHAnsi"/>
          <w:sz w:val="21"/>
          <w:szCs w:val="21"/>
        </w:rPr>
        <w:t xml:space="preserve"> nënkupton periudhën në të cilën kryhet vlerësimi i performancës</w:t>
      </w:r>
      <w:r w:rsidR="0001155D">
        <w:rPr>
          <w:rFonts w:asciiTheme="majorHAnsi" w:hAnsiTheme="majorHAnsi"/>
          <w:sz w:val="21"/>
          <w:szCs w:val="21"/>
        </w:rPr>
        <w:t xml:space="preserve"> për GPK</w:t>
      </w:r>
      <w:r w:rsidR="003754A5">
        <w:rPr>
          <w:rFonts w:asciiTheme="majorHAnsi" w:hAnsiTheme="majorHAnsi"/>
          <w:sz w:val="21"/>
          <w:szCs w:val="21"/>
        </w:rPr>
        <w:t>; pra performanca komunale p</w:t>
      </w:r>
      <w:r w:rsidR="006518E3">
        <w:rPr>
          <w:rFonts w:asciiTheme="majorHAnsi" w:hAnsiTheme="majorHAnsi"/>
          <w:sz w:val="21"/>
          <w:szCs w:val="21"/>
        </w:rPr>
        <w:t>ë</w:t>
      </w:r>
      <w:r w:rsidR="003754A5">
        <w:rPr>
          <w:rFonts w:asciiTheme="majorHAnsi" w:hAnsiTheme="majorHAnsi"/>
          <w:sz w:val="21"/>
          <w:szCs w:val="21"/>
        </w:rPr>
        <w:t>r GPK vler</w:t>
      </w:r>
      <w:r w:rsidR="006518E3">
        <w:rPr>
          <w:rFonts w:asciiTheme="majorHAnsi" w:hAnsiTheme="majorHAnsi"/>
          <w:sz w:val="21"/>
          <w:szCs w:val="21"/>
        </w:rPr>
        <w:t>ë</w:t>
      </w:r>
      <w:r w:rsidR="003754A5">
        <w:rPr>
          <w:rFonts w:asciiTheme="majorHAnsi" w:hAnsiTheme="majorHAnsi"/>
          <w:sz w:val="21"/>
          <w:szCs w:val="21"/>
        </w:rPr>
        <w:t>sohet n</w:t>
      </w:r>
      <w:r w:rsidR="006518E3">
        <w:rPr>
          <w:rFonts w:asciiTheme="majorHAnsi" w:hAnsiTheme="majorHAnsi"/>
          <w:sz w:val="21"/>
          <w:szCs w:val="21"/>
        </w:rPr>
        <w:t>ë</w:t>
      </w:r>
      <w:r w:rsidR="003754A5">
        <w:rPr>
          <w:rFonts w:asciiTheme="majorHAnsi" w:hAnsiTheme="majorHAnsi"/>
          <w:sz w:val="21"/>
          <w:szCs w:val="21"/>
        </w:rPr>
        <w:t xml:space="preserve"> vitin 2022 p</w:t>
      </w:r>
      <w:r w:rsidR="006518E3">
        <w:rPr>
          <w:rFonts w:asciiTheme="majorHAnsi" w:hAnsiTheme="majorHAnsi"/>
          <w:sz w:val="21"/>
          <w:szCs w:val="21"/>
        </w:rPr>
        <w:t>ë</w:t>
      </w:r>
      <w:r w:rsidR="003754A5">
        <w:rPr>
          <w:rFonts w:asciiTheme="majorHAnsi" w:hAnsiTheme="majorHAnsi"/>
          <w:sz w:val="21"/>
          <w:szCs w:val="21"/>
        </w:rPr>
        <w:t>r vler</w:t>
      </w:r>
      <w:r w:rsidR="006518E3">
        <w:rPr>
          <w:rFonts w:asciiTheme="majorHAnsi" w:hAnsiTheme="majorHAnsi"/>
          <w:sz w:val="21"/>
          <w:szCs w:val="21"/>
        </w:rPr>
        <w:t>ë</w:t>
      </w:r>
      <w:r w:rsidR="003754A5">
        <w:rPr>
          <w:rFonts w:asciiTheme="majorHAnsi" w:hAnsiTheme="majorHAnsi"/>
          <w:sz w:val="21"/>
          <w:szCs w:val="21"/>
        </w:rPr>
        <w:t>simin e performanc</w:t>
      </w:r>
      <w:r w:rsidR="006518E3">
        <w:rPr>
          <w:rFonts w:asciiTheme="majorHAnsi" w:hAnsiTheme="majorHAnsi"/>
          <w:sz w:val="21"/>
          <w:szCs w:val="21"/>
        </w:rPr>
        <w:t>ë</w:t>
      </w:r>
      <w:r w:rsidR="003754A5">
        <w:rPr>
          <w:rFonts w:asciiTheme="majorHAnsi" w:hAnsiTheme="majorHAnsi"/>
          <w:sz w:val="21"/>
          <w:szCs w:val="21"/>
        </w:rPr>
        <w:t>s s</w:t>
      </w:r>
      <w:r w:rsidR="006518E3">
        <w:rPr>
          <w:rFonts w:asciiTheme="majorHAnsi" w:hAnsiTheme="majorHAnsi"/>
          <w:sz w:val="21"/>
          <w:szCs w:val="21"/>
        </w:rPr>
        <w:t>ë</w:t>
      </w:r>
      <w:r w:rsidR="003754A5">
        <w:rPr>
          <w:rFonts w:asciiTheme="majorHAnsi" w:hAnsiTheme="majorHAnsi"/>
          <w:sz w:val="21"/>
          <w:szCs w:val="21"/>
        </w:rPr>
        <w:t xml:space="preserve"> vitit 202</w:t>
      </w:r>
      <w:r w:rsidR="009B044C">
        <w:rPr>
          <w:rFonts w:asciiTheme="majorHAnsi" w:hAnsiTheme="majorHAnsi"/>
          <w:sz w:val="21"/>
          <w:szCs w:val="21"/>
        </w:rPr>
        <w:t>1</w:t>
      </w:r>
    </w:p>
    <w:p w14:paraId="2CD010C4" w14:textId="4BFD520D" w:rsidR="00893784" w:rsidRPr="004D2E1C" w:rsidRDefault="00893784" w:rsidP="00140C9B">
      <w:pPr>
        <w:spacing w:before="60" w:line="264" w:lineRule="auto"/>
        <w:ind w:left="540" w:hanging="540"/>
        <w:jc w:val="both"/>
        <w:rPr>
          <w:rFonts w:asciiTheme="majorHAnsi" w:hAnsiTheme="majorHAnsi"/>
          <w:sz w:val="21"/>
          <w:szCs w:val="21"/>
        </w:rPr>
      </w:pPr>
      <w:r w:rsidRPr="008A4645">
        <w:rPr>
          <w:rFonts w:asciiTheme="majorHAnsi" w:hAnsiTheme="majorHAnsi"/>
          <w:b/>
          <w:bCs/>
          <w:sz w:val="21"/>
          <w:szCs w:val="21"/>
        </w:rPr>
        <w:t xml:space="preserve">1.3. </w:t>
      </w:r>
      <w:r>
        <w:tab/>
      </w:r>
      <w:r w:rsidRPr="008A4645">
        <w:rPr>
          <w:rFonts w:asciiTheme="majorHAnsi" w:hAnsiTheme="majorHAnsi"/>
          <w:b/>
          <w:bCs/>
          <w:sz w:val="21"/>
          <w:szCs w:val="21"/>
        </w:rPr>
        <w:t>Periudha e ndarjes dhe shfrytëzimi i grantit -</w:t>
      </w:r>
      <w:r w:rsidRPr="009E1360">
        <w:rPr>
          <w:rFonts w:asciiTheme="majorHAnsi" w:hAnsiTheme="majorHAnsi"/>
          <w:sz w:val="21"/>
          <w:szCs w:val="21"/>
        </w:rPr>
        <w:t xml:space="preserve"> nënkupton vitin në të cilin granti vihet në dispozicion për shfrytëzim nga komunat.</w:t>
      </w:r>
      <w:r>
        <w:rPr>
          <w:rFonts w:asciiTheme="majorHAnsi" w:hAnsiTheme="majorHAnsi"/>
          <w:sz w:val="21"/>
          <w:szCs w:val="21"/>
        </w:rPr>
        <w:t xml:space="preserve"> Në bazë të këtyre rregullave granti do të jetë në dispozicion për komunat në vitin 202</w:t>
      </w:r>
      <w:r w:rsidR="009B044C">
        <w:rPr>
          <w:rFonts w:asciiTheme="majorHAnsi" w:hAnsiTheme="majorHAnsi"/>
          <w:sz w:val="21"/>
          <w:szCs w:val="21"/>
        </w:rPr>
        <w:t>3</w:t>
      </w:r>
      <w:r>
        <w:rPr>
          <w:rFonts w:asciiTheme="majorHAnsi" w:hAnsiTheme="majorHAnsi"/>
          <w:sz w:val="21"/>
          <w:szCs w:val="21"/>
        </w:rPr>
        <w:t xml:space="preserve">. </w:t>
      </w:r>
    </w:p>
    <w:p w14:paraId="451FE71A" w14:textId="77777777" w:rsidR="00893784" w:rsidRDefault="00893784" w:rsidP="00D812D8"/>
    <w:p w14:paraId="73F19740" w14:textId="77777777" w:rsidR="00CD79F5" w:rsidRPr="006216C8" w:rsidRDefault="00CD79F5" w:rsidP="00CD79F5">
      <w:pPr>
        <w:ind w:left="567"/>
        <w:jc w:val="both"/>
        <w:rPr>
          <w:rFonts w:asciiTheme="majorHAnsi" w:hAnsiTheme="majorHAnsi"/>
          <w:sz w:val="14"/>
          <w:szCs w:val="12"/>
        </w:rPr>
      </w:pPr>
    </w:p>
    <w:p w14:paraId="1644650B" w14:textId="77777777" w:rsidR="00CD79F5" w:rsidRPr="006216C8" w:rsidRDefault="00CD79F5" w:rsidP="009A3BEC">
      <w:pPr>
        <w:pStyle w:val="Heading1"/>
        <w:numPr>
          <w:ilvl w:val="2"/>
          <w:numId w:val="29"/>
        </w:numPr>
        <w:tabs>
          <w:tab w:val="left" w:pos="540"/>
        </w:tabs>
        <w:rPr>
          <w:rFonts w:asciiTheme="majorHAnsi" w:hAnsiTheme="majorHAnsi"/>
          <w:sz w:val="24"/>
          <w:szCs w:val="21"/>
          <w:lang w:val="sq-AL"/>
        </w:rPr>
      </w:pPr>
      <w:bookmarkStart w:id="57" w:name="_Toc31029007"/>
      <w:bookmarkStart w:id="58" w:name="_Toc31194805"/>
      <w:bookmarkStart w:id="59" w:name="_Toc61062536"/>
      <w:r w:rsidRPr="006216C8">
        <w:rPr>
          <w:rFonts w:asciiTheme="majorHAnsi" w:hAnsiTheme="majorHAnsi"/>
          <w:sz w:val="24"/>
          <w:szCs w:val="21"/>
          <w:lang w:val="sq-AL"/>
        </w:rPr>
        <w:t>Përgatitjet</w:t>
      </w:r>
      <w:bookmarkEnd w:id="57"/>
      <w:bookmarkEnd w:id="58"/>
      <w:r w:rsidR="00924522" w:rsidRPr="006216C8">
        <w:rPr>
          <w:rFonts w:asciiTheme="majorHAnsi" w:hAnsiTheme="majorHAnsi"/>
          <w:sz w:val="24"/>
          <w:szCs w:val="21"/>
          <w:lang w:val="sq-AL"/>
        </w:rPr>
        <w:t xml:space="preserve"> p</w:t>
      </w:r>
      <w:r w:rsidR="00924522" w:rsidRPr="00C576E1">
        <w:rPr>
          <w:rFonts w:asciiTheme="majorHAnsi" w:hAnsiTheme="majorHAnsi"/>
          <w:sz w:val="24"/>
          <w:szCs w:val="21"/>
          <w:lang w:val="sq-AL"/>
        </w:rPr>
        <w:t>ër vlerësim të GPK-së</w:t>
      </w:r>
      <w:bookmarkEnd w:id="59"/>
    </w:p>
    <w:p w14:paraId="58E514F6" w14:textId="77777777" w:rsidR="00601299" w:rsidRPr="00601299" w:rsidRDefault="00601299" w:rsidP="00601299">
      <w:pPr>
        <w:spacing w:line="264" w:lineRule="auto"/>
        <w:jc w:val="both"/>
        <w:rPr>
          <w:rFonts w:asciiTheme="majorHAnsi" w:hAnsiTheme="majorHAnsi"/>
          <w:sz w:val="12"/>
          <w:szCs w:val="12"/>
        </w:rPr>
      </w:pPr>
    </w:p>
    <w:p w14:paraId="67620385" w14:textId="77777777" w:rsidR="00924522" w:rsidRPr="00601299" w:rsidRDefault="00924522" w:rsidP="00601299">
      <w:pPr>
        <w:spacing w:line="264" w:lineRule="auto"/>
        <w:jc w:val="both"/>
        <w:rPr>
          <w:rFonts w:asciiTheme="majorHAnsi" w:hAnsiTheme="majorHAnsi"/>
          <w:sz w:val="21"/>
          <w:szCs w:val="21"/>
        </w:rPr>
      </w:pPr>
      <w:r w:rsidRPr="00601299">
        <w:rPr>
          <w:rFonts w:asciiTheme="majorHAnsi" w:hAnsiTheme="majorHAnsi"/>
          <w:sz w:val="21"/>
          <w:szCs w:val="21"/>
        </w:rPr>
        <w:t>Procedurat përgatitore për vlerësim të GPK-se, jan</w:t>
      </w:r>
      <w:r w:rsidR="00CD16A4">
        <w:rPr>
          <w:rFonts w:asciiTheme="majorHAnsi" w:hAnsiTheme="majorHAnsi"/>
          <w:sz w:val="21"/>
          <w:szCs w:val="21"/>
        </w:rPr>
        <w:t>ë</w:t>
      </w:r>
      <w:r w:rsidRPr="00601299">
        <w:rPr>
          <w:rFonts w:asciiTheme="majorHAnsi" w:hAnsiTheme="majorHAnsi"/>
          <w:sz w:val="21"/>
          <w:szCs w:val="21"/>
        </w:rPr>
        <w:t xml:space="preserve"> si vijon:</w:t>
      </w:r>
    </w:p>
    <w:p w14:paraId="362E0392" w14:textId="2DA74CED" w:rsidR="0091302C" w:rsidRDefault="00E873BE" w:rsidP="009A3BEC">
      <w:pPr>
        <w:pStyle w:val="ListParagraph"/>
        <w:numPr>
          <w:ilvl w:val="0"/>
          <w:numId w:val="38"/>
        </w:numPr>
        <w:spacing w:after="0" w:line="264" w:lineRule="auto"/>
        <w:ind w:left="734" w:hanging="446"/>
        <w:jc w:val="both"/>
        <w:rPr>
          <w:rFonts w:asciiTheme="majorHAnsi" w:hAnsiTheme="majorHAnsi"/>
          <w:sz w:val="21"/>
          <w:szCs w:val="21"/>
        </w:rPr>
      </w:pPr>
      <w:r w:rsidRPr="00924522">
        <w:rPr>
          <w:rFonts w:asciiTheme="majorHAnsi" w:hAnsiTheme="majorHAnsi"/>
          <w:sz w:val="21"/>
          <w:szCs w:val="21"/>
        </w:rPr>
        <w:t xml:space="preserve">Grupi </w:t>
      </w:r>
      <w:r w:rsidR="00EE017C">
        <w:rPr>
          <w:rFonts w:asciiTheme="majorHAnsi" w:hAnsiTheme="majorHAnsi"/>
          <w:sz w:val="21"/>
          <w:szCs w:val="21"/>
        </w:rPr>
        <w:t>Punues p</w:t>
      </w:r>
      <w:r w:rsidR="00C87181" w:rsidRPr="00924522">
        <w:rPr>
          <w:rFonts w:asciiTheme="majorHAnsi" w:hAnsiTheme="majorHAnsi"/>
          <w:sz w:val="21"/>
          <w:szCs w:val="21"/>
        </w:rPr>
        <w:t>ë</w:t>
      </w:r>
      <w:r w:rsidRPr="00924522">
        <w:rPr>
          <w:rFonts w:asciiTheme="majorHAnsi" w:hAnsiTheme="majorHAnsi"/>
          <w:sz w:val="21"/>
          <w:szCs w:val="21"/>
        </w:rPr>
        <w:t>rgjegj</w:t>
      </w:r>
      <w:r w:rsidR="00C87181" w:rsidRPr="00924522">
        <w:rPr>
          <w:rFonts w:asciiTheme="majorHAnsi" w:hAnsiTheme="majorHAnsi"/>
          <w:sz w:val="21"/>
          <w:szCs w:val="21"/>
        </w:rPr>
        <w:t>ë</w:t>
      </w:r>
      <w:r w:rsidRPr="00924522">
        <w:rPr>
          <w:rFonts w:asciiTheme="majorHAnsi" w:hAnsiTheme="majorHAnsi"/>
          <w:sz w:val="21"/>
          <w:szCs w:val="21"/>
        </w:rPr>
        <w:t>s p</w:t>
      </w:r>
      <w:r w:rsidR="00C87181" w:rsidRPr="00924522">
        <w:rPr>
          <w:rFonts w:asciiTheme="majorHAnsi" w:hAnsiTheme="majorHAnsi"/>
          <w:sz w:val="21"/>
          <w:szCs w:val="21"/>
        </w:rPr>
        <w:t>ë</w:t>
      </w:r>
      <w:r w:rsidRPr="00924522">
        <w:rPr>
          <w:rFonts w:asciiTheme="majorHAnsi" w:hAnsiTheme="majorHAnsi"/>
          <w:sz w:val="21"/>
          <w:szCs w:val="21"/>
        </w:rPr>
        <w:t>r hartimin e Rregullave t</w:t>
      </w:r>
      <w:r w:rsidR="00C87181" w:rsidRPr="00924522">
        <w:rPr>
          <w:rFonts w:asciiTheme="majorHAnsi" w:hAnsiTheme="majorHAnsi"/>
          <w:sz w:val="21"/>
          <w:szCs w:val="21"/>
        </w:rPr>
        <w:t>ë</w:t>
      </w:r>
      <w:r w:rsidRPr="00924522">
        <w:rPr>
          <w:rFonts w:asciiTheme="majorHAnsi" w:hAnsiTheme="majorHAnsi"/>
          <w:sz w:val="21"/>
          <w:szCs w:val="21"/>
        </w:rPr>
        <w:t xml:space="preserve"> GPK-s</w:t>
      </w:r>
      <w:r w:rsidR="00C87181" w:rsidRPr="00924522">
        <w:rPr>
          <w:rFonts w:asciiTheme="majorHAnsi" w:hAnsiTheme="majorHAnsi"/>
          <w:sz w:val="21"/>
          <w:szCs w:val="21"/>
        </w:rPr>
        <w:t>ë</w:t>
      </w:r>
      <w:r w:rsidR="00893784" w:rsidRPr="00924522">
        <w:rPr>
          <w:rFonts w:asciiTheme="majorHAnsi" w:hAnsiTheme="majorHAnsi"/>
          <w:sz w:val="21"/>
          <w:szCs w:val="21"/>
        </w:rPr>
        <w:t xml:space="preserve"> përgatit </w:t>
      </w:r>
      <w:r w:rsidRPr="00924522">
        <w:rPr>
          <w:rFonts w:asciiTheme="majorHAnsi" w:hAnsiTheme="majorHAnsi"/>
          <w:sz w:val="21"/>
          <w:szCs w:val="21"/>
        </w:rPr>
        <w:t>rregullat e GPK-s</w:t>
      </w:r>
      <w:r w:rsidR="00C87181" w:rsidRPr="00924522">
        <w:rPr>
          <w:rFonts w:asciiTheme="majorHAnsi" w:hAnsiTheme="majorHAnsi"/>
          <w:sz w:val="21"/>
          <w:szCs w:val="21"/>
        </w:rPr>
        <w:t>ë</w:t>
      </w:r>
      <w:r w:rsidRPr="00924522">
        <w:rPr>
          <w:rFonts w:asciiTheme="majorHAnsi" w:hAnsiTheme="majorHAnsi"/>
          <w:sz w:val="21"/>
          <w:szCs w:val="21"/>
        </w:rPr>
        <w:t xml:space="preserve"> p</w:t>
      </w:r>
      <w:r w:rsidR="00C87181" w:rsidRPr="00924522">
        <w:rPr>
          <w:rFonts w:asciiTheme="majorHAnsi" w:hAnsiTheme="majorHAnsi"/>
          <w:sz w:val="21"/>
          <w:szCs w:val="21"/>
        </w:rPr>
        <w:t>ë</w:t>
      </w:r>
      <w:r w:rsidRPr="00924522">
        <w:rPr>
          <w:rFonts w:asciiTheme="majorHAnsi" w:hAnsiTheme="majorHAnsi"/>
          <w:sz w:val="21"/>
          <w:szCs w:val="21"/>
        </w:rPr>
        <w:t xml:space="preserve">r vitin </w:t>
      </w:r>
      <w:r w:rsidR="00A05B98" w:rsidRPr="00924522">
        <w:rPr>
          <w:rFonts w:asciiTheme="majorHAnsi" w:hAnsiTheme="majorHAnsi"/>
          <w:sz w:val="21"/>
          <w:szCs w:val="21"/>
        </w:rPr>
        <w:t xml:space="preserve">fiskal </w:t>
      </w:r>
      <w:r w:rsidRPr="00924522">
        <w:rPr>
          <w:rFonts w:asciiTheme="majorHAnsi" w:hAnsiTheme="majorHAnsi"/>
          <w:sz w:val="21"/>
          <w:szCs w:val="21"/>
        </w:rPr>
        <w:t>202</w:t>
      </w:r>
      <w:r w:rsidR="009B044C">
        <w:rPr>
          <w:rFonts w:asciiTheme="majorHAnsi" w:hAnsiTheme="majorHAnsi"/>
          <w:sz w:val="21"/>
          <w:szCs w:val="21"/>
        </w:rPr>
        <w:t>3</w:t>
      </w:r>
      <w:r w:rsidR="00A05B98" w:rsidRPr="00924522">
        <w:rPr>
          <w:rFonts w:asciiTheme="majorHAnsi" w:hAnsiTheme="majorHAnsi"/>
          <w:sz w:val="21"/>
          <w:szCs w:val="21"/>
        </w:rPr>
        <w:t xml:space="preserve"> (viti i alokimit) </w:t>
      </w:r>
      <w:r w:rsidR="00EE017C">
        <w:rPr>
          <w:rFonts w:asciiTheme="majorHAnsi" w:hAnsiTheme="majorHAnsi"/>
          <w:sz w:val="21"/>
          <w:szCs w:val="21"/>
        </w:rPr>
        <w:t>për</w:t>
      </w:r>
      <w:r w:rsidR="00A05B98" w:rsidRPr="00924522">
        <w:rPr>
          <w:rFonts w:asciiTheme="majorHAnsi" w:hAnsiTheme="majorHAnsi"/>
          <w:sz w:val="21"/>
          <w:szCs w:val="21"/>
        </w:rPr>
        <w:t xml:space="preserve"> performanc</w:t>
      </w:r>
      <w:r w:rsidR="00C87181" w:rsidRPr="00924522">
        <w:rPr>
          <w:rFonts w:asciiTheme="majorHAnsi" w:hAnsiTheme="majorHAnsi"/>
          <w:sz w:val="21"/>
          <w:szCs w:val="21"/>
        </w:rPr>
        <w:t>ë</w:t>
      </w:r>
      <w:r w:rsidR="00EE017C">
        <w:rPr>
          <w:rFonts w:asciiTheme="majorHAnsi" w:hAnsiTheme="majorHAnsi"/>
          <w:sz w:val="21"/>
          <w:szCs w:val="21"/>
        </w:rPr>
        <w:t>n</w:t>
      </w:r>
      <w:r w:rsidR="00A05B98" w:rsidRPr="00924522">
        <w:rPr>
          <w:rFonts w:asciiTheme="majorHAnsi" w:hAnsiTheme="majorHAnsi"/>
          <w:sz w:val="21"/>
          <w:szCs w:val="21"/>
        </w:rPr>
        <w:t xml:space="preserve"> </w:t>
      </w:r>
      <w:r w:rsidR="00EE017C">
        <w:rPr>
          <w:rFonts w:asciiTheme="majorHAnsi" w:hAnsiTheme="majorHAnsi"/>
          <w:sz w:val="21"/>
          <w:szCs w:val="21"/>
        </w:rPr>
        <w:t>e</w:t>
      </w:r>
      <w:r w:rsidR="00A05B98" w:rsidRPr="00924522">
        <w:rPr>
          <w:rFonts w:asciiTheme="majorHAnsi" w:hAnsiTheme="majorHAnsi"/>
          <w:sz w:val="21"/>
          <w:szCs w:val="21"/>
        </w:rPr>
        <w:t xml:space="preserve"> komunave t</w:t>
      </w:r>
      <w:r w:rsidR="00C87181" w:rsidRPr="00924522">
        <w:rPr>
          <w:rFonts w:asciiTheme="majorHAnsi" w:hAnsiTheme="majorHAnsi"/>
          <w:sz w:val="21"/>
          <w:szCs w:val="21"/>
        </w:rPr>
        <w:t>ë</w:t>
      </w:r>
      <w:r w:rsidR="00A05B98" w:rsidRPr="00924522">
        <w:rPr>
          <w:rFonts w:asciiTheme="majorHAnsi" w:hAnsiTheme="majorHAnsi"/>
          <w:sz w:val="21"/>
          <w:szCs w:val="21"/>
        </w:rPr>
        <w:t xml:space="preserve"> vitit 20</w:t>
      </w:r>
      <w:r w:rsidR="00484EAE">
        <w:rPr>
          <w:rFonts w:asciiTheme="majorHAnsi" w:hAnsiTheme="majorHAnsi"/>
          <w:sz w:val="21"/>
          <w:szCs w:val="21"/>
        </w:rPr>
        <w:t>2</w:t>
      </w:r>
      <w:r w:rsidR="009B044C">
        <w:rPr>
          <w:rFonts w:asciiTheme="majorHAnsi" w:hAnsiTheme="majorHAnsi"/>
          <w:sz w:val="21"/>
          <w:szCs w:val="21"/>
        </w:rPr>
        <w:t>1.</w:t>
      </w:r>
    </w:p>
    <w:p w14:paraId="1E4BD45A" w14:textId="3832598C" w:rsidR="00601299" w:rsidRPr="00924522" w:rsidRDefault="00601299" w:rsidP="07D96137">
      <w:pPr>
        <w:pStyle w:val="ListParagraph"/>
        <w:numPr>
          <w:ilvl w:val="0"/>
          <w:numId w:val="38"/>
        </w:numPr>
        <w:spacing w:after="0" w:line="264" w:lineRule="auto"/>
        <w:ind w:left="734" w:hanging="446"/>
        <w:jc w:val="both"/>
        <w:rPr>
          <w:rFonts w:asciiTheme="majorHAnsi" w:hAnsiTheme="majorHAnsi"/>
          <w:sz w:val="21"/>
          <w:szCs w:val="21"/>
        </w:rPr>
      </w:pPr>
      <w:r w:rsidRPr="07D96137">
        <w:rPr>
          <w:rFonts w:asciiTheme="majorHAnsi" w:hAnsiTheme="majorHAnsi"/>
          <w:sz w:val="21"/>
          <w:szCs w:val="21"/>
        </w:rPr>
        <w:t xml:space="preserve">Rregullat e hartuara i dorëzohen Sekretarit të Përgjithshëm të </w:t>
      </w:r>
      <w:r w:rsidR="476FF362" w:rsidRPr="07D96137">
        <w:rPr>
          <w:rFonts w:asciiTheme="majorHAnsi" w:hAnsiTheme="majorHAnsi"/>
          <w:sz w:val="21"/>
          <w:szCs w:val="21"/>
        </w:rPr>
        <w:t>MAPL</w:t>
      </w:r>
      <w:r w:rsidRPr="07D96137">
        <w:rPr>
          <w:rFonts w:asciiTheme="majorHAnsi" w:hAnsiTheme="majorHAnsi"/>
          <w:sz w:val="21"/>
          <w:szCs w:val="21"/>
        </w:rPr>
        <w:t>-së dhe kontributdhënësve.</w:t>
      </w:r>
    </w:p>
    <w:p w14:paraId="5E1E5224" w14:textId="7EA2310A" w:rsidR="00A05B98" w:rsidRPr="00924522" w:rsidRDefault="00A05B98" w:rsidP="07D96137">
      <w:pPr>
        <w:pStyle w:val="ListParagraph"/>
        <w:numPr>
          <w:ilvl w:val="0"/>
          <w:numId w:val="38"/>
        </w:numPr>
        <w:spacing w:after="0" w:line="264" w:lineRule="auto"/>
        <w:ind w:left="734" w:hanging="446"/>
        <w:jc w:val="both"/>
        <w:rPr>
          <w:rFonts w:asciiTheme="majorHAnsi" w:hAnsiTheme="majorHAnsi"/>
          <w:sz w:val="21"/>
          <w:szCs w:val="21"/>
        </w:rPr>
      </w:pPr>
      <w:r w:rsidRPr="07D96137">
        <w:rPr>
          <w:rFonts w:asciiTheme="majorHAnsi" w:hAnsiTheme="majorHAnsi"/>
          <w:sz w:val="21"/>
          <w:szCs w:val="21"/>
        </w:rPr>
        <w:t>Rregullat e GPK-s</w:t>
      </w:r>
      <w:r w:rsidR="00C87181" w:rsidRPr="07D96137">
        <w:rPr>
          <w:rFonts w:asciiTheme="majorHAnsi" w:hAnsiTheme="majorHAnsi"/>
          <w:sz w:val="21"/>
          <w:szCs w:val="21"/>
        </w:rPr>
        <w:t>ë</w:t>
      </w:r>
      <w:r w:rsidRPr="07D96137">
        <w:rPr>
          <w:rFonts w:asciiTheme="majorHAnsi" w:hAnsiTheme="majorHAnsi"/>
          <w:sz w:val="21"/>
          <w:szCs w:val="21"/>
        </w:rPr>
        <w:t xml:space="preserve"> para vler</w:t>
      </w:r>
      <w:r w:rsidR="00C87181" w:rsidRPr="07D96137">
        <w:rPr>
          <w:rFonts w:asciiTheme="majorHAnsi" w:hAnsiTheme="majorHAnsi"/>
          <w:sz w:val="21"/>
          <w:szCs w:val="21"/>
        </w:rPr>
        <w:t>ë</w:t>
      </w:r>
      <w:r w:rsidRPr="07D96137">
        <w:rPr>
          <w:rFonts w:asciiTheme="majorHAnsi" w:hAnsiTheme="majorHAnsi"/>
          <w:sz w:val="21"/>
          <w:szCs w:val="21"/>
        </w:rPr>
        <w:t>simit autorizohen</w:t>
      </w:r>
      <w:r w:rsidR="00893784" w:rsidRPr="07D96137">
        <w:rPr>
          <w:rFonts w:asciiTheme="majorHAnsi" w:hAnsiTheme="majorHAnsi"/>
          <w:sz w:val="21"/>
          <w:szCs w:val="21"/>
        </w:rPr>
        <w:t xml:space="preserve"> (miratohen)</w:t>
      </w:r>
      <w:r w:rsidRPr="07D96137">
        <w:rPr>
          <w:rFonts w:asciiTheme="majorHAnsi" w:hAnsiTheme="majorHAnsi"/>
          <w:sz w:val="21"/>
          <w:szCs w:val="21"/>
        </w:rPr>
        <w:t xml:space="preserve"> nga Sekretari i P</w:t>
      </w:r>
      <w:r w:rsidR="00C87181" w:rsidRPr="07D96137">
        <w:rPr>
          <w:rFonts w:asciiTheme="majorHAnsi" w:hAnsiTheme="majorHAnsi"/>
          <w:sz w:val="21"/>
          <w:szCs w:val="21"/>
        </w:rPr>
        <w:t>ë</w:t>
      </w:r>
      <w:r w:rsidRPr="07D96137">
        <w:rPr>
          <w:rFonts w:asciiTheme="majorHAnsi" w:hAnsiTheme="majorHAnsi"/>
          <w:sz w:val="21"/>
          <w:szCs w:val="21"/>
        </w:rPr>
        <w:t>rgjithsh</w:t>
      </w:r>
      <w:r w:rsidR="00C87181" w:rsidRPr="07D96137">
        <w:rPr>
          <w:rFonts w:asciiTheme="majorHAnsi" w:hAnsiTheme="majorHAnsi"/>
          <w:sz w:val="21"/>
          <w:szCs w:val="21"/>
        </w:rPr>
        <w:t>ë</w:t>
      </w:r>
      <w:r w:rsidRPr="07D96137">
        <w:rPr>
          <w:rFonts w:asciiTheme="majorHAnsi" w:hAnsiTheme="majorHAnsi"/>
          <w:sz w:val="21"/>
          <w:szCs w:val="21"/>
        </w:rPr>
        <w:t xml:space="preserve">m i </w:t>
      </w:r>
      <w:r w:rsidR="476FF362" w:rsidRPr="07D96137">
        <w:rPr>
          <w:rFonts w:asciiTheme="majorHAnsi" w:hAnsiTheme="majorHAnsi"/>
          <w:sz w:val="21"/>
          <w:szCs w:val="21"/>
        </w:rPr>
        <w:t>MAPL</w:t>
      </w:r>
      <w:r w:rsidRPr="07D96137">
        <w:rPr>
          <w:rFonts w:asciiTheme="majorHAnsi" w:hAnsiTheme="majorHAnsi"/>
          <w:sz w:val="21"/>
          <w:szCs w:val="21"/>
        </w:rPr>
        <w:t>-s</w:t>
      </w:r>
      <w:r w:rsidR="00C87181" w:rsidRPr="07D96137">
        <w:rPr>
          <w:rFonts w:asciiTheme="majorHAnsi" w:hAnsiTheme="majorHAnsi"/>
          <w:sz w:val="21"/>
          <w:szCs w:val="21"/>
        </w:rPr>
        <w:t>ë</w:t>
      </w:r>
      <w:r w:rsidRPr="07D96137">
        <w:rPr>
          <w:rFonts w:asciiTheme="majorHAnsi" w:hAnsiTheme="majorHAnsi"/>
          <w:sz w:val="21"/>
          <w:szCs w:val="21"/>
        </w:rPr>
        <w:t xml:space="preserve"> dhe Kontributdh</w:t>
      </w:r>
      <w:r w:rsidR="00C87181" w:rsidRPr="07D96137">
        <w:rPr>
          <w:rFonts w:asciiTheme="majorHAnsi" w:hAnsiTheme="majorHAnsi"/>
          <w:sz w:val="21"/>
          <w:szCs w:val="21"/>
        </w:rPr>
        <w:t>ë</w:t>
      </w:r>
      <w:r w:rsidRPr="07D96137">
        <w:rPr>
          <w:rFonts w:asciiTheme="majorHAnsi" w:hAnsiTheme="majorHAnsi"/>
          <w:sz w:val="21"/>
          <w:szCs w:val="21"/>
        </w:rPr>
        <w:t>n</w:t>
      </w:r>
      <w:r w:rsidR="00C87181" w:rsidRPr="07D96137">
        <w:rPr>
          <w:rFonts w:asciiTheme="majorHAnsi" w:hAnsiTheme="majorHAnsi"/>
          <w:sz w:val="21"/>
          <w:szCs w:val="21"/>
        </w:rPr>
        <w:t>ë</w:t>
      </w:r>
      <w:r w:rsidRPr="07D96137">
        <w:rPr>
          <w:rFonts w:asciiTheme="majorHAnsi" w:hAnsiTheme="majorHAnsi"/>
          <w:sz w:val="21"/>
          <w:szCs w:val="21"/>
        </w:rPr>
        <w:t>sit e Grantit.</w:t>
      </w:r>
    </w:p>
    <w:p w14:paraId="4C4219ED" w14:textId="17EC7758" w:rsidR="00A05B98" w:rsidRPr="00924522" w:rsidRDefault="00601299" w:rsidP="009A3BEC">
      <w:pPr>
        <w:pStyle w:val="ListParagraph"/>
        <w:numPr>
          <w:ilvl w:val="0"/>
          <w:numId w:val="38"/>
        </w:numPr>
        <w:spacing w:after="0" w:line="264" w:lineRule="auto"/>
        <w:ind w:left="734" w:hanging="446"/>
        <w:jc w:val="both"/>
        <w:rPr>
          <w:rFonts w:asciiTheme="majorHAnsi" w:hAnsiTheme="majorHAnsi"/>
          <w:sz w:val="21"/>
          <w:szCs w:val="21"/>
        </w:rPr>
      </w:pPr>
      <w:r>
        <w:rPr>
          <w:rFonts w:asciiTheme="majorHAnsi" w:hAnsiTheme="majorHAnsi"/>
          <w:sz w:val="21"/>
          <w:szCs w:val="21"/>
        </w:rPr>
        <w:t xml:space="preserve">Pas aprovimit, </w:t>
      </w:r>
      <w:r w:rsidR="00A05B98" w:rsidRPr="00924522">
        <w:rPr>
          <w:rFonts w:asciiTheme="majorHAnsi" w:hAnsiTheme="majorHAnsi"/>
          <w:sz w:val="21"/>
          <w:szCs w:val="21"/>
        </w:rPr>
        <w:t xml:space="preserve">Rregullat </w:t>
      </w:r>
      <w:r>
        <w:rPr>
          <w:rFonts w:asciiTheme="majorHAnsi" w:hAnsiTheme="majorHAnsi"/>
          <w:sz w:val="21"/>
          <w:szCs w:val="21"/>
        </w:rPr>
        <w:t>e GPK-s</w:t>
      </w:r>
      <w:r w:rsidR="00CD16A4">
        <w:rPr>
          <w:rFonts w:asciiTheme="majorHAnsi" w:hAnsiTheme="majorHAnsi"/>
          <w:sz w:val="21"/>
          <w:szCs w:val="21"/>
        </w:rPr>
        <w:t>ë</w:t>
      </w:r>
      <w:r>
        <w:rPr>
          <w:rFonts w:asciiTheme="majorHAnsi" w:hAnsiTheme="majorHAnsi"/>
          <w:sz w:val="21"/>
          <w:szCs w:val="21"/>
        </w:rPr>
        <w:t xml:space="preserve"> </w:t>
      </w:r>
      <w:r w:rsidR="00A05B98" w:rsidRPr="00924522">
        <w:rPr>
          <w:rFonts w:asciiTheme="majorHAnsi" w:hAnsiTheme="majorHAnsi"/>
          <w:sz w:val="21"/>
          <w:szCs w:val="21"/>
        </w:rPr>
        <w:t xml:space="preserve">i’u </w:t>
      </w:r>
      <w:r w:rsidR="00F62CE0" w:rsidRPr="00924522">
        <w:rPr>
          <w:rFonts w:asciiTheme="majorHAnsi" w:hAnsiTheme="majorHAnsi"/>
          <w:sz w:val="21"/>
          <w:szCs w:val="21"/>
        </w:rPr>
        <w:t>shpërndahen komunave</w:t>
      </w:r>
      <w:r w:rsidR="00F30341" w:rsidRPr="00924522">
        <w:rPr>
          <w:rFonts w:asciiTheme="majorHAnsi" w:hAnsiTheme="majorHAnsi"/>
          <w:sz w:val="21"/>
          <w:szCs w:val="21"/>
        </w:rPr>
        <w:t xml:space="preserve"> dhe publikohen n</w:t>
      </w:r>
      <w:r w:rsidR="00DC0362" w:rsidRPr="00924522">
        <w:rPr>
          <w:rFonts w:asciiTheme="majorHAnsi" w:hAnsiTheme="majorHAnsi"/>
          <w:sz w:val="21"/>
          <w:szCs w:val="21"/>
        </w:rPr>
        <w:t>ë</w:t>
      </w:r>
      <w:r w:rsidR="00F30341" w:rsidRPr="00924522">
        <w:rPr>
          <w:rFonts w:asciiTheme="majorHAnsi" w:hAnsiTheme="majorHAnsi"/>
          <w:sz w:val="21"/>
          <w:szCs w:val="21"/>
        </w:rPr>
        <w:t xml:space="preserve"> uebfaqen e </w:t>
      </w:r>
      <w:r w:rsidR="00EE017C">
        <w:rPr>
          <w:rFonts w:asciiTheme="majorHAnsi" w:hAnsiTheme="majorHAnsi"/>
          <w:sz w:val="21"/>
          <w:szCs w:val="21"/>
        </w:rPr>
        <w:t>MAPL</w:t>
      </w:r>
      <w:r w:rsidR="00F62CE0" w:rsidRPr="00924522">
        <w:rPr>
          <w:rFonts w:asciiTheme="majorHAnsi" w:hAnsiTheme="majorHAnsi"/>
          <w:sz w:val="21"/>
          <w:szCs w:val="21"/>
        </w:rPr>
        <w:t xml:space="preserve">. </w:t>
      </w:r>
    </w:p>
    <w:p w14:paraId="1EE973B0" w14:textId="77777777" w:rsidR="006C4051" w:rsidRPr="00924522" w:rsidRDefault="006C4051" w:rsidP="009A3BEC">
      <w:pPr>
        <w:pStyle w:val="ListParagraph"/>
        <w:numPr>
          <w:ilvl w:val="0"/>
          <w:numId w:val="38"/>
        </w:numPr>
        <w:spacing w:after="0" w:line="264" w:lineRule="auto"/>
        <w:ind w:left="734" w:hanging="446"/>
        <w:jc w:val="both"/>
        <w:rPr>
          <w:rFonts w:asciiTheme="majorHAnsi" w:hAnsiTheme="majorHAnsi"/>
          <w:sz w:val="21"/>
          <w:szCs w:val="21"/>
        </w:rPr>
      </w:pPr>
      <w:r w:rsidRPr="00924522">
        <w:rPr>
          <w:rFonts w:asciiTheme="majorHAnsi" w:hAnsiTheme="majorHAnsi"/>
          <w:sz w:val="21"/>
          <w:szCs w:val="21"/>
        </w:rPr>
        <w:t>Procesi i vler</w:t>
      </w:r>
      <w:r w:rsidR="00C87181" w:rsidRPr="00924522">
        <w:rPr>
          <w:rFonts w:asciiTheme="majorHAnsi" w:hAnsiTheme="majorHAnsi"/>
          <w:sz w:val="21"/>
          <w:szCs w:val="21"/>
        </w:rPr>
        <w:t>ë</w:t>
      </w:r>
      <w:r w:rsidRPr="00924522">
        <w:rPr>
          <w:rFonts w:asciiTheme="majorHAnsi" w:hAnsiTheme="majorHAnsi"/>
          <w:sz w:val="21"/>
          <w:szCs w:val="21"/>
        </w:rPr>
        <w:t>simit fillon sipas afatit kohor t</w:t>
      </w:r>
      <w:r w:rsidR="00C87181" w:rsidRPr="00924522">
        <w:rPr>
          <w:rFonts w:asciiTheme="majorHAnsi" w:hAnsiTheme="majorHAnsi"/>
          <w:sz w:val="21"/>
          <w:szCs w:val="21"/>
        </w:rPr>
        <w:t>ë</w:t>
      </w:r>
      <w:r w:rsidRPr="00924522">
        <w:rPr>
          <w:rFonts w:asciiTheme="majorHAnsi" w:hAnsiTheme="majorHAnsi"/>
          <w:sz w:val="21"/>
          <w:szCs w:val="21"/>
        </w:rPr>
        <w:t xml:space="preserve"> p</w:t>
      </w:r>
      <w:r w:rsidR="00C87181" w:rsidRPr="00924522">
        <w:rPr>
          <w:rFonts w:asciiTheme="majorHAnsi" w:hAnsiTheme="majorHAnsi"/>
          <w:sz w:val="21"/>
          <w:szCs w:val="21"/>
        </w:rPr>
        <w:t>ë</w:t>
      </w:r>
      <w:r w:rsidRPr="00924522">
        <w:rPr>
          <w:rFonts w:asciiTheme="majorHAnsi" w:hAnsiTheme="majorHAnsi"/>
          <w:sz w:val="21"/>
          <w:szCs w:val="21"/>
        </w:rPr>
        <w:t>rcaktuar n</w:t>
      </w:r>
      <w:r w:rsidR="00C87181" w:rsidRPr="00924522">
        <w:rPr>
          <w:rFonts w:asciiTheme="majorHAnsi" w:hAnsiTheme="majorHAnsi"/>
          <w:sz w:val="21"/>
          <w:szCs w:val="21"/>
        </w:rPr>
        <w:t>ë</w:t>
      </w:r>
      <w:r w:rsidRPr="00924522">
        <w:rPr>
          <w:rFonts w:asciiTheme="majorHAnsi" w:hAnsiTheme="majorHAnsi"/>
          <w:sz w:val="21"/>
          <w:szCs w:val="21"/>
        </w:rPr>
        <w:t xml:space="preserve"> tabel</w:t>
      </w:r>
      <w:r w:rsidR="00C87181" w:rsidRPr="00924522">
        <w:rPr>
          <w:rFonts w:asciiTheme="majorHAnsi" w:hAnsiTheme="majorHAnsi"/>
          <w:sz w:val="21"/>
          <w:szCs w:val="21"/>
        </w:rPr>
        <w:t>ë</w:t>
      </w:r>
      <w:r w:rsidRPr="00924522">
        <w:rPr>
          <w:rFonts w:asciiTheme="majorHAnsi" w:hAnsiTheme="majorHAnsi"/>
          <w:sz w:val="21"/>
          <w:szCs w:val="21"/>
        </w:rPr>
        <w:t>n 4 t</w:t>
      </w:r>
      <w:r w:rsidR="00C87181" w:rsidRPr="00924522">
        <w:rPr>
          <w:rFonts w:asciiTheme="majorHAnsi" w:hAnsiTheme="majorHAnsi"/>
          <w:sz w:val="21"/>
          <w:szCs w:val="21"/>
        </w:rPr>
        <w:t>ë</w:t>
      </w:r>
      <w:r w:rsidRPr="00924522">
        <w:rPr>
          <w:rFonts w:asciiTheme="majorHAnsi" w:hAnsiTheme="majorHAnsi"/>
          <w:sz w:val="21"/>
          <w:szCs w:val="21"/>
        </w:rPr>
        <w:t xml:space="preserve"> k</w:t>
      </w:r>
      <w:r w:rsidR="00C87181" w:rsidRPr="00924522">
        <w:rPr>
          <w:rFonts w:asciiTheme="majorHAnsi" w:hAnsiTheme="majorHAnsi"/>
          <w:sz w:val="21"/>
          <w:szCs w:val="21"/>
        </w:rPr>
        <w:t>ë</w:t>
      </w:r>
      <w:r w:rsidRPr="00924522">
        <w:rPr>
          <w:rFonts w:asciiTheme="majorHAnsi" w:hAnsiTheme="majorHAnsi"/>
          <w:sz w:val="21"/>
          <w:szCs w:val="21"/>
        </w:rPr>
        <w:t xml:space="preserve">tyre rregullave. </w:t>
      </w:r>
    </w:p>
    <w:p w14:paraId="7D07F190" w14:textId="77777777" w:rsidR="006C4051" w:rsidRDefault="006C4051" w:rsidP="009E1360">
      <w:pPr>
        <w:spacing w:before="60" w:line="264" w:lineRule="auto"/>
        <w:jc w:val="both"/>
        <w:rPr>
          <w:rFonts w:asciiTheme="majorHAnsi" w:hAnsiTheme="majorHAnsi"/>
          <w:sz w:val="21"/>
          <w:szCs w:val="21"/>
        </w:rPr>
      </w:pPr>
    </w:p>
    <w:p w14:paraId="34CB1E38" w14:textId="77777777" w:rsidR="00CD79F5" w:rsidRDefault="00CD79F5" w:rsidP="00CD79F5">
      <w:pPr>
        <w:ind w:left="567"/>
        <w:jc w:val="both"/>
        <w:rPr>
          <w:rFonts w:asciiTheme="majorHAnsi" w:hAnsiTheme="majorHAnsi"/>
          <w:sz w:val="12"/>
          <w:szCs w:val="12"/>
        </w:rPr>
      </w:pPr>
    </w:p>
    <w:p w14:paraId="6F531C63" w14:textId="77777777" w:rsidR="00CD79F5" w:rsidRPr="006216C8" w:rsidRDefault="00CD79F5" w:rsidP="009A3BEC">
      <w:pPr>
        <w:pStyle w:val="Heading1"/>
        <w:numPr>
          <w:ilvl w:val="2"/>
          <w:numId w:val="29"/>
        </w:numPr>
        <w:tabs>
          <w:tab w:val="left" w:pos="540"/>
        </w:tabs>
        <w:rPr>
          <w:rFonts w:asciiTheme="majorHAnsi" w:hAnsiTheme="majorHAnsi"/>
          <w:sz w:val="24"/>
          <w:lang w:val="sq-AL"/>
        </w:rPr>
      </w:pPr>
      <w:bookmarkStart w:id="60" w:name="_Toc31029008"/>
      <w:bookmarkStart w:id="61" w:name="_Toc31194806"/>
      <w:bookmarkStart w:id="62" w:name="_Toc61062537"/>
      <w:r w:rsidRPr="006216C8">
        <w:rPr>
          <w:rFonts w:asciiTheme="majorHAnsi" w:hAnsiTheme="majorHAnsi"/>
          <w:sz w:val="24"/>
          <w:lang w:val="sq-AL"/>
        </w:rPr>
        <w:t>Mbledhja dhe vlerësimi i të dhënave</w:t>
      </w:r>
      <w:bookmarkEnd w:id="60"/>
      <w:bookmarkEnd w:id="61"/>
      <w:bookmarkEnd w:id="62"/>
    </w:p>
    <w:p w14:paraId="6274FE32" w14:textId="77777777" w:rsidR="009B686C" w:rsidRPr="00F35DDD"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Grupi </w:t>
      </w:r>
      <w:r w:rsidR="00FD49B4" w:rsidRPr="00F35DDD">
        <w:rPr>
          <w:rFonts w:asciiTheme="majorHAnsi" w:hAnsiTheme="majorHAnsi"/>
          <w:sz w:val="21"/>
          <w:szCs w:val="21"/>
        </w:rPr>
        <w:t>t</w:t>
      </w:r>
      <w:r w:rsidRPr="00F35DDD">
        <w:rPr>
          <w:rFonts w:asciiTheme="majorHAnsi" w:hAnsiTheme="majorHAnsi"/>
          <w:sz w:val="21"/>
          <w:szCs w:val="21"/>
        </w:rPr>
        <w:t xml:space="preserve">eknik mbledh të dhënat për vlerësimin e </w:t>
      </w:r>
      <w:r w:rsidR="009B686C" w:rsidRPr="00F35DDD">
        <w:rPr>
          <w:rFonts w:asciiTheme="majorHAnsi" w:hAnsiTheme="majorHAnsi"/>
          <w:sz w:val="21"/>
          <w:szCs w:val="21"/>
        </w:rPr>
        <w:t>grantit t</w:t>
      </w:r>
      <w:r w:rsidR="00C87181" w:rsidRPr="00F35DDD">
        <w:rPr>
          <w:rFonts w:asciiTheme="majorHAnsi" w:hAnsiTheme="majorHAnsi"/>
          <w:sz w:val="21"/>
          <w:szCs w:val="21"/>
        </w:rPr>
        <w:t>ë</w:t>
      </w:r>
      <w:r w:rsidR="009B686C" w:rsidRPr="00F35DDD">
        <w:rPr>
          <w:rFonts w:asciiTheme="majorHAnsi" w:hAnsiTheme="majorHAnsi"/>
          <w:sz w:val="21"/>
          <w:szCs w:val="21"/>
        </w:rPr>
        <w:t xml:space="preserve"> performanc</w:t>
      </w:r>
      <w:r w:rsidR="00C87181" w:rsidRPr="00F35DDD">
        <w:rPr>
          <w:rFonts w:asciiTheme="majorHAnsi" w:hAnsiTheme="majorHAnsi"/>
          <w:sz w:val="21"/>
          <w:szCs w:val="21"/>
        </w:rPr>
        <w:t>ë</w:t>
      </w:r>
      <w:r w:rsidR="009B686C" w:rsidRPr="00F35DDD">
        <w:rPr>
          <w:rFonts w:asciiTheme="majorHAnsi" w:hAnsiTheme="majorHAnsi"/>
          <w:sz w:val="21"/>
          <w:szCs w:val="21"/>
        </w:rPr>
        <w:t>s komunale</w:t>
      </w:r>
      <w:r w:rsidRPr="00F35DDD">
        <w:rPr>
          <w:rFonts w:asciiTheme="majorHAnsi" w:hAnsiTheme="majorHAnsi"/>
          <w:sz w:val="21"/>
          <w:szCs w:val="21"/>
        </w:rPr>
        <w:t xml:space="preserve">. Këto të dhëna </w:t>
      </w:r>
      <w:r w:rsidR="00BB1193" w:rsidRPr="00F35DDD">
        <w:rPr>
          <w:rFonts w:asciiTheme="majorHAnsi" w:hAnsiTheme="majorHAnsi"/>
          <w:sz w:val="21"/>
          <w:szCs w:val="21"/>
        </w:rPr>
        <w:t xml:space="preserve">burojnë </w:t>
      </w:r>
      <w:r w:rsidRPr="00F35DDD">
        <w:rPr>
          <w:rFonts w:asciiTheme="majorHAnsi" w:hAnsiTheme="majorHAnsi"/>
          <w:sz w:val="21"/>
          <w:szCs w:val="21"/>
        </w:rPr>
        <w:t xml:space="preserve">nga </w:t>
      </w:r>
      <w:r w:rsidR="00BB1193" w:rsidRPr="00F35DDD">
        <w:rPr>
          <w:rFonts w:asciiTheme="majorHAnsi" w:hAnsiTheme="majorHAnsi"/>
          <w:sz w:val="21"/>
          <w:szCs w:val="21"/>
        </w:rPr>
        <w:t xml:space="preserve">dokumentet </w:t>
      </w:r>
      <w:r w:rsidRPr="00F35DDD">
        <w:rPr>
          <w:rFonts w:asciiTheme="majorHAnsi" w:hAnsiTheme="majorHAnsi"/>
          <w:sz w:val="21"/>
          <w:szCs w:val="21"/>
        </w:rPr>
        <w:t xml:space="preserve">e mëposhtme: </w:t>
      </w:r>
    </w:p>
    <w:p w14:paraId="3D48A44C" w14:textId="063EF48C" w:rsidR="009B686C" w:rsidRDefault="00CD79F5" w:rsidP="07D96137">
      <w:pPr>
        <w:pStyle w:val="ListParagraph"/>
        <w:numPr>
          <w:ilvl w:val="0"/>
          <w:numId w:val="28"/>
        </w:numPr>
        <w:spacing w:after="0" w:line="264" w:lineRule="auto"/>
        <w:jc w:val="both"/>
        <w:rPr>
          <w:rFonts w:asciiTheme="majorHAnsi" w:hAnsiTheme="majorHAnsi"/>
          <w:sz w:val="21"/>
          <w:szCs w:val="21"/>
        </w:rPr>
      </w:pPr>
      <w:r w:rsidRPr="07D96137">
        <w:rPr>
          <w:rFonts w:asciiTheme="majorHAnsi" w:hAnsiTheme="majorHAnsi"/>
          <w:sz w:val="21"/>
          <w:szCs w:val="21"/>
        </w:rPr>
        <w:t xml:space="preserve">Raporti i </w:t>
      </w:r>
      <w:r w:rsidR="00CD16A4" w:rsidRPr="07D96137">
        <w:rPr>
          <w:rFonts w:asciiTheme="majorHAnsi" w:hAnsiTheme="majorHAnsi"/>
          <w:sz w:val="21"/>
          <w:szCs w:val="21"/>
        </w:rPr>
        <w:t>S</w:t>
      </w:r>
      <w:r w:rsidRPr="07D96137">
        <w:rPr>
          <w:rFonts w:asciiTheme="majorHAnsi" w:hAnsiTheme="majorHAnsi"/>
          <w:sz w:val="21"/>
          <w:szCs w:val="21"/>
        </w:rPr>
        <w:t xml:space="preserve">istemit për </w:t>
      </w:r>
      <w:r w:rsidR="00CD16A4" w:rsidRPr="07D96137">
        <w:rPr>
          <w:rFonts w:asciiTheme="majorHAnsi" w:hAnsiTheme="majorHAnsi"/>
          <w:sz w:val="21"/>
          <w:szCs w:val="21"/>
        </w:rPr>
        <w:t>M</w:t>
      </w:r>
      <w:r w:rsidRPr="07D96137">
        <w:rPr>
          <w:rFonts w:asciiTheme="majorHAnsi" w:hAnsiTheme="majorHAnsi"/>
          <w:sz w:val="21"/>
          <w:szCs w:val="21"/>
        </w:rPr>
        <w:t xml:space="preserve">enaxhimin e </w:t>
      </w:r>
      <w:r w:rsidR="00CD16A4" w:rsidRPr="07D96137">
        <w:rPr>
          <w:rFonts w:asciiTheme="majorHAnsi" w:hAnsiTheme="majorHAnsi"/>
          <w:sz w:val="21"/>
          <w:szCs w:val="21"/>
        </w:rPr>
        <w:t>P</w:t>
      </w:r>
      <w:r w:rsidRPr="07D96137">
        <w:rPr>
          <w:rFonts w:asciiTheme="majorHAnsi" w:hAnsiTheme="majorHAnsi"/>
          <w:sz w:val="21"/>
          <w:szCs w:val="21"/>
        </w:rPr>
        <w:t xml:space="preserve">erformancës </w:t>
      </w:r>
      <w:r w:rsidR="00CD16A4" w:rsidRPr="07D96137">
        <w:rPr>
          <w:rFonts w:asciiTheme="majorHAnsi" w:hAnsiTheme="majorHAnsi"/>
          <w:sz w:val="21"/>
          <w:szCs w:val="21"/>
        </w:rPr>
        <w:t>K</w:t>
      </w:r>
      <w:r w:rsidR="002301B3" w:rsidRPr="07D96137">
        <w:rPr>
          <w:rFonts w:asciiTheme="majorHAnsi" w:hAnsiTheme="majorHAnsi"/>
          <w:sz w:val="21"/>
          <w:szCs w:val="21"/>
        </w:rPr>
        <w:t xml:space="preserve">omunale </w:t>
      </w:r>
      <w:r w:rsidR="009B686C" w:rsidRPr="07D96137">
        <w:rPr>
          <w:rFonts w:asciiTheme="majorHAnsi" w:hAnsiTheme="majorHAnsi"/>
          <w:sz w:val="21"/>
          <w:szCs w:val="21"/>
        </w:rPr>
        <w:t>p</w:t>
      </w:r>
      <w:r w:rsidR="00C87181" w:rsidRPr="07D96137">
        <w:rPr>
          <w:rFonts w:asciiTheme="majorHAnsi" w:hAnsiTheme="majorHAnsi"/>
          <w:sz w:val="21"/>
          <w:szCs w:val="21"/>
        </w:rPr>
        <w:t>ë</w:t>
      </w:r>
      <w:r w:rsidR="009B686C" w:rsidRPr="07D96137">
        <w:rPr>
          <w:rFonts w:asciiTheme="majorHAnsi" w:hAnsiTheme="majorHAnsi"/>
          <w:sz w:val="21"/>
          <w:szCs w:val="21"/>
        </w:rPr>
        <w:t>r vitin 20</w:t>
      </w:r>
      <w:r w:rsidR="00484EAE" w:rsidRPr="07D96137">
        <w:rPr>
          <w:rFonts w:asciiTheme="majorHAnsi" w:hAnsiTheme="majorHAnsi"/>
          <w:sz w:val="21"/>
          <w:szCs w:val="21"/>
        </w:rPr>
        <w:t>2</w:t>
      </w:r>
      <w:r w:rsidR="009B044C">
        <w:rPr>
          <w:rFonts w:asciiTheme="majorHAnsi" w:hAnsiTheme="majorHAnsi"/>
          <w:sz w:val="21"/>
          <w:szCs w:val="21"/>
        </w:rPr>
        <w:t>1</w:t>
      </w:r>
      <w:r w:rsidR="009B686C" w:rsidRPr="07D96137">
        <w:rPr>
          <w:rFonts w:asciiTheme="majorHAnsi" w:hAnsiTheme="majorHAnsi"/>
          <w:sz w:val="21"/>
          <w:szCs w:val="21"/>
        </w:rPr>
        <w:t xml:space="preserve"> </w:t>
      </w:r>
      <w:r w:rsidRPr="07D96137">
        <w:rPr>
          <w:rFonts w:asciiTheme="majorHAnsi" w:hAnsiTheme="majorHAnsi"/>
          <w:sz w:val="21"/>
          <w:szCs w:val="21"/>
        </w:rPr>
        <w:t>(SMP</w:t>
      </w:r>
      <w:r w:rsidR="002301B3" w:rsidRPr="07D96137">
        <w:rPr>
          <w:rFonts w:asciiTheme="majorHAnsi" w:hAnsiTheme="majorHAnsi"/>
          <w:sz w:val="21"/>
          <w:szCs w:val="21"/>
        </w:rPr>
        <w:t>K</w:t>
      </w:r>
      <w:r w:rsidRPr="07D96137">
        <w:rPr>
          <w:rFonts w:asciiTheme="majorHAnsi" w:hAnsiTheme="majorHAnsi"/>
          <w:sz w:val="21"/>
          <w:szCs w:val="21"/>
        </w:rPr>
        <w:t>)</w:t>
      </w:r>
      <w:r w:rsidR="007D0210" w:rsidRPr="07D96137">
        <w:rPr>
          <w:rFonts w:asciiTheme="majorHAnsi" w:hAnsiTheme="majorHAnsi"/>
          <w:sz w:val="21"/>
          <w:szCs w:val="21"/>
        </w:rPr>
        <w:t xml:space="preserve"> </w:t>
      </w:r>
      <w:r w:rsidR="009B686C" w:rsidRPr="07D96137">
        <w:rPr>
          <w:rFonts w:asciiTheme="majorHAnsi" w:hAnsiTheme="majorHAnsi"/>
          <w:sz w:val="21"/>
          <w:szCs w:val="21"/>
        </w:rPr>
        <w:t xml:space="preserve">i </w:t>
      </w:r>
      <w:r w:rsidR="7410D615" w:rsidRPr="07D96137">
        <w:rPr>
          <w:rFonts w:asciiTheme="majorHAnsi" w:hAnsiTheme="majorHAnsi"/>
          <w:sz w:val="21"/>
          <w:szCs w:val="21"/>
        </w:rPr>
        <w:t>MAPL</w:t>
      </w:r>
      <w:r w:rsidR="009B686C" w:rsidRPr="07D96137">
        <w:rPr>
          <w:rFonts w:asciiTheme="majorHAnsi" w:hAnsiTheme="majorHAnsi"/>
          <w:sz w:val="21"/>
          <w:szCs w:val="21"/>
        </w:rPr>
        <w:t>-s</w:t>
      </w:r>
      <w:r w:rsidR="00C87181" w:rsidRPr="07D96137">
        <w:rPr>
          <w:rFonts w:asciiTheme="majorHAnsi" w:hAnsiTheme="majorHAnsi"/>
          <w:sz w:val="21"/>
          <w:szCs w:val="21"/>
        </w:rPr>
        <w:t>ë</w:t>
      </w:r>
      <w:r w:rsidR="00CD16A4" w:rsidRPr="07D96137">
        <w:rPr>
          <w:rFonts w:asciiTheme="majorHAnsi" w:hAnsiTheme="majorHAnsi"/>
          <w:sz w:val="21"/>
          <w:szCs w:val="21"/>
        </w:rPr>
        <w:t xml:space="preserve">, i publikuar nga </w:t>
      </w:r>
      <w:r w:rsidR="2FECF63E" w:rsidRPr="07D96137">
        <w:rPr>
          <w:rFonts w:asciiTheme="majorHAnsi" w:hAnsiTheme="majorHAnsi"/>
          <w:sz w:val="21"/>
          <w:szCs w:val="21"/>
        </w:rPr>
        <w:t>MAPL</w:t>
      </w:r>
      <w:r w:rsidR="003E544D" w:rsidRPr="07D96137">
        <w:rPr>
          <w:rFonts w:asciiTheme="majorHAnsi" w:hAnsiTheme="majorHAnsi"/>
          <w:sz w:val="21"/>
          <w:szCs w:val="21"/>
        </w:rPr>
        <w:t>;</w:t>
      </w:r>
      <w:r w:rsidRPr="07D96137">
        <w:rPr>
          <w:rFonts w:asciiTheme="majorHAnsi" w:hAnsiTheme="majorHAnsi"/>
          <w:sz w:val="21"/>
          <w:szCs w:val="21"/>
        </w:rPr>
        <w:t xml:space="preserve"> </w:t>
      </w:r>
    </w:p>
    <w:p w14:paraId="0F5A08EA" w14:textId="63C86E55" w:rsidR="000041DD" w:rsidRPr="003B5AB6" w:rsidRDefault="000041DD" w:rsidP="000041DD">
      <w:pPr>
        <w:pStyle w:val="ListParagraph"/>
        <w:numPr>
          <w:ilvl w:val="0"/>
          <w:numId w:val="28"/>
        </w:numPr>
        <w:spacing w:after="0" w:line="264" w:lineRule="auto"/>
        <w:jc w:val="both"/>
        <w:rPr>
          <w:rFonts w:asciiTheme="majorHAnsi" w:hAnsiTheme="majorHAnsi"/>
          <w:sz w:val="21"/>
          <w:szCs w:val="21"/>
        </w:rPr>
      </w:pPr>
      <w:r>
        <w:rPr>
          <w:rFonts w:asciiTheme="majorHAnsi" w:hAnsiTheme="majorHAnsi"/>
          <w:sz w:val="21"/>
          <w:szCs w:val="21"/>
        </w:rPr>
        <w:t>Raporti i funksionimit të komunave të Kosovës për vitin 202</w:t>
      </w:r>
      <w:r w:rsidR="009B044C">
        <w:rPr>
          <w:rFonts w:asciiTheme="majorHAnsi" w:hAnsiTheme="majorHAnsi"/>
          <w:sz w:val="21"/>
          <w:szCs w:val="21"/>
        </w:rPr>
        <w:t>1</w:t>
      </w:r>
      <w:r>
        <w:rPr>
          <w:rFonts w:asciiTheme="majorHAnsi" w:hAnsiTheme="majorHAnsi"/>
          <w:sz w:val="21"/>
          <w:szCs w:val="21"/>
        </w:rPr>
        <w:t xml:space="preserve"> i </w:t>
      </w:r>
      <w:r w:rsidR="009B044C">
        <w:rPr>
          <w:rFonts w:asciiTheme="majorHAnsi" w:hAnsiTheme="majorHAnsi"/>
          <w:sz w:val="21"/>
          <w:szCs w:val="21"/>
        </w:rPr>
        <w:t xml:space="preserve">publikuar </w:t>
      </w:r>
      <w:r>
        <w:rPr>
          <w:rFonts w:asciiTheme="majorHAnsi" w:hAnsiTheme="majorHAnsi"/>
          <w:sz w:val="21"/>
          <w:szCs w:val="21"/>
        </w:rPr>
        <w:t>MAPL-së</w:t>
      </w:r>
    </w:p>
    <w:p w14:paraId="26D3D32C" w14:textId="187CCC8D" w:rsidR="009B686C" w:rsidRPr="00F35DDD" w:rsidRDefault="009B686C" w:rsidP="009A3BEC">
      <w:pPr>
        <w:pStyle w:val="ListParagraph"/>
        <w:numPr>
          <w:ilvl w:val="0"/>
          <w:numId w:val="28"/>
        </w:numPr>
        <w:spacing w:after="0" w:line="264" w:lineRule="auto"/>
        <w:jc w:val="both"/>
        <w:rPr>
          <w:rFonts w:asciiTheme="majorHAnsi" w:hAnsiTheme="majorHAnsi"/>
          <w:sz w:val="21"/>
          <w:szCs w:val="21"/>
        </w:rPr>
      </w:pPr>
      <w:r w:rsidRPr="00F35DDD">
        <w:rPr>
          <w:rFonts w:asciiTheme="majorHAnsi" w:hAnsiTheme="majorHAnsi"/>
          <w:sz w:val="21"/>
          <w:szCs w:val="21"/>
        </w:rPr>
        <w:t xml:space="preserve">Raportet </w:t>
      </w:r>
      <w:r w:rsidR="00CD79F5" w:rsidRPr="00F35DDD">
        <w:rPr>
          <w:rFonts w:asciiTheme="majorHAnsi" w:hAnsiTheme="majorHAnsi"/>
          <w:sz w:val="21"/>
          <w:szCs w:val="21"/>
        </w:rPr>
        <w:t xml:space="preserve">e auditimit </w:t>
      </w:r>
      <w:r w:rsidR="002301B3" w:rsidRPr="00F35DDD">
        <w:rPr>
          <w:rFonts w:asciiTheme="majorHAnsi" w:hAnsiTheme="majorHAnsi"/>
          <w:sz w:val="21"/>
          <w:szCs w:val="21"/>
        </w:rPr>
        <w:t>t</w:t>
      </w:r>
      <w:r w:rsidR="00DC0362" w:rsidRPr="00F35DDD">
        <w:rPr>
          <w:rFonts w:asciiTheme="majorHAnsi" w:hAnsiTheme="majorHAnsi"/>
          <w:sz w:val="21"/>
          <w:szCs w:val="21"/>
        </w:rPr>
        <w:t>ë</w:t>
      </w:r>
      <w:r w:rsidR="002301B3" w:rsidRPr="00F35DDD">
        <w:rPr>
          <w:rFonts w:asciiTheme="majorHAnsi" w:hAnsiTheme="majorHAnsi"/>
          <w:sz w:val="21"/>
          <w:szCs w:val="21"/>
        </w:rPr>
        <w:t xml:space="preserve"> rregullsis</w:t>
      </w:r>
      <w:r w:rsidR="00DC0362" w:rsidRPr="00F35DDD">
        <w:rPr>
          <w:rFonts w:asciiTheme="majorHAnsi" w:hAnsiTheme="majorHAnsi"/>
          <w:sz w:val="21"/>
          <w:szCs w:val="21"/>
        </w:rPr>
        <w:t>ë</w:t>
      </w:r>
      <w:r w:rsidR="002301B3" w:rsidRPr="00F35DDD">
        <w:rPr>
          <w:rFonts w:asciiTheme="majorHAnsi" w:hAnsiTheme="majorHAnsi"/>
          <w:sz w:val="21"/>
          <w:szCs w:val="21"/>
        </w:rPr>
        <w:t xml:space="preserve"> </w:t>
      </w:r>
      <w:r w:rsidR="00CD79F5" w:rsidRPr="00F35DDD">
        <w:rPr>
          <w:rFonts w:asciiTheme="majorHAnsi" w:hAnsiTheme="majorHAnsi"/>
          <w:sz w:val="21"/>
          <w:szCs w:val="21"/>
        </w:rPr>
        <w:t xml:space="preserve">për </w:t>
      </w:r>
      <w:r w:rsidR="009B044C">
        <w:rPr>
          <w:rFonts w:asciiTheme="majorHAnsi" w:hAnsiTheme="majorHAnsi"/>
          <w:sz w:val="21"/>
          <w:szCs w:val="21"/>
        </w:rPr>
        <w:t xml:space="preserve">vitin 2021 pë </w:t>
      </w:r>
      <w:r w:rsidR="00CD79F5" w:rsidRPr="00F35DDD">
        <w:rPr>
          <w:rFonts w:asciiTheme="majorHAnsi" w:hAnsiTheme="majorHAnsi"/>
          <w:sz w:val="21"/>
          <w:szCs w:val="21"/>
        </w:rPr>
        <w:t>secilën prej 38 komunave</w:t>
      </w:r>
      <w:r w:rsidR="00BB1193" w:rsidRPr="00F35DDD">
        <w:rPr>
          <w:rFonts w:asciiTheme="majorHAnsi" w:hAnsiTheme="majorHAnsi"/>
          <w:sz w:val="21"/>
          <w:szCs w:val="21"/>
        </w:rPr>
        <w:t>,</w:t>
      </w:r>
      <w:r w:rsidR="00CD79F5" w:rsidRPr="00F35DDD">
        <w:rPr>
          <w:rFonts w:asciiTheme="majorHAnsi" w:hAnsiTheme="majorHAnsi"/>
          <w:sz w:val="21"/>
          <w:szCs w:val="21"/>
        </w:rPr>
        <w:t xml:space="preserve"> të </w:t>
      </w:r>
      <w:r w:rsidR="00BB1193" w:rsidRPr="00F35DDD">
        <w:rPr>
          <w:rFonts w:asciiTheme="majorHAnsi" w:hAnsiTheme="majorHAnsi"/>
          <w:sz w:val="21"/>
          <w:szCs w:val="21"/>
        </w:rPr>
        <w:t xml:space="preserve">publikuara </w:t>
      </w:r>
      <w:r w:rsidR="00CD79F5" w:rsidRPr="00F35DDD">
        <w:rPr>
          <w:rFonts w:asciiTheme="majorHAnsi" w:hAnsiTheme="majorHAnsi"/>
          <w:sz w:val="21"/>
          <w:szCs w:val="21"/>
        </w:rPr>
        <w:t>nga ZKA</w:t>
      </w:r>
      <w:r w:rsidR="000A675F" w:rsidRPr="00F35DDD">
        <w:rPr>
          <w:rFonts w:asciiTheme="majorHAnsi" w:hAnsiTheme="majorHAnsi"/>
          <w:sz w:val="21"/>
          <w:szCs w:val="21"/>
        </w:rPr>
        <w:t xml:space="preserve">; </w:t>
      </w:r>
    </w:p>
    <w:p w14:paraId="65965F82" w14:textId="714C80A5" w:rsidR="00CD79F5" w:rsidRPr="00D812D8" w:rsidRDefault="004310D7" w:rsidP="00F35DDD">
      <w:pPr>
        <w:spacing w:before="60" w:line="264" w:lineRule="auto"/>
        <w:jc w:val="both"/>
        <w:rPr>
          <w:rFonts w:asciiTheme="majorHAnsi" w:hAnsiTheme="majorHAnsi"/>
          <w:sz w:val="21"/>
          <w:szCs w:val="21"/>
          <w:highlight w:val="green"/>
        </w:rPr>
      </w:pPr>
      <w:r>
        <w:rPr>
          <w:rFonts w:asciiTheme="majorHAnsi" w:hAnsiTheme="majorHAnsi"/>
          <w:sz w:val="21"/>
          <w:szCs w:val="21"/>
        </w:rPr>
        <w:lastRenderedPageBreak/>
        <w:t>T</w:t>
      </w:r>
      <w:r w:rsidR="00C87181">
        <w:rPr>
          <w:rFonts w:asciiTheme="majorHAnsi" w:hAnsiTheme="majorHAnsi"/>
          <w:sz w:val="21"/>
          <w:szCs w:val="21"/>
        </w:rPr>
        <w:t>ë</w:t>
      </w:r>
      <w:r>
        <w:rPr>
          <w:rFonts w:asciiTheme="majorHAnsi" w:hAnsiTheme="majorHAnsi"/>
          <w:sz w:val="21"/>
          <w:szCs w:val="21"/>
        </w:rPr>
        <w:t xml:space="preserve"> dh</w:t>
      </w:r>
      <w:r w:rsidR="00C87181">
        <w:rPr>
          <w:rFonts w:asciiTheme="majorHAnsi" w:hAnsiTheme="majorHAnsi"/>
          <w:sz w:val="21"/>
          <w:szCs w:val="21"/>
        </w:rPr>
        <w:t>ë</w:t>
      </w:r>
      <w:r>
        <w:rPr>
          <w:rFonts w:asciiTheme="majorHAnsi" w:hAnsiTheme="majorHAnsi"/>
          <w:sz w:val="21"/>
          <w:szCs w:val="21"/>
        </w:rPr>
        <w:t>nat e p</w:t>
      </w:r>
      <w:r w:rsidR="00C87181">
        <w:rPr>
          <w:rFonts w:asciiTheme="majorHAnsi" w:hAnsiTheme="majorHAnsi"/>
          <w:sz w:val="21"/>
          <w:szCs w:val="21"/>
        </w:rPr>
        <w:t>ë</w:t>
      </w:r>
      <w:r>
        <w:rPr>
          <w:rFonts w:asciiTheme="majorHAnsi" w:hAnsiTheme="majorHAnsi"/>
          <w:sz w:val="21"/>
          <w:szCs w:val="21"/>
        </w:rPr>
        <w:t>rdorura nga k</w:t>
      </w:r>
      <w:r w:rsidR="00C87181">
        <w:rPr>
          <w:rFonts w:asciiTheme="majorHAnsi" w:hAnsiTheme="majorHAnsi"/>
          <w:sz w:val="21"/>
          <w:szCs w:val="21"/>
        </w:rPr>
        <w:t>ë</w:t>
      </w:r>
      <w:r>
        <w:rPr>
          <w:rFonts w:asciiTheme="majorHAnsi" w:hAnsiTheme="majorHAnsi"/>
          <w:sz w:val="21"/>
          <w:szCs w:val="21"/>
        </w:rPr>
        <w:t>to burime mund</w:t>
      </w:r>
      <w:r w:rsidR="00C87181">
        <w:rPr>
          <w:rFonts w:asciiTheme="majorHAnsi" w:hAnsiTheme="majorHAnsi"/>
          <w:sz w:val="21"/>
          <w:szCs w:val="21"/>
        </w:rPr>
        <w:t>ë</w:t>
      </w:r>
      <w:r>
        <w:rPr>
          <w:rFonts w:asciiTheme="majorHAnsi" w:hAnsiTheme="majorHAnsi"/>
          <w:sz w:val="21"/>
          <w:szCs w:val="21"/>
        </w:rPr>
        <w:t>sojn</w:t>
      </w:r>
      <w:r w:rsidR="00C87181">
        <w:rPr>
          <w:rFonts w:asciiTheme="majorHAnsi" w:hAnsiTheme="majorHAnsi"/>
          <w:sz w:val="21"/>
          <w:szCs w:val="21"/>
        </w:rPr>
        <w:t>ë</w:t>
      </w:r>
      <w:r>
        <w:rPr>
          <w:rFonts w:asciiTheme="majorHAnsi" w:hAnsiTheme="majorHAnsi"/>
          <w:sz w:val="21"/>
          <w:szCs w:val="21"/>
        </w:rPr>
        <w:t xml:space="preserve"> identifikimin e komunave t</w:t>
      </w:r>
      <w:r w:rsidR="00C87181">
        <w:rPr>
          <w:rFonts w:asciiTheme="majorHAnsi" w:hAnsiTheme="majorHAnsi"/>
          <w:sz w:val="21"/>
          <w:szCs w:val="21"/>
        </w:rPr>
        <w:t>ë</w:t>
      </w:r>
      <w:r>
        <w:rPr>
          <w:rFonts w:asciiTheme="majorHAnsi" w:hAnsiTheme="majorHAnsi"/>
          <w:sz w:val="21"/>
          <w:szCs w:val="21"/>
        </w:rPr>
        <w:t xml:space="preserve"> cilat </w:t>
      </w:r>
      <w:r w:rsidR="009B044C">
        <w:rPr>
          <w:rFonts w:asciiTheme="majorHAnsi" w:hAnsiTheme="majorHAnsi"/>
          <w:sz w:val="21"/>
          <w:szCs w:val="21"/>
        </w:rPr>
        <w:t>katër</w:t>
      </w:r>
      <w:r>
        <w:rPr>
          <w:rFonts w:asciiTheme="majorHAnsi" w:hAnsiTheme="majorHAnsi"/>
          <w:sz w:val="21"/>
          <w:szCs w:val="21"/>
        </w:rPr>
        <w:t xml:space="preserve"> kushtet minimale p</w:t>
      </w:r>
      <w:r w:rsidR="00C87181">
        <w:rPr>
          <w:rFonts w:asciiTheme="majorHAnsi" w:hAnsiTheme="majorHAnsi"/>
          <w:sz w:val="21"/>
          <w:szCs w:val="21"/>
        </w:rPr>
        <w:t>ë</w:t>
      </w:r>
      <w:r>
        <w:rPr>
          <w:rFonts w:asciiTheme="majorHAnsi" w:hAnsiTheme="majorHAnsi"/>
          <w:sz w:val="21"/>
          <w:szCs w:val="21"/>
        </w:rPr>
        <w:t>r grantin e performanc</w:t>
      </w:r>
      <w:r w:rsidR="00C87181">
        <w:rPr>
          <w:rFonts w:asciiTheme="majorHAnsi" w:hAnsiTheme="majorHAnsi"/>
          <w:sz w:val="21"/>
          <w:szCs w:val="21"/>
        </w:rPr>
        <w:t>ë</w:t>
      </w:r>
      <w:r>
        <w:rPr>
          <w:rFonts w:asciiTheme="majorHAnsi" w:hAnsiTheme="majorHAnsi"/>
          <w:sz w:val="21"/>
          <w:szCs w:val="21"/>
        </w:rPr>
        <w:t>s</w:t>
      </w:r>
      <w:r w:rsidR="00A40956">
        <w:rPr>
          <w:rFonts w:asciiTheme="majorHAnsi" w:hAnsiTheme="majorHAnsi"/>
          <w:sz w:val="21"/>
          <w:szCs w:val="21"/>
        </w:rPr>
        <w:t xml:space="preserve"> komunale</w:t>
      </w:r>
      <w:r>
        <w:rPr>
          <w:rFonts w:asciiTheme="majorHAnsi" w:hAnsiTheme="majorHAnsi"/>
          <w:sz w:val="21"/>
          <w:szCs w:val="21"/>
        </w:rPr>
        <w:t xml:space="preserve"> (shih Shtojc</w:t>
      </w:r>
      <w:r w:rsidR="00C87181">
        <w:rPr>
          <w:rFonts w:asciiTheme="majorHAnsi" w:hAnsiTheme="majorHAnsi"/>
          <w:sz w:val="21"/>
          <w:szCs w:val="21"/>
        </w:rPr>
        <w:t>ë</w:t>
      </w:r>
      <w:r>
        <w:rPr>
          <w:rFonts w:asciiTheme="majorHAnsi" w:hAnsiTheme="majorHAnsi"/>
          <w:sz w:val="21"/>
          <w:szCs w:val="21"/>
        </w:rPr>
        <w:t>n 1). T</w:t>
      </w:r>
      <w:r w:rsidR="00C87181">
        <w:rPr>
          <w:rFonts w:asciiTheme="majorHAnsi" w:hAnsiTheme="majorHAnsi"/>
          <w:sz w:val="21"/>
          <w:szCs w:val="21"/>
        </w:rPr>
        <w:t>ë</w:t>
      </w:r>
      <w:r>
        <w:rPr>
          <w:rFonts w:asciiTheme="majorHAnsi" w:hAnsiTheme="majorHAnsi"/>
          <w:sz w:val="21"/>
          <w:szCs w:val="21"/>
        </w:rPr>
        <w:t xml:space="preserve"> dh</w:t>
      </w:r>
      <w:r w:rsidR="00C87181">
        <w:rPr>
          <w:rFonts w:asciiTheme="majorHAnsi" w:hAnsiTheme="majorHAnsi"/>
          <w:sz w:val="21"/>
          <w:szCs w:val="21"/>
        </w:rPr>
        <w:t>ë</w:t>
      </w:r>
      <w:r>
        <w:rPr>
          <w:rFonts w:asciiTheme="majorHAnsi" w:hAnsiTheme="majorHAnsi"/>
          <w:sz w:val="21"/>
          <w:szCs w:val="21"/>
        </w:rPr>
        <w:t>nat po ashtu p</w:t>
      </w:r>
      <w:r w:rsidR="00C87181">
        <w:rPr>
          <w:rFonts w:asciiTheme="majorHAnsi" w:hAnsiTheme="majorHAnsi"/>
          <w:sz w:val="21"/>
          <w:szCs w:val="21"/>
        </w:rPr>
        <w:t>ë</w:t>
      </w:r>
      <w:r>
        <w:rPr>
          <w:rFonts w:asciiTheme="majorHAnsi" w:hAnsiTheme="majorHAnsi"/>
          <w:sz w:val="21"/>
          <w:szCs w:val="21"/>
        </w:rPr>
        <w:t>rdoren p</w:t>
      </w:r>
      <w:r w:rsidR="00C87181">
        <w:rPr>
          <w:rFonts w:asciiTheme="majorHAnsi" w:hAnsiTheme="majorHAnsi"/>
          <w:sz w:val="21"/>
          <w:szCs w:val="21"/>
        </w:rPr>
        <w:t>ë</w:t>
      </w:r>
      <w:r>
        <w:rPr>
          <w:rFonts w:asciiTheme="majorHAnsi" w:hAnsiTheme="majorHAnsi"/>
          <w:sz w:val="21"/>
          <w:szCs w:val="21"/>
        </w:rPr>
        <w:t>r t</w:t>
      </w:r>
      <w:r w:rsidR="00C87181">
        <w:rPr>
          <w:rFonts w:asciiTheme="majorHAnsi" w:hAnsiTheme="majorHAnsi"/>
          <w:sz w:val="21"/>
          <w:szCs w:val="21"/>
        </w:rPr>
        <w:t>ë</w:t>
      </w:r>
      <w:r>
        <w:rPr>
          <w:rFonts w:asciiTheme="majorHAnsi" w:hAnsiTheme="majorHAnsi"/>
          <w:sz w:val="21"/>
          <w:szCs w:val="21"/>
        </w:rPr>
        <w:t xml:space="preserve"> vler</w:t>
      </w:r>
      <w:r w:rsidR="00C87181">
        <w:rPr>
          <w:rFonts w:asciiTheme="majorHAnsi" w:hAnsiTheme="majorHAnsi"/>
          <w:sz w:val="21"/>
          <w:szCs w:val="21"/>
        </w:rPr>
        <w:t>ë</w:t>
      </w:r>
      <w:r>
        <w:rPr>
          <w:rFonts w:asciiTheme="majorHAnsi" w:hAnsiTheme="majorHAnsi"/>
          <w:sz w:val="21"/>
          <w:szCs w:val="21"/>
        </w:rPr>
        <w:t>suar treguesit e GPK-s</w:t>
      </w:r>
      <w:r w:rsidR="00C87181">
        <w:rPr>
          <w:rFonts w:asciiTheme="majorHAnsi" w:hAnsiTheme="majorHAnsi"/>
          <w:sz w:val="21"/>
          <w:szCs w:val="21"/>
        </w:rPr>
        <w:t>ë</w:t>
      </w:r>
      <w:r>
        <w:rPr>
          <w:rFonts w:asciiTheme="majorHAnsi" w:hAnsiTheme="majorHAnsi"/>
          <w:sz w:val="21"/>
          <w:szCs w:val="21"/>
        </w:rPr>
        <w:t xml:space="preserve"> (shih Shtojc</w:t>
      </w:r>
      <w:r w:rsidR="00C87181">
        <w:rPr>
          <w:rFonts w:asciiTheme="majorHAnsi" w:hAnsiTheme="majorHAnsi"/>
          <w:sz w:val="21"/>
          <w:szCs w:val="21"/>
        </w:rPr>
        <w:t>ë</w:t>
      </w:r>
      <w:r>
        <w:rPr>
          <w:rFonts w:asciiTheme="majorHAnsi" w:hAnsiTheme="majorHAnsi"/>
          <w:sz w:val="21"/>
          <w:szCs w:val="21"/>
        </w:rPr>
        <w:t>n 2).</w:t>
      </w:r>
      <w:r w:rsidR="00CD79F5" w:rsidRPr="00D812D8">
        <w:rPr>
          <w:rFonts w:asciiTheme="majorHAnsi" w:hAnsiTheme="majorHAnsi"/>
          <w:sz w:val="21"/>
          <w:szCs w:val="21"/>
        </w:rPr>
        <w:t xml:space="preserve"> </w:t>
      </w:r>
      <w:r w:rsidR="00C22D37" w:rsidRPr="00D812D8">
        <w:rPr>
          <w:rFonts w:asciiTheme="majorHAnsi" w:hAnsiTheme="majorHAnsi"/>
          <w:sz w:val="21"/>
          <w:szCs w:val="21"/>
        </w:rPr>
        <w:t xml:space="preserve">Pas </w:t>
      </w:r>
      <w:r w:rsidR="003B7803" w:rsidRPr="00D812D8">
        <w:rPr>
          <w:rFonts w:asciiTheme="majorHAnsi" w:hAnsiTheme="majorHAnsi"/>
          <w:sz w:val="21"/>
          <w:szCs w:val="21"/>
        </w:rPr>
        <w:t>k</w:t>
      </w:r>
      <w:r w:rsidR="00210D4C" w:rsidRPr="00D812D8">
        <w:rPr>
          <w:rFonts w:asciiTheme="majorHAnsi" w:hAnsiTheme="majorHAnsi"/>
          <w:sz w:val="21"/>
          <w:szCs w:val="21"/>
        </w:rPr>
        <w:t>ë</w:t>
      </w:r>
      <w:r w:rsidR="003B7803" w:rsidRPr="00D812D8">
        <w:rPr>
          <w:rFonts w:asciiTheme="majorHAnsi" w:hAnsiTheme="majorHAnsi"/>
          <w:sz w:val="21"/>
          <w:szCs w:val="21"/>
        </w:rPr>
        <w:t>saj</w:t>
      </w:r>
      <w:r w:rsidR="00CD79F5" w:rsidRPr="00D812D8">
        <w:rPr>
          <w:rFonts w:asciiTheme="majorHAnsi" w:hAnsiTheme="majorHAnsi"/>
          <w:sz w:val="21"/>
          <w:szCs w:val="21"/>
        </w:rPr>
        <w:t xml:space="preserve">, </w:t>
      </w:r>
      <w:r w:rsidR="00F23EC0" w:rsidRPr="00D812D8">
        <w:rPr>
          <w:rFonts w:asciiTheme="majorHAnsi" w:hAnsiTheme="majorHAnsi"/>
          <w:sz w:val="21"/>
          <w:szCs w:val="21"/>
        </w:rPr>
        <w:t xml:space="preserve">fletëvlerësimi </w:t>
      </w:r>
      <w:r w:rsidR="00CD79F5" w:rsidRPr="00D812D8">
        <w:rPr>
          <w:rFonts w:asciiTheme="majorHAnsi" w:hAnsiTheme="majorHAnsi"/>
          <w:sz w:val="21"/>
          <w:szCs w:val="21"/>
        </w:rPr>
        <w:t>(shih shabllonin në shtojcën 3) do të plotësohet me rezultate</w:t>
      </w:r>
      <w:r w:rsidR="003B7803" w:rsidRPr="00D812D8">
        <w:rPr>
          <w:rFonts w:asciiTheme="majorHAnsi" w:hAnsiTheme="majorHAnsi"/>
          <w:sz w:val="21"/>
          <w:szCs w:val="21"/>
        </w:rPr>
        <w:t>t</w:t>
      </w:r>
      <w:r w:rsidR="00CD79F5" w:rsidRPr="00D812D8">
        <w:rPr>
          <w:rFonts w:asciiTheme="majorHAnsi" w:hAnsiTheme="majorHAnsi"/>
          <w:sz w:val="21"/>
          <w:szCs w:val="21"/>
        </w:rPr>
        <w:t xml:space="preserve"> për çdo komunë. Pikët totale do të regjistrohen në tabelën e </w:t>
      </w:r>
      <w:r w:rsidR="00005886" w:rsidRPr="00D812D8">
        <w:rPr>
          <w:rFonts w:asciiTheme="majorHAnsi" w:hAnsiTheme="majorHAnsi"/>
          <w:sz w:val="21"/>
          <w:szCs w:val="21"/>
        </w:rPr>
        <w:t>ndarjes s</w:t>
      </w:r>
      <w:r w:rsidR="00CD79F5" w:rsidRPr="00D812D8">
        <w:rPr>
          <w:rFonts w:asciiTheme="majorHAnsi" w:hAnsiTheme="majorHAnsi"/>
          <w:sz w:val="21"/>
          <w:szCs w:val="21"/>
        </w:rPr>
        <w:t>ë grant</w:t>
      </w:r>
      <w:r w:rsidR="00005886" w:rsidRPr="00D812D8">
        <w:rPr>
          <w:rFonts w:asciiTheme="majorHAnsi" w:hAnsiTheme="majorHAnsi"/>
          <w:sz w:val="21"/>
          <w:szCs w:val="21"/>
        </w:rPr>
        <w:t>it,</w:t>
      </w:r>
      <w:r w:rsidR="00CD79F5" w:rsidRPr="00D812D8">
        <w:rPr>
          <w:rFonts w:asciiTheme="majorHAnsi" w:hAnsiTheme="majorHAnsi"/>
          <w:sz w:val="21"/>
          <w:szCs w:val="21"/>
        </w:rPr>
        <w:t xml:space="preserve"> e cila do të llogarisë shumën e grantit </w:t>
      </w:r>
      <w:r w:rsidR="00005886" w:rsidRPr="00D812D8">
        <w:rPr>
          <w:rFonts w:asciiTheme="majorHAnsi" w:hAnsiTheme="majorHAnsi"/>
          <w:sz w:val="21"/>
          <w:szCs w:val="21"/>
        </w:rPr>
        <w:t>të</w:t>
      </w:r>
      <w:r w:rsidR="00CD79F5" w:rsidRPr="00D812D8">
        <w:rPr>
          <w:rFonts w:asciiTheme="majorHAnsi" w:hAnsiTheme="majorHAnsi"/>
          <w:sz w:val="21"/>
          <w:szCs w:val="21"/>
        </w:rPr>
        <w:t xml:space="preserve"> </w:t>
      </w:r>
      <w:r w:rsidR="00674C44" w:rsidRPr="00D812D8">
        <w:rPr>
          <w:rFonts w:asciiTheme="majorHAnsi" w:hAnsiTheme="majorHAnsi"/>
          <w:sz w:val="21"/>
          <w:szCs w:val="21"/>
        </w:rPr>
        <w:t>performancës komunale</w:t>
      </w:r>
      <w:r w:rsidR="00CD79F5" w:rsidRPr="00D812D8">
        <w:rPr>
          <w:rFonts w:asciiTheme="majorHAnsi" w:hAnsiTheme="majorHAnsi"/>
          <w:sz w:val="21"/>
          <w:szCs w:val="21"/>
        </w:rPr>
        <w:t xml:space="preserve"> për secilën komunë që është kualifikuar (shtojca 4).</w:t>
      </w:r>
    </w:p>
    <w:p w14:paraId="54DAEC12" w14:textId="77777777" w:rsidR="00CD79F5" w:rsidRPr="004D2E1C" w:rsidRDefault="00CD79F5" w:rsidP="00CD79F5">
      <w:pPr>
        <w:jc w:val="both"/>
        <w:rPr>
          <w:sz w:val="20"/>
          <w:szCs w:val="20"/>
        </w:rPr>
      </w:pPr>
    </w:p>
    <w:p w14:paraId="6D9F5351" w14:textId="77777777" w:rsidR="00CD79F5" w:rsidRPr="006216C8" w:rsidRDefault="00CD79F5" w:rsidP="009A3BEC">
      <w:pPr>
        <w:pStyle w:val="Heading1"/>
        <w:numPr>
          <w:ilvl w:val="2"/>
          <w:numId w:val="29"/>
        </w:numPr>
        <w:tabs>
          <w:tab w:val="left" w:pos="540"/>
        </w:tabs>
        <w:rPr>
          <w:rFonts w:asciiTheme="majorHAnsi" w:hAnsiTheme="majorHAnsi"/>
          <w:lang w:val="sq-AL"/>
        </w:rPr>
      </w:pPr>
      <w:bookmarkStart w:id="63" w:name="_Toc31029009"/>
      <w:bookmarkStart w:id="64" w:name="_Toc31194807"/>
      <w:bookmarkStart w:id="65" w:name="_Toc61062538"/>
      <w:r w:rsidRPr="006216C8">
        <w:rPr>
          <w:rFonts w:asciiTheme="majorHAnsi" w:hAnsiTheme="majorHAnsi"/>
          <w:sz w:val="24"/>
          <w:lang w:val="sq-AL"/>
        </w:rPr>
        <w:t xml:space="preserve">Komunikimi </w:t>
      </w:r>
      <w:r w:rsidR="00992430" w:rsidRPr="006216C8">
        <w:rPr>
          <w:rFonts w:asciiTheme="majorHAnsi" w:hAnsiTheme="majorHAnsi"/>
          <w:sz w:val="24"/>
          <w:lang w:val="sq-AL"/>
        </w:rPr>
        <w:t xml:space="preserve">i rezultateve </w:t>
      </w:r>
      <w:r w:rsidR="00226BF1" w:rsidRPr="006216C8">
        <w:rPr>
          <w:rFonts w:asciiTheme="majorHAnsi" w:hAnsiTheme="majorHAnsi"/>
          <w:sz w:val="24"/>
          <w:lang w:val="sq-AL"/>
        </w:rPr>
        <w:t xml:space="preserve">të </w:t>
      </w:r>
      <w:r w:rsidR="00992430" w:rsidRPr="006216C8">
        <w:rPr>
          <w:rFonts w:asciiTheme="majorHAnsi" w:hAnsiTheme="majorHAnsi"/>
          <w:sz w:val="24"/>
          <w:lang w:val="sq-AL"/>
        </w:rPr>
        <w:t xml:space="preserve">komunave </w:t>
      </w:r>
      <w:r w:rsidRPr="006216C8">
        <w:rPr>
          <w:rFonts w:asciiTheme="majorHAnsi" w:hAnsiTheme="majorHAnsi"/>
          <w:sz w:val="24"/>
          <w:lang w:val="sq-AL"/>
        </w:rPr>
        <w:t xml:space="preserve">dhe procedura </w:t>
      </w:r>
      <w:r w:rsidR="00005886" w:rsidRPr="006216C8">
        <w:rPr>
          <w:rFonts w:asciiTheme="majorHAnsi" w:hAnsiTheme="majorHAnsi"/>
          <w:sz w:val="24"/>
          <w:lang w:val="sq-AL"/>
        </w:rPr>
        <w:t xml:space="preserve">e </w:t>
      </w:r>
      <w:bookmarkEnd w:id="63"/>
      <w:bookmarkEnd w:id="64"/>
      <w:r w:rsidR="009D560B" w:rsidRPr="006216C8">
        <w:rPr>
          <w:rFonts w:asciiTheme="majorHAnsi" w:hAnsiTheme="majorHAnsi"/>
          <w:sz w:val="24"/>
          <w:lang w:val="sq-AL"/>
        </w:rPr>
        <w:t>ankesës</w:t>
      </w:r>
      <w:bookmarkEnd w:id="65"/>
    </w:p>
    <w:p w14:paraId="144C3008" w14:textId="40F851A4" w:rsidR="00CD79F5" w:rsidRPr="00D812D8" w:rsidRDefault="00CD79F5" w:rsidP="00363711">
      <w:pPr>
        <w:spacing w:before="60" w:line="264" w:lineRule="auto"/>
        <w:jc w:val="both"/>
        <w:rPr>
          <w:rFonts w:ascii="Courier New" w:hAnsi="Courier New" w:cs="Courier New"/>
          <w:sz w:val="21"/>
          <w:szCs w:val="21"/>
        </w:rPr>
      </w:pPr>
      <w:r w:rsidRPr="004D2E1C">
        <w:rPr>
          <w:rFonts w:asciiTheme="majorHAnsi" w:hAnsiTheme="majorHAnsi"/>
          <w:sz w:val="21"/>
          <w:szCs w:val="21"/>
        </w:rPr>
        <w:t xml:space="preserve">Pasi </w:t>
      </w:r>
      <w:r w:rsidR="00BB1193">
        <w:rPr>
          <w:rFonts w:asciiTheme="majorHAnsi" w:hAnsiTheme="majorHAnsi"/>
          <w:sz w:val="21"/>
          <w:szCs w:val="21"/>
        </w:rPr>
        <w:t>që K</w:t>
      </w:r>
      <w:r w:rsidR="00BB1193" w:rsidRPr="004D2E1C">
        <w:rPr>
          <w:rFonts w:asciiTheme="majorHAnsi" w:hAnsiTheme="majorHAnsi"/>
          <w:sz w:val="21"/>
          <w:szCs w:val="21"/>
        </w:rPr>
        <w:t xml:space="preserve">omisioni </w:t>
      </w:r>
      <w:r w:rsidRPr="004D2E1C">
        <w:rPr>
          <w:rFonts w:asciiTheme="majorHAnsi" w:hAnsiTheme="majorHAnsi"/>
          <w:sz w:val="21"/>
          <w:szCs w:val="21"/>
        </w:rPr>
        <w:t xml:space="preserve">i </w:t>
      </w:r>
      <w:r w:rsidR="00020D27">
        <w:rPr>
          <w:rFonts w:asciiTheme="majorHAnsi" w:hAnsiTheme="majorHAnsi"/>
          <w:sz w:val="21"/>
          <w:szCs w:val="21"/>
        </w:rPr>
        <w:t>GPK-s</w:t>
      </w:r>
      <w:r w:rsidR="007B6F16">
        <w:rPr>
          <w:rFonts w:asciiTheme="majorHAnsi" w:hAnsiTheme="majorHAnsi"/>
          <w:sz w:val="21"/>
          <w:szCs w:val="21"/>
        </w:rPr>
        <w:t>ë</w:t>
      </w:r>
      <w:r w:rsidRPr="004D2E1C">
        <w:rPr>
          <w:rFonts w:asciiTheme="majorHAnsi" w:hAnsiTheme="majorHAnsi"/>
          <w:sz w:val="21"/>
          <w:szCs w:val="21"/>
        </w:rPr>
        <w:t xml:space="preserve"> të ketë miratuar </w:t>
      </w:r>
      <w:r w:rsidR="00020D27">
        <w:rPr>
          <w:rFonts w:asciiTheme="majorHAnsi" w:hAnsiTheme="majorHAnsi"/>
          <w:sz w:val="21"/>
          <w:szCs w:val="21"/>
        </w:rPr>
        <w:t xml:space="preserve">rezultatet e </w:t>
      </w:r>
      <w:r w:rsidRPr="004D2E1C">
        <w:rPr>
          <w:rFonts w:asciiTheme="majorHAnsi" w:hAnsiTheme="majorHAnsi"/>
          <w:sz w:val="21"/>
          <w:szCs w:val="21"/>
        </w:rPr>
        <w:t xml:space="preserve">vlerësimit </w:t>
      </w:r>
      <w:r w:rsidR="00020D27">
        <w:rPr>
          <w:rFonts w:asciiTheme="majorHAnsi" w:hAnsiTheme="majorHAnsi"/>
          <w:sz w:val="21"/>
          <w:szCs w:val="21"/>
        </w:rPr>
        <w:t>p</w:t>
      </w:r>
      <w:r w:rsidR="007B6F16">
        <w:rPr>
          <w:rFonts w:asciiTheme="majorHAnsi" w:hAnsiTheme="majorHAnsi"/>
          <w:sz w:val="21"/>
          <w:szCs w:val="21"/>
        </w:rPr>
        <w:t>ë</w:t>
      </w:r>
      <w:r w:rsidR="00020D27">
        <w:rPr>
          <w:rFonts w:asciiTheme="majorHAnsi" w:hAnsiTheme="majorHAnsi"/>
          <w:sz w:val="21"/>
          <w:szCs w:val="21"/>
        </w:rPr>
        <w:t>r GPK</w:t>
      </w:r>
      <w:r w:rsidRPr="004A693D">
        <w:rPr>
          <w:rFonts w:asciiTheme="majorHAnsi" w:hAnsiTheme="majorHAnsi"/>
          <w:sz w:val="21"/>
          <w:szCs w:val="21"/>
        </w:rPr>
        <w:t xml:space="preserve">, </w:t>
      </w:r>
      <w:r w:rsidR="00DC6C2C" w:rsidRPr="004A693D">
        <w:rPr>
          <w:rFonts w:asciiTheme="majorHAnsi" w:hAnsiTheme="majorHAnsi"/>
          <w:sz w:val="21"/>
          <w:szCs w:val="21"/>
        </w:rPr>
        <w:t xml:space="preserve">brenda </w:t>
      </w:r>
      <w:r w:rsidR="002301B3">
        <w:rPr>
          <w:rFonts w:asciiTheme="majorHAnsi" w:hAnsiTheme="majorHAnsi"/>
          <w:sz w:val="21"/>
          <w:szCs w:val="21"/>
        </w:rPr>
        <w:t>7</w:t>
      </w:r>
      <w:r w:rsidR="00DC6C2C" w:rsidRPr="004A693D">
        <w:rPr>
          <w:rFonts w:asciiTheme="majorHAnsi" w:hAnsiTheme="majorHAnsi"/>
          <w:sz w:val="21"/>
          <w:szCs w:val="21"/>
        </w:rPr>
        <w:t xml:space="preserve"> dit</w:t>
      </w:r>
      <w:r w:rsidR="001C397B" w:rsidRPr="004A693D">
        <w:rPr>
          <w:rFonts w:asciiTheme="majorHAnsi" w:hAnsiTheme="majorHAnsi"/>
          <w:sz w:val="21"/>
          <w:szCs w:val="21"/>
        </w:rPr>
        <w:t>ë</w:t>
      </w:r>
      <w:r w:rsidR="002301B3">
        <w:rPr>
          <w:rFonts w:asciiTheme="majorHAnsi" w:hAnsiTheme="majorHAnsi"/>
          <w:sz w:val="21"/>
          <w:szCs w:val="21"/>
        </w:rPr>
        <w:t>sh</w:t>
      </w:r>
      <w:r w:rsidR="005D2929">
        <w:rPr>
          <w:rFonts w:asciiTheme="majorHAnsi" w:hAnsiTheme="majorHAnsi"/>
          <w:sz w:val="21"/>
          <w:szCs w:val="21"/>
        </w:rPr>
        <w:t>,</w:t>
      </w:r>
      <w:r w:rsidR="00DC6C2C" w:rsidRPr="004A693D">
        <w:rPr>
          <w:rFonts w:asciiTheme="majorHAnsi" w:hAnsiTheme="majorHAnsi"/>
          <w:sz w:val="21"/>
          <w:szCs w:val="21"/>
        </w:rPr>
        <w:t xml:space="preserve"> </w:t>
      </w:r>
      <w:r w:rsidR="005D2929">
        <w:rPr>
          <w:rFonts w:asciiTheme="majorHAnsi" w:hAnsiTheme="majorHAnsi"/>
          <w:sz w:val="21"/>
          <w:szCs w:val="21"/>
        </w:rPr>
        <w:t xml:space="preserve">komunikon </w:t>
      </w:r>
      <w:r w:rsidR="00BC4C24" w:rsidRPr="004A693D">
        <w:rPr>
          <w:rFonts w:asciiTheme="majorHAnsi" w:hAnsiTheme="majorHAnsi"/>
          <w:sz w:val="21"/>
          <w:szCs w:val="21"/>
        </w:rPr>
        <w:t>fletëvlerësimet</w:t>
      </w:r>
      <w:r w:rsidRPr="004A693D">
        <w:rPr>
          <w:rFonts w:asciiTheme="majorHAnsi" w:hAnsiTheme="majorHAnsi"/>
          <w:sz w:val="21"/>
          <w:szCs w:val="21"/>
        </w:rPr>
        <w:t xml:space="preserve"> </w:t>
      </w:r>
      <w:r w:rsidR="005D2929">
        <w:rPr>
          <w:rFonts w:asciiTheme="majorHAnsi" w:hAnsiTheme="majorHAnsi"/>
          <w:sz w:val="21"/>
          <w:szCs w:val="21"/>
        </w:rPr>
        <w:t>n</w:t>
      </w:r>
      <w:r w:rsidR="007B6F16">
        <w:rPr>
          <w:rFonts w:asciiTheme="majorHAnsi" w:hAnsiTheme="majorHAnsi"/>
          <w:sz w:val="21"/>
          <w:szCs w:val="21"/>
        </w:rPr>
        <w:t>ë</w:t>
      </w:r>
      <w:r w:rsidR="005D2929">
        <w:rPr>
          <w:rFonts w:asciiTheme="majorHAnsi" w:hAnsiTheme="majorHAnsi"/>
          <w:sz w:val="21"/>
          <w:szCs w:val="21"/>
        </w:rPr>
        <w:t xml:space="preserve"> komuna</w:t>
      </w:r>
      <w:r w:rsidR="004A693D" w:rsidRPr="004A693D">
        <w:rPr>
          <w:rFonts w:asciiTheme="majorHAnsi" w:hAnsiTheme="majorHAnsi"/>
          <w:sz w:val="21"/>
          <w:szCs w:val="21"/>
        </w:rPr>
        <w:t xml:space="preserve">. </w:t>
      </w:r>
      <w:r w:rsidR="00084256">
        <w:rPr>
          <w:rFonts w:asciiTheme="majorHAnsi" w:hAnsiTheme="majorHAnsi"/>
          <w:sz w:val="21"/>
          <w:szCs w:val="21"/>
        </w:rPr>
        <w:t>Komunikimi i rezultateve të performancës së komunës p</w:t>
      </w:r>
      <w:r w:rsidR="00084256" w:rsidRPr="00D812D8">
        <w:rPr>
          <w:rFonts w:asciiTheme="majorHAnsi" w:hAnsiTheme="majorHAnsi"/>
          <w:sz w:val="21"/>
          <w:szCs w:val="21"/>
        </w:rPr>
        <w:t>ërkatëse</w:t>
      </w:r>
      <w:r w:rsidR="00084256">
        <w:rPr>
          <w:rFonts w:asciiTheme="majorHAnsi" w:hAnsiTheme="majorHAnsi"/>
          <w:sz w:val="21"/>
          <w:szCs w:val="21"/>
        </w:rPr>
        <w:t xml:space="preserve"> </w:t>
      </w:r>
      <w:r w:rsidR="00501FA8">
        <w:rPr>
          <w:rFonts w:asciiTheme="majorHAnsi" w:hAnsiTheme="majorHAnsi"/>
          <w:sz w:val="21"/>
          <w:szCs w:val="21"/>
        </w:rPr>
        <w:t>b</w:t>
      </w:r>
      <w:r w:rsidR="007B6F16">
        <w:rPr>
          <w:rFonts w:asciiTheme="majorHAnsi" w:hAnsiTheme="majorHAnsi"/>
          <w:sz w:val="21"/>
          <w:szCs w:val="21"/>
        </w:rPr>
        <w:t>ë</w:t>
      </w:r>
      <w:r w:rsidR="00501FA8">
        <w:rPr>
          <w:rFonts w:asciiTheme="majorHAnsi" w:hAnsiTheme="majorHAnsi"/>
          <w:sz w:val="21"/>
          <w:szCs w:val="21"/>
        </w:rPr>
        <w:t xml:space="preserve">het </w:t>
      </w:r>
      <w:r w:rsidR="00084256">
        <w:rPr>
          <w:rFonts w:asciiTheme="majorHAnsi" w:hAnsiTheme="majorHAnsi"/>
          <w:sz w:val="21"/>
          <w:szCs w:val="21"/>
        </w:rPr>
        <w:t xml:space="preserve">vetëm për </w:t>
      </w:r>
      <w:r w:rsidR="00501FA8">
        <w:rPr>
          <w:rFonts w:asciiTheme="majorHAnsi" w:hAnsiTheme="majorHAnsi"/>
          <w:sz w:val="21"/>
          <w:szCs w:val="21"/>
        </w:rPr>
        <w:t>dh</w:t>
      </w:r>
      <w:r w:rsidR="007B6F16">
        <w:rPr>
          <w:rFonts w:asciiTheme="majorHAnsi" w:hAnsiTheme="majorHAnsi"/>
          <w:sz w:val="21"/>
          <w:szCs w:val="21"/>
        </w:rPr>
        <w:t>ë</w:t>
      </w:r>
      <w:r w:rsidR="00501FA8">
        <w:rPr>
          <w:rFonts w:asciiTheme="majorHAnsi" w:hAnsiTheme="majorHAnsi"/>
          <w:sz w:val="21"/>
          <w:szCs w:val="21"/>
        </w:rPr>
        <w:t>nie t</w:t>
      </w:r>
      <w:r w:rsidR="007B6F16">
        <w:rPr>
          <w:rFonts w:asciiTheme="majorHAnsi" w:hAnsiTheme="majorHAnsi"/>
          <w:sz w:val="21"/>
          <w:szCs w:val="21"/>
        </w:rPr>
        <w:t>ë</w:t>
      </w:r>
      <w:r w:rsidR="00501FA8">
        <w:rPr>
          <w:rFonts w:asciiTheme="majorHAnsi" w:hAnsiTheme="majorHAnsi"/>
          <w:sz w:val="21"/>
          <w:szCs w:val="21"/>
        </w:rPr>
        <w:t xml:space="preserve"> informat</w:t>
      </w:r>
      <w:r w:rsidR="007B6F16">
        <w:rPr>
          <w:rFonts w:asciiTheme="majorHAnsi" w:hAnsiTheme="majorHAnsi"/>
          <w:sz w:val="21"/>
          <w:szCs w:val="21"/>
        </w:rPr>
        <w:t>ë</w:t>
      </w:r>
      <w:r w:rsidR="00501FA8">
        <w:rPr>
          <w:rFonts w:asciiTheme="majorHAnsi" w:hAnsiTheme="majorHAnsi"/>
          <w:sz w:val="21"/>
          <w:szCs w:val="21"/>
        </w:rPr>
        <w:t>s n</w:t>
      </w:r>
      <w:r w:rsidR="007B6F16">
        <w:rPr>
          <w:rFonts w:asciiTheme="majorHAnsi" w:hAnsiTheme="majorHAnsi"/>
          <w:sz w:val="21"/>
          <w:szCs w:val="21"/>
        </w:rPr>
        <w:t>ë</w:t>
      </w:r>
      <w:r w:rsidR="00501FA8">
        <w:rPr>
          <w:rFonts w:asciiTheme="majorHAnsi" w:hAnsiTheme="majorHAnsi"/>
          <w:sz w:val="21"/>
          <w:szCs w:val="21"/>
        </w:rPr>
        <w:t xml:space="preserve">se komuna </w:t>
      </w:r>
      <w:r w:rsidR="007B6F16">
        <w:rPr>
          <w:rFonts w:asciiTheme="majorHAnsi" w:hAnsiTheme="majorHAnsi"/>
          <w:sz w:val="21"/>
          <w:szCs w:val="21"/>
        </w:rPr>
        <w:t>ë</w:t>
      </w:r>
      <w:r w:rsidR="00501FA8">
        <w:rPr>
          <w:rFonts w:asciiTheme="majorHAnsi" w:hAnsiTheme="majorHAnsi"/>
          <w:sz w:val="21"/>
          <w:szCs w:val="21"/>
        </w:rPr>
        <w:t>sht</w:t>
      </w:r>
      <w:r w:rsidR="007B6F16">
        <w:rPr>
          <w:rFonts w:asciiTheme="majorHAnsi" w:hAnsiTheme="majorHAnsi"/>
          <w:sz w:val="21"/>
          <w:szCs w:val="21"/>
        </w:rPr>
        <w:t>ë</w:t>
      </w:r>
      <w:r w:rsidR="00501FA8">
        <w:rPr>
          <w:rFonts w:asciiTheme="majorHAnsi" w:hAnsiTheme="majorHAnsi"/>
          <w:sz w:val="21"/>
          <w:szCs w:val="21"/>
        </w:rPr>
        <w:t xml:space="preserve"> kualifikuar ose jo, si dhe pik</w:t>
      </w:r>
      <w:r w:rsidR="007B6F16">
        <w:rPr>
          <w:rFonts w:asciiTheme="majorHAnsi" w:hAnsiTheme="majorHAnsi"/>
          <w:sz w:val="21"/>
          <w:szCs w:val="21"/>
        </w:rPr>
        <w:t>ë</w:t>
      </w:r>
      <w:r w:rsidR="00501FA8">
        <w:rPr>
          <w:rFonts w:asciiTheme="majorHAnsi" w:hAnsiTheme="majorHAnsi"/>
          <w:sz w:val="21"/>
          <w:szCs w:val="21"/>
        </w:rPr>
        <w:t>ve t</w:t>
      </w:r>
      <w:r w:rsidR="007B6F16">
        <w:rPr>
          <w:rFonts w:asciiTheme="majorHAnsi" w:hAnsiTheme="majorHAnsi"/>
          <w:sz w:val="21"/>
          <w:szCs w:val="21"/>
        </w:rPr>
        <w:t>ë</w:t>
      </w:r>
      <w:r w:rsidR="00501FA8">
        <w:rPr>
          <w:rFonts w:asciiTheme="majorHAnsi" w:hAnsiTheme="majorHAnsi"/>
          <w:sz w:val="21"/>
          <w:szCs w:val="21"/>
        </w:rPr>
        <w:t xml:space="preserve"> performanc</w:t>
      </w:r>
      <w:r w:rsidR="007B6F16">
        <w:rPr>
          <w:rFonts w:asciiTheme="majorHAnsi" w:hAnsiTheme="majorHAnsi"/>
          <w:sz w:val="21"/>
          <w:szCs w:val="21"/>
        </w:rPr>
        <w:t>ë</w:t>
      </w:r>
      <w:r w:rsidR="00501FA8">
        <w:rPr>
          <w:rFonts w:asciiTheme="majorHAnsi" w:hAnsiTheme="majorHAnsi"/>
          <w:sz w:val="21"/>
          <w:szCs w:val="21"/>
        </w:rPr>
        <w:t xml:space="preserve">s </w:t>
      </w:r>
      <w:r w:rsidR="00084256">
        <w:rPr>
          <w:rFonts w:asciiTheme="majorHAnsi" w:hAnsiTheme="majorHAnsi"/>
          <w:sz w:val="21"/>
          <w:szCs w:val="21"/>
        </w:rPr>
        <w:t xml:space="preserve">për GPK. Shumat dhe rangimi i komunave do të </w:t>
      </w:r>
      <w:r w:rsidR="00084256" w:rsidRPr="00D812D8">
        <w:rPr>
          <w:rFonts w:asciiTheme="majorHAnsi" w:hAnsiTheme="majorHAnsi"/>
          <w:sz w:val="21"/>
          <w:szCs w:val="21"/>
        </w:rPr>
        <w:t xml:space="preserve">komunikohen </w:t>
      </w:r>
      <w:r w:rsidR="00EE017C">
        <w:rPr>
          <w:rFonts w:asciiTheme="majorHAnsi" w:hAnsiTheme="majorHAnsi"/>
          <w:sz w:val="21"/>
          <w:szCs w:val="21"/>
        </w:rPr>
        <w:t xml:space="preserve">vetëm </w:t>
      </w:r>
      <w:r w:rsidR="00084256">
        <w:rPr>
          <w:rFonts w:asciiTheme="majorHAnsi" w:hAnsiTheme="majorHAnsi"/>
          <w:sz w:val="21"/>
          <w:szCs w:val="21"/>
        </w:rPr>
        <w:t>pas</w:t>
      </w:r>
      <w:r w:rsidR="00E50E26">
        <w:rPr>
          <w:rFonts w:asciiTheme="majorHAnsi" w:hAnsiTheme="majorHAnsi"/>
          <w:sz w:val="21"/>
          <w:szCs w:val="21"/>
        </w:rPr>
        <w:t xml:space="preserve"> p</w:t>
      </w:r>
      <w:r w:rsidR="00C87181">
        <w:rPr>
          <w:rFonts w:asciiTheme="majorHAnsi" w:hAnsiTheme="majorHAnsi"/>
          <w:sz w:val="21"/>
          <w:szCs w:val="21"/>
        </w:rPr>
        <w:t>ë</w:t>
      </w:r>
      <w:r w:rsidR="00E50E26">
        <w:rPr>
          <w:rFonts w:asciiTheme="majorHAnsi" w:hAnsiTheme="majorHAnsi"/>
          <w:sz w:val="21"/>
          <w:szCs w:val="21"/>
        </w:rPr>
        <w:t>rmbylljes s</w:t>
      </w:r>
      <w:r w:rsidR="00C87181">
        <w:rPr>
          <w:rFonts w:asciiTheme="majorHAnsi" w:hAnsiTheme="majorHAnsi"/>
          <w:sz w:val="21"/>
          <w:szCs w:val="21"/>
        </w:rPr>
        <w:t>ë</w:t>
      </w:r>
      <w:r w:rsidR="00E50E26">
        <w:rPr>
          <w:rFonts w:asciiTheme="majorHAnsi" w:hAnsiTheme="majorHAnsi"/>
          <w:sz w:val="21"/>
          <w:szCs w:val="21"/>
        </w:rPr>
        <w:t xml:space="preserve"> procesit t</w:t>
      </w:r>
      <w:r w:rsidR="00C87181">
        <w:rPr>
          <w:rFonts w:asciiTheme="majorHAnsi" w:hAnsiTheme="majorHAnsi"/>
          <w:sz w:val="21"/>
          <w:szCs w:val="21"/>
        </w:rPr>
        <w:t>ë</w:t>
      </w:r>
      <w:r w:rsidR="00E50E26">
        <w:rPr>
          <w:rFonts w:asciiTheme="majorHAnsi" w:hAnsiTheme="majorHAnsi"/>
          <w:sz w:val="21"/>
          <w:szCs w:val="21"/>
        </w:rPr>
        <w:t xml:space="preserve"> ankesave</w:t>
      </w:r>
      <w:r w:rsidR="00084256">
        <w:rPr>
          <w:rFonts w:asciiTheme="majorHAnsi" w:hAnsiTheme="majorHAnsi"/>
          <w:sz w:val="21"/>
          <w:szCs w:val="21"/>
        </w:rPr>
        <w:t xml:space="preserve">. </w:t>
      </w:r>
    </w:p>
    <w:p w14:paraId="49DB6212" w14:textId="702C138D" w:rsidR="00992430" w:rsidRDefault="00E50E26" w:rsidP="00363711">
      <w:pPr>
        <w:spacing w:before="60" w:line="264" w:lineRule="auto"/>
        <w:jc w:val="both"/>
        <w:rPr>
          <w:rFonts w:asciiTheme="majorHAnsi" w:hAnsiTheme="majorHAnsi"/>
          <w:sz w:val="21"/>
          <w:szCs w:val="21"/>
        </w:rPr>
      </w:pPr>
      <w:r>
        <w:rPr>
          <w:rFonts w:asciiTheme="majorHAnsi" w:hAnsiTheme="majorHAnsi"/>
          <w:sz w:val="21"/>
          <w:szCs w:val="21"/>
        </w:rPr>
        <w:t xml:space="preserve">Me rastin e </w:t>
      </w:r>
      <w:r w:rsidR="00992430" w:rsidRPr="004A693D">
        <w:rPr>
          <w:rFonts w:asciiTheme="majorHAnsi" w:hAnsiTheme="majorHAnsi"/>
          <w:sz w:val="21"/>
          <w:szCs w:val="21"/>
        </w:rPr>
        <w:t>komunikimit</w:t>
      </w:r>
      <w:r w:rsidR="00992430">
        <w:rPr>
          <w:rFonts w:asciiTheme="majorHAnsi" w:hAnsiTheme="majorHAnsi"/>
          <w:sz w:val="21"/>
          <w:szCs w:val="21"/>
        </w:rPr>
        <w:t xml:space="preserve"> t</w:t>
      </w:r>
      <w:r w:rsidR="001C397B">
        <w:rPr>
          <w:rFonts w:asciiTheme="majorHAnsi" w:hAnsiTheme="majorHAnsi"/>
          <w:sz w:val="21"/>
          <w:szCs w:val="21"/>
        </w:rPr>
        <w:t>ë</w:t>
      </w:r>
      <w:r w:rsidR="00992430">
        <w:rPr>
          <w:rFonts w:asciiTheme="majorHAnsi" w:hAnsiTheme="majorHAnsi"/>
          <w:sz w:val="21"/>
          <w:szCs w:val="21"/>
        </w:rPr>
        <w:t xml:space="preserve"> rezultateve, komunat kan</w:t>
      </w:r>
      <w:r w:rsidR="001C397B">
        <w:rPr>
          <w:rFonts w:asciiTheme="majorHAnsi" w:hAnsiTheme="majorHAnsi"/>
          <w:sz w:val="21"/>
          <w:szCs w:val="21"/>
        </w:rPr>
        <w:t>ë</w:t>
      </w:r>
      <w:r w:rsidR="00992430">
        <w:rPr>
          <w:rFonts w:asciiTheme="majorHAnsi" w:hAnsiTheme="majorHAnsi"/>
          <w:sz w:val="21"/>
          <w:szCs w:val="21"/>
        </w:rPr>
        <w:t xml:space="preserve"> t</w:t>
      </w:r>
      <w:r w:rsidR="001C397B">
        <w:rPr>
          <w:rFonts w:asciiTheme="majorHAnsi" w:hAnsiTheme="majorHAnsi"/>
          <w:sz w:val="21"/>
          <w:szCs w:val="21"/>
        </w:rPr>
        <w:t>ë</w:t>
      </w:r>
      <w:r w:rsidR="00992430">
        <w:rPr>
          <w:rFonts w:asciiTheme="majorHAnsi" w:hAnsiTheme="majorHAnsi"/>
          <w:sz w:val="21"/>
          <w:szCs w:val="21"/>
        </w:rPr>
        <w:t xml:space="preserve"> drejt</w:t>
      </w:r>
      <w:r w:rsidR="001C397B">
        <w:rPr>
          <w:rFonts w:asciiTheme="majorHAnsi" w:hAnsiTheme="majorHAnsi"/>
          <w:sz w:val="21"/>
          <w:szCs w:val="21"/>
        </w:rPr>
        <w:t>ë</w:t>
      </w:r>
      <w:r w:rsidR="00992430">
        <w:rPr>
          <w:rFonts w:asciiTheme="majorHAnsi" w:hAnsiTheme="majorHAnsi"/>
          <w:sz w:val="21"/>
          <w:szCs w:val="21"/>
        </w:rPr>
        <w:t xml:space="preserve"> t</w:t>
      </w:r>
      <w:r w:rsidR="001C397B">
        <w:rPr>
          <w:rFonts w:asciiTheme="majorHAnsi" w:hAnsiTheme="majorHAnsi"/>
          <w:sz w:val="21"/>
          <w:szCs w:val="21"/>
        </w:rPr>
        <w:t>ë</w:t>
      </w:r>
      <w:r w:rsidR="00992430">
        <w:rPr>
          <w:rFonts w:asciiTheme="majorHAnsi" w:hAnsiTheme="majorHAnsi"/>
          <w:sz w:val="21"/>
          <w:szCs w:val="21"/>
        </w:rPr>
        <w:t xml:space="preserve"> ankohen brend</w:t>
      </w:r>
      <w:r w:rsidR="00F218A6">
        <w:rPr>
          <w:rFonts w:asciiTheme="majorHAnsi" w:hAnsiTheme="majorHAnsi"/>
          <w:sz w:val="21"/>
          <w:szCs w:val="21"/>
        </w:rPr>
        <w:t>a</w:t>
      </w:r>
      <w:r w:rsidR="004A693D">
        <w:rPr>
          <w:rFonts w:asciiTheme="majorHAnsi" w:hAnsiTheme="majorHAnsi"/>
          <w:sz w:val="21"/>
          <w:szCs w:val="21"/>
        </w:rPr>
        <w:t xml:space="preserve"> </w:t>
      </w:r>
      <w:r w:rsidR="00EE017C">
        <w:rPr>
          <w:rFonts w:asciiTheme="majorHAnsi" w:hAnsiTheme="majorHAnsi"/>
          <w:b/>
          <w:i/>
          <w:sz w:val="21"/>
          <w:szCs w:val="21"/>
        </w:rPr>
        <w:t>7</w:t>
      </w:r>
      <w:r w:rsidR="00F218A6" w:rsidRPr="00792B62">
        <w:rPr>
          <w:rFonts w:asciiTheme="majorHAnsi" w:hAnsiTheme="majorHAnsi"/>
          <w:b/>
          <w:i/>
          <w:sz w:val="21"/>
          <w:szCs w:val="21"/>
        </w:rPr>
        <w:t xml:space="preserve"> dit</w:t>
      </w:r>
      <w:r w:rsidR="004A693D" w:rsidRPr="00792B62">
        <w:rPr>
          <w:rFonts w:asciiTheme="majorHAnsi" w:hAnsiTheme="majorHAnsi"/>
          <w:b/>
          <w:i/>
          <w:sz w:val="21"/>
          <w:szCs w:val="21"/>
        </w:rPr>
        <w:t>ë</w:t>
      </w:r>
      <w:r w:rsidR="002301B3" w:rsidRPr="00792B62">
        <w:rPr>
          <w:rFonts w:asciiTheme="majorHAnsi" w:hAnsiTheme="majorHAnsi"/>
          <w:b/>
          <w:i/>
          <w:sz w:val="21"/>
          <w:szCs w:val="21"/>
        </w:rPr>
        <w:t>sh nga momenti i pranimit t</w:t>
      </w:r>
      <w:r w:rsidR="00DC0362" w:rsidRPr="00792B62">
        <w:rPr>
          <w:rFonts w:asciiTheme="majorHAnsi" w:hAnsiTheme="majorHAnsi"/>
          <w:b/>
          <w:i/>
          <w:sz w:val="21"/>
          <w:szCs w:val="21"/>
        </w:rPr>
        <w:t>ë</w:t>
      </w:r>
      <w:r w:rsidR="002301B3" w:rsidRPr="00792B62">
        <w:rPr>
          <w:rFonts w:asciiTheme="majorHAnsi" w:hAnsiTheme="majorHAnsi"/>
          <w:b/>
          <w:i/>
          <w:sz w:val="21"/>
          <w:szCs w:val="21"/>
        </w:rPr>
        <w:t xml:space="preserve"> flet</w:t>
      </w:r>
      <w:r w:rsidR="00DC0362" w:rsidRPr="00792B62">
        <w:rPr>
          <w:rFonts w:asciiTheme="majorHAnsi" w:hAnsiTheme="majorHAnsi"/>
          <w:b/>
          <w:i/>
          <w:sz w:val="21"/>
          <w:szCs w:val="21"/>
        </w:rPr>
        <w:t>ë</w:t>
      </w:r>
      <w:r w:rsidR="002301B3" w:rsidRPr="00792B62">
        <w:rPr>
          <w:rFonts w:asciiTheme="majorHAnsi" w:hAnsiTheme="majorHAnsi"/>
          <w:b/>
          <w:i/>
          <w:sz w:val="21"/>
          <w:szCs w:val="21"/>
        </w:rPr>
        <w:t>vler</w:t>
      </w:r>
      <w:r w:rsidR="00DC0362" w:rsidRPr="00792B62">
        <w:rPr>
          <w:rFonts w:asciiTheme="majorHAnsi" w:hAnsiTheme="majorHAnsi"/>
          <w:b/>
          <w:i/>
          <w:sz w:val="21"/>
          <w:szCs w:val="21"/>
        </w:rPr>
        <w:t>ë</w:t>
      </w:r>
      <w:r w:rsidR="002301B3" w:rsidRPr="00792B62">
        <w:rPr>
          <w:rFonts w:asciiTheme="majorHAnsi" w:hAnsiTheme="majorHAnsi"/>
          <w:b/>
          <w:i/>
          <w:sz w:val="21"/>
          <w:szCs w:val="21"/>
        </w:rPr>
        <w:t>simit nga ministria</w:t>
      </w:r>
      <w:r w:rsidR="00501FA8" w:rsidRPr="00792B62">
        <w:rPr>
          <w:rFonts w:asciiTheme="majorHAnsi" w:hAnsiTheme="majorHAnsi"/>
          <w:b/>
          <w:i/>
          <w:sz w:val="21"/>
          <w:szCs w:val="21"/>
        </w:rPr>
        <w:t>,</w:t>
      </w:r>
      <w:r w:rsidR="00B500C0">
        <w:rPr>
          <w:rFonts w:asciiTheme="majorHAnsi" w:hAnsiTheme="majorHAnsi"/>
          <w:b/>
          <w:sz w:val="21"/>
          <w:szCs w:val="21"/>
        </w:rPr>
        <w:t xml:space="preserve"> </w:t>
      </w:r>
      <w:r w:rsidR="00992430">
        <w:rPr>
          <w:rFonts w:asciiTheme="majorHAnsi" w:hAnsiTheme="majorHAnsi"/>
          <w:sz w:val="21"/>
          <w:szCs w:val="21"/>
        </w:rPr>
        <w:t>n</w:t>
      </w:r>
      <w:r w:rsidR="001C397B">
        <w:rPr>
          <w:rFonts w:asciiTheme="majorHAnsi" w:hAnsiTheme="majorHAnsi"/>
          <w:sz w:val="21"/>
          <w:szCs w:val="21"/>
        </w:rPr>
        <w:t>ë</w:t>
      </w:r>
      <w:r w:rsidR="00992430">
        <w:rPr>
          <w:rFonts w:asciiTheme="majorHAnsi" w:hAnsiTheme="majorHAnsi"/>
          <w:sz w:val="21"/>
          <w:szCs w:val="21"/>
        </w:rPr>
        <w:t xml:space="preserve"> rast se nuk pajtohen me </w:t>
      </w:r>
      <w:r w:rsidR="00DC6C2C">
        <w:rPr>
          <w:rFonts w:asciiTheme="majorHAnsi" w:hAnsiTheme="majorHAnsi"/>
          <w:sz w:val="21"/>
          <w:szCs w:val="21"/>
        </w:rPr>
        <w:t xml:space="preserve">rezultatet e </w:t>
      </w:r>
      <w:r w:rsidR="00992430">
        <w:rPr>
          <w:rFonts w:asciiTheme="majorHAnsi" w:hAnsiTheme="majorHAnsi"/>
          <w:sz w:val="21"/>
          <w:szCs w:val="21"/>
        </w:rPr>
        <w:t>vler</w:t>
      </w:r>
      <w:r w:rsidR="001C397B">
        <w:rPr>
          <w:rFonts w:asciiTheme="majorHAnsi" w:hAnsiTheme="majorHAnsi"/>
          <w:sz w:val="21"/>
          <w:szCs w:val="21"/>
        </w:rPr>
        <w:t>ë</w:t>
      </w:r>
      <w:r w:rsidR="00992430">
        <w:rPr>
          <w:rFonts w:asciiTheme="majorHAnsi" w:hAnsiTheme="majorHAnsi"/>
          <w:sz w:val="21"/>
          <w:szCs w:val="21"/>
        </w:rPr>
        <w:t>simi</w:t>
      </w:r>
      <w:r w:rsidR="00DC6C2C">
        <w:rPr>
          <w:rFonts w:asciiTheme="majorHAnsi" w:hAnsiTheme="majorHAnsi"/>
          <w:sz w:val="21"/>
          <w:szCs w:val="21"/>
        </w:rPr>
        <w:t>t</w:t>
      </w:r>
      <w:r w:rsidR="00992430">
        <w:rPr>
          <w:rFonts w:asciiTheme="majorHAnsi" w:hAnsiTheme="majorHAnsi"/>
          <w:sz w:val="21"/>
          <w:szCs w:val="21"/>
        </w:rPr>
        <w:t xml:space="preserve">. </w:t>
      </w:r>
    </w:p>
    <w:p w14:paraId="004E2B1A" w14:textId="77777777" w:rsidR="00C357F2" w:rsidRDefault="00992430" w:rsidP="00363711">
      <w:pPr>
        <w:spacing w:before="60" w:line="264" w:lineRule="auto"/>
        <w:jc w:val="both"/>
        <w:rPr>
          <w:rFonts w:asciiTheme="majorHAnsi" w:hAnsiTheme="majorHAnsi"/>
          <w:sz w:val="21"/>
          <w:szCs w:val="21"/>
        </w:rPr>
      </w:pPr>
      <w:r>
        <w:rPr>
          <w:rFonts w:asciiTheme="majorHAnsi" w:hAnsiTheme="majorHAnsi"/>
          <w:sz w:val="21"/>
          <w:szCs w:val="21"/>
        </w:rPr>
        <w:t xml:space="preserve">Ankesa </w:t>
      </w:r>
      <w:r w:rsidR="00C357F2">
        <w:rPr>
          <w:rFonts w:asciiTheme="majorHAnsi" w:hAnsiTheme="majorHAnsi"/>
          <w:sz w:val="21"/>
          <w:szCs w:val="21"/>
        </w:rPr>
        <w:t>mund t</w:t>
      </w:r>
      <w:r w:rsidR="00C87181">
        <w:rPr>
          <w:rFonts w:asciiTheme="majorHAnsi" w:hAnsiTheme="majorHAnsi"/>
          <w:sz w:val="21"/>
          <w:szCs w:val="21"/>
        </w:rPr>
        <w:t>ë</w:t>
      </w:r>
      <w:r w:rsidR="00C357F2">
        <w:rPr>
          <w:rFonts w:asciiTheme="majorHAnsi" w:hAnsiTheme="majorHAnsi"/>
          <w:sz w:val="21"/>
          <w:szCs w:val="21"/>
        </w:rPr>
        <w:t xml:space="preserve"> parashtrohet nga komunat p</w:t>
      </w:r>
      <w:r w:rsidR="00C87181">
        <w:rPr>
          <w:rFonts w:asciiTheme="majorHAnsi" w:hAnsiTheme="majorHAnsi"/>
          <w:sz w:val="21"/>
          <w:szCs w:val="21"/>
        </w:rPr>
        <w:t>ë</w:t>
      </w:r>
      <w:r w:rsidR="00C357F2">
        <w:rPr>
          <w:rFonts w:asciiTheme="majorHAnsi" w:hAnsiTheme="majorHAnsi"/>
          <w:sz w:val="21"/>
          <w:szCs w:val="21"/>
        </w:rPr>
        <w:t>r arsye procedurale dhe materiale t</w:t>
      </w:r>
      <w:r w:rsidR="00C87181">
        <w:rPr>
          <w:rFonts w:asciiTheme="majorHAnsi" w:hAnsiTheme="majorHAnsi"/>
          <w:sz w:val="21"/>
          <w:szCs w:val="21"/>
        </w:rPr>
        <w:t>ë</w:t>
      </w:r>
      <w:r w:rsidR="00C357F2">
        <w:rPr>
          <w:rFonts w:asciiTheme="majorHAnsi" w:hAnsiTheme="majorHAnsi"/>
          <w:sz w:val="21"/>
          <w:szCs w:val="21"/>
        </w:rPr>
        <w:t xml:space="preserve"> vler</w:t>
      </w:r>
      <w:r w:rsidR="00C87181">
        <w:rPr>
          <w:rFonts w:asciiTheme="majorHAnsi" w:hAnsiTheme="majorHAnsi"/>
          <w:sz w:val="21"/>
          <w:szCs w:val="21"/>
        </w:rPr>
        <w:t>ë</w:t>
      </w:r>
      <w:r w:rsidR="00C357F2">
        <w:rPr>
          <w:rFonts w:asciiTheme="majorHAnsi" w:hAnsiTheme="majorHAnsi"/>
          <w:sz w:val="21"/>
          <w:szCs w:val="21"/>
        </w:rPr>
        <w:t>simit t</w:t>
      </w:r>
      <w:r w:rsidR="00C87181">
        <w:rPr>
          <w:rFonts w:asciiTheme="majorHAnsi" w:hAnsiTheme="majorHAnsi"/>
          <w:sz w:val="21"/>
          <w:szCs w:val="21"/>
        </w:rPr>
        <w:t>ë</w:t>
      </w:r>
      <w:r w:rsidR="00C357F2">
        <w:rPr>
          <w:rFonts w:asciiTheme="majorHAnsi" w:hAnsiTheme="majorHAnsi"/>
          <w:sz w:val="21"/>
          <w:szCs w:val="21"/>
        </w:rPr>
        <w:t xml:space="preserve"> GPK-s</w:t>
      </w:r>
      <w:r w:rsidR="00C87181">
        <w:rPr>
          <w:rFonts w:asciiTheme="majorHAnsi" w:hAnsiTheme="majorHAnsi"/>
          <w:sz w:val="21"/>
          <w:szCs w:val="21"/>
        </w:rPr>
        <w:t>ë</w:t>
      </w:r>
      <w:r w:rsidR="00C357F2">
        <w:rPr>
          <w:rFonts w:asciiTheme="majorHAnsi" w:hAnsiTheme="majorHAnsi"/>
          <w:sz w:val="21"/>
          <w:szCs w:val="21"/>
        </w:rPr>
        <w:t xml:space="preserve">. </w:t>
      </w:r>
    </w:p>
    <w:p w14:paraId="51D840C3" w14:textId="77777777" w:rsidR="00992430" w:rsidRDefault="00992430" w:rsidP="00363711">
      <w:pPr>
        <w:spacing w:before="60" w:line="264" w:lineRule="auto"/>
        <w:jc w:val="both"/>
        <w:rPr>
          <w:rFonts w:asciiTheme="majorHAnsi" w:hAnsiTheme="majorHAnsi"/>
          <w:sz w:val="21"/>
          <w:szCs w:val="21"/>
        </w:rPr>
      </w:pPr>
      <w:r>
        <w:rPr>
          <w:rFonts w:asciiTheme="majorHAnsi" w:hAnsiTheme="majorHAnsi"/>
          <w:sz w:val="21"/>
          <w:szCs w:val="21"/>
        </w:rPr>
        <w:t>Ankesa nuk mund t</w:t>
      </w:r>
      <w:r w:rsidR="001C397B">
        <w:rPr>
          <w:rFonts w:asciiTheme="majorHAnsi" w:hAnsiTheme="majorHAnsi"/>
          <w:sz w:val="21"/>
          <w:szCs w:val="21"/>
        </w:rPr>
        <w:t>ë</w:t>
      </w:r>
      <w:r>
        <w:rPr>
          <w:rFonts w:asciiTheme="majorHAnsi" w:hAnsiTheme="majorHAnsi"/>
          <w:sz w:val="21"/>
          <w:szCs w:val="21"/>
        </w:rPr>
        <w:t xml:space="preserve"> kund</w:t>
      </w:r>
      <w:r w:rsidR="001C397B">
        <w:rPr>
          <w:rFonts w:asciiTheme="majorHAnsi" w:hAnsiTheme="majorHAnsi"/>
          <w:sz w:val="21"/>
          <w:szCs w:val="21"/>
        </w:rPr>
        <w:t>ë</w:t>
      </w:r>
      <w:r>
        <w:rPr>
          <w:rFonts w:asciiTheme="majorHAnsi" w:hAnsiTheme="majorHAnsi"/>
          <w:sz w:val="21"/>
          <w:szCs w:val="21"/>
        </w:rPr>
        <w:t>rshtoj</w:t>
      </w:r>
      <w:r w:rsidR="004A693D">
        <w:rPr>
          <w:rFonts w:asciiTheme="majorHAnsi" w:hAnsiTheme="majorHAnsi"/>
          <w:sz w:val="21"/>
          <w:szCs w:val="21"/>
        </w:rPr>
        <w:t>ë</w:t>
      </w:r>
      <w:r>
        <w:rPr>
          <w:rFonts w:asciiTheme="majorHAnsi" w:hAnsiTheme="majorHAnsi"/>
          <w:sz w:val="21"/>
          <w:szCs w:val="21"/>
        </w:rPr>
        <w:t xml:space="preserve"> burimin </w:t>
      </w:r>
      <w:r w:rsidR="00326C52">
        <w:rPr>
          <w:rFonts w:asciiTheme="majorHAnsi" w:hAnsiTheme="majorHAnsi"/>
          <w:sz w:val="21"/>
          <w:szCs w:val="21"/>
        </w:rPr>
        <w:t>e t</w:t>
      </w:r>
      <w:r w:rsidR="001C397B">
        <w:rPr>
          <w:rFonts w:asciiTheme="majorHAnsi" w:hAnsiTheme="majorHAnsi"/>
          <w:sz w:val="21"/>
          <w:szCs w:val="21"/>
        </w:rPr>
        <w:t>ë</w:t>
      </w:r>
      <w:r w:rsidR="00326C52">
        <w:rPr>
          <w:rFonts w:asciiTheme="majorHAnsi" w:hAnsiTheme="majorHAnsi"/>
          <w:sz w:val="21"/>
          <w:szCs w:val="21"/>
        </w:rPr>
        <w:t xml:space="preserve"> dh</w:t>
      </w:r>
      <w:r w:rsidR="001C397B">
        <w:rPr>
          <w:rFonts w:asciiTheme="majorHAnsi" w:hAnsiTheme="majorHAnsi"/>
          <w:sz w:val="21"/>
          <w:szCs w:val="21"/>
        </w:rPr>
        <w:t>ë</w:t>
      </w:r>
      <w:r w:rsidR="00326C52">
        <w:rPr>
          <w:rFonts w:asciiTheme="majorHAnsi" w:hAnsiTheme="majorHAnsi"/>
          <w:sz w:val="21"/>
          <w:szCs w:val="21"/>
        </w:rPr>
        <w:t>nave</w:t>
      </w:r>
      <w:r w:rsidR="002301B3">
        <w:rPr>
          <w:rFonts w:asciiTheme="majorHAnsi" w:hAnsiTheme="majorHAnsi"/>
          <w:sz w:val="21"/>
          <w:szCs w:val="21"/>
        </w:rPr>
        <w:t xml:space="preserve"> zyrtare</w:t>
      </w:r>
      <w:r w:rsidR="00326C52">
        <w:rPr>
          <w:rFonts w:asciiTheme="majorHAnsi" w:hAnsiTheme="majorHAnsi"/>
          <w:sz w:val="21"/>
          <w:szCs w:val="21"/>
        </w:rPr>
        <w:t xml:space="preserve"> </w:t>
      </w:r>
      <w:r w:rsidR="00B500C0">
        <w:rPr>
          <w:rFonts w:asciiTheme="majorHAnsi" w:hAnsiTheme="majorHAnsi"/>
          <w:sz w:val="21"/>
          <w:szCs w:val="21"/>
        </w:rPr>
        <w:t>t</w:t>
      </w:r>
      <w:r w:rsidR="004A693D">
        <w:rPr>
          <w:rFonts w:asciiTheme="majorHAnsi" w:hAnsiTheme="majorHAnsi"/>
          <w:sz w:val="21"/>
          <w:szCs w:val="21"/>
        </w:rPr>
        <w:t>ë</w:t>
      </w:r>
      <w:r w:rsidR="00B500C0">
        <w:rPr>
          <w:rFonts w:asciiTheme="majorHAnsi" w:hAnsiTheme="majorHAnsi"/>
          <w:sz w:val="21"/>
          <w:szCs w:val="21"/>
        </w:rPr>
        <w:t xml:space="preserve"> p</w:t>
      </w:r>
      <w:r w:rsidR="004A693D">
        <w:rPr>
          <w:rFonts w:asciiTheme="majorHAnsi" w:hAnsiTheme="majorHAnsi"/>
          <w:sz w:val="21"/>
          <w:szCs w:val="21"/>
        </w:rPr>
        <w:t>ë</w:t>
      </w:r>
      <w:r w:rsidR="00B500C0">
        <w:rPr>
          <w:rFonts w:asciiTheme="majorHAnsi" w:hAnsiTheme="majorHAnsi"/>
          <w:sz w:val="21"/>
          <w:szCs w:val="21"/>
        </w:rPr>
        <w:t>rdorur</w:t>
      </w:r>
      <w:r w:rsidR="002301B3">
        <w:rPr>
          <w:rFonts w:asciiTheme="majorHAnsi" w:hAnsiTheme="majorHAnsi"/>
          <w:sz w:val="21"/>
          <w:szCs w:val="21"/>
        </w:rPr>
        <w:t>a</w:t>
      </w:r>
      <w:r w:rsidR="00B500C0">
        <w:rPr>
          <w:rFonts w:asciiTheme="majorHAnsi" w:hAnsiTheme="majorHAnsi"/>
          <w:sz w:val="21"/>
          <w:szCs w:val="21"/>
        </w:rPr>
        <w:t xml:space="preserve"> </w:t>
      </w:r>
      <w:r w:rsidR="00326C52">
        <w:rPr>
          <w:rFonts w:asciiTheme="majorHAnsi" w:hAnsiTheme="majorHAnsi"/>
          <w:sz w:val="21"/>
          <w:szCs w:val="21"/>
        </w:rPr>
        <w:t>gjat</w:t>
      </w:r>
      <w:r w:rsidR="001C397B">
        <w:rPr>
          <w:rFonts w:asciiTheme="majorHAnsi" w:hAnsiTheme="majorHAnsi"/>
          <w:sz w:val="21"/>
          <w:szCs w:val="21"/>
        </w:rPr>
        <w:t>ë</w:t>
      </w:r>
      <w:r w:rsidR="00326C52">
        <w:rPr>
          <w:rFonts w:asciiTheme="majorHAnsi" w:hAnsiTheme="majorHAnsi"/>
          <w:sz w:val="21"/>
          <w:szCs w:val="21"/>
        </w:rPr>
        <w:t xml:space="preserve"> vler</w:t>
      </w:r>
      <w:r w:rsidR="001C397B">
        <w:rPr>
          <w:rFonts w:asciiTheme="majorHAnsi" w:hAnsiTheme="majorHAnsi"/>
          <w:sz w:val="21"/>
          <w:szCs w:val="21"/>
        </w:rPr>
        <w:t>ë</w:t>
      </w:r>
      <w:r w:rsidR="00326C52">
        <w:rPr>
          <w:rFonts w:asciiTheme="majorHAnsi" w:hAnsiTheme="majorHAnsi"/>
          <w:sz w:val="21"/>
          <w:szCs w:val="21"/>
        </w:rPr>
        <w:t>simit</w:t>
      </w:r>
      <w:r w:rsidR="00B500C0">
        <w:rPr>
          <w:rFonts w:asciiTheme="majorHAnsi" w:hAnsiTheme="majorHAnsi"/>
          <w:sz w:val="21"/>
          <w:szCs w:val="21"/>
        </w:rPr>
        <w:t xml:space="preserve">. </w:t>
      </w:r>
    </w:p>
    <w:p w14:paraId="70395B25"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Nëse një komunë</w:t>
      </w:r>
      <w:r w:rsidR="000011E3">
        <w:rPr>
          <w:rFonts w:asciiTheme="majorHAnsi" w:hAnsiTheme="majorHAnsi"/>
          <w:sz w:val="21"/>
          <w:szCs w:val="21"/>
        </w:rPr>
        <w:t xml:space="preserve">, pretendon </w:t>
      </w:r>
      <w:r w:rsidRPr="004D2E1C">
        <w:rPr>
          <w:rFonts w:asciiTheme="majorHAnsi" w:hAnsiTheme="majorHAnsi"/>
          <w:sz w:val="21"/>
          <w:szCs w:val="21"/>
        </w:rPr>
        <w:t xml:space="preserve">se </w:t>
      </w:r>
      <w:r w:rsidR="00501FA8">
        <w:rPr>
          <w:rFonts w:asciiTheme="majorHAnsi" w:hAnsiTheme="majorHAnsi"/>
          <w:sz w:val="21"/>
          <w:szCs w:val="21"/>
        </w:rPr>
        <w:t>organet p</w:t>
      </w:r>
      <w:r w:rsidR="007B6F16">
        <w:rPr>
          <w:rFonts w:asciiTheme="majorHAnsi" w:hAnsiTheme="majorHAnsi"/>
          <w:sz w:val="21"/>
          <w:szCs w:val="21"/>
        </w:rPr>
        <w:t>ë</w:t>
      </w:r>
      <w:r w:rsidR="00501FA8">
        <w:rPr>
          <w:rFonts w:asciiTheme="majorHAnsi" w:hAnsiTheme="majorHAnsi"/>
          <w:sz w:val="21"/>
          <w:szCs w:val="21"/>
        </w:rPr>
        <w:t>rgjegj</w:t>
      </w:r>
      <w:r w:rsidR="007B6F16">
        <w:rPr>
          <w:rFonts w:asciiTheme="majorHAnsi" w:hAnsiTheme="majorHAnsi"/>
          <w:sz w:val="21"/>
          <w:szCs w:val="21"/>
        </w:rPr>
        <w:t>ë</w:t>
      </w:r>
      <w:r w:rsidR="00501FA8">
        <w:rPr>
          <w:rFonts w:asciiTheme="majorHAnsi" w:hAnsiTheme="majorHAnsi"/>
          <w:sz w:val="21"/>
          <w:szCs w:val="21"/>
        </w:rPr>
        <w:t>se p</w:t>
      </w:r>
      <w:r w:rsidR="007B6F16">
        <w:rPr>
          <w:rFonts w:asciiTheme="majorHAnsi" w:hAnsiTheme="majorHAnsi"/>
          <w:sz w:val="21"/>
          <w:szCs w:val="21"/>
        </w:rPr>
        <w:t>ë</w:t>
      </w:r>
      <w:r w:rsidR="00501FA8">
        <w:rPr>
          <w:rFonts w:asciiTheme="majorHAnsi" w:hAnsiTheme="majorHAnsi"/>
          <w:sz w:val="21"/>
          <w:szCs w:val="21"/>
        </w:rPr>
        <w:t>r GPK</w:t>
      </w:r>
      <w:r w:rsidR="00501FA8" w:rsidRPr="004D2E1C">
        <w:rPr>
          <w:rFonts w:asciiTheme="majorHAnsi" w:hAnsiTheme="majorHAnsi"/>
          <w:sz w:val="21"/>
          <w:szCs w:val="21"/>
        </w:rPr>
        <w:t xml:space="preserve"> </w:t>
      </w:r>
      <w:r w:rsidRPr="004D2E1C">
        <w:rPr>
          <w:rFonts w:asciiTheme="majorHAnsi" w:hAnsiTheme="majorHAnsi"/>
          <w:sz w:val="21"/>
          <w:szCs w:val="21"/>
        </w:rPr>
        <w:t xml:space="preserve">kanë </w:t>
      </w:r>
      <w:r w:rsidR="000011E3">
        <w:rPr>
          <w:rFonts w:asciiTheme="majorHAnsi" w:hAnsiTheme="majorHAnsi"/>
          <w:sz w:val="21"/>
          <w:szCs w:val="21"/>
        </w:rPr>
        <w:t>b</w:t>
      </w:r>
      <w:r w:rsidR="004A693D">
        <w:rPr>
          <w:rFonts w:asciiTheme="majorHAnsi" w:hAnsiTheme="majorHAnsi"/>
          <w:sz w:val="21"/>
          <w:szCs w:val="21"/>
        </w:rPr>
        <w:t>ë</w:t>
      </w:r>
      <w:r w:rsidR="000011E3">
        <w:rPr>
          <w:rFonts w:asciiTheme="majorHAnsi" w:hAnsiTheme="majorHAnsi"/>
          <w:sz w:val="21"/>
          <w:szCs w:val="21"/>
        </w:rPr>
        <w:t>r</w:t>
      </w:r>
      <w:r w:rsidR="004A693D">
        <w:rPr>
          <w:rFonts w:asciiTheme="majorHAnsi" w:hAnsiTheme="majorHAnsi"/>
          <w:sz w:val="21"/>
          <w:szCs w:val="21"/>
        </w:rPr>
        <w:t>ë</w:t>
      </w:r>
      <w:r w:rsidR="000011E3">
        <w:rPr>
          <w:rFonts w:asciiTheme="majorHAnsi" w:hAnsiTheme="majorHAnsi"/>
          <w:sz w:val="21"/>
          <w:szCs w:val="21"/>
        </w:rPr>
        <w:t xml:space="preserve"> gabime</w:t>
      </w:r>
      <w:r w:rsidRPr="004D2E1C">
        <w:rPr>
          <w:rFonts w:asciiTheme="majorHAnsi" w:hAnsiTheme="majorHAnsi"/>
          <w:sz w:val="21"/>
          <w:szCs w:val="21"/>
        </w:rPr>
        <w:t xml:space="preserve"> </w:t>
      </w:r>
      <w:r w:rsidR="000011E3">
        <w:rPr>
          <w:rFonts w:asciiTheme="majorHAnsi" w:hAnsiTheme="majorHAnsi"/>
          <w:sz w:val="21"/>
          <w:szCs w:val="21"/>
        </w:rPr>
        <w:t>n</w:t>
      </w:r>
      <w:r w:rsidR="004A693D">
        <w:rPr>
          <w:rFonts w:asciiTheme="majorHAnsi" w:hAnsiTheme="majorHAnsi"/>
          <w:sz w:val="21"/>
          <w:szCs w:val="21"/>
        </w:rPr>
        <w:t>ë</w:t>
      </w:r>
      <w:r w:rsidR="000011E3">
        <w:rPr>
          <w:rFonts w:asciiTheme="majorHAnsi" w:hAnsiTheme="majorHAnsi"/>
          <w:sz w:val="21"/>
          <w:szCs w:val="21"/>
        </w:rPr>
        <w:t xml:space="preserve"> vler</w:t>
      </w:r>
      <w:r w:rsidR="004A693D">
        <w:rPr>
          <w:rFonts w:asciiTheme="majorHAnsi" w:hAnsiTheme="majorHAnsi"/>
          <w:sz w:val="21"/>
          <w:szCs w:val="21"/>
        </w:rPr>
        <w:t>ë</w:t>
      </w:r>
      <w:r w:rsidR="000011E3">
        <w:rPr>
          <w:rFonts w:asciiTheme="majorHAnsi" w:hAnsiTheme="majorHAnsi"/>
          <w:sz w:val="21"/>
          <w:szCs w:val="21"/>
        </w:rPr>
        <w:t>simin e performanc</w:t>
      </w:r>
      <w:r w:rsidR="004A693D">
        <w:rPr>
          <w:rFonts w:asciiTheme="majorHAnsi" w:hAnsiTheme="majorHAnsi"/>
          <w:sz w:val="21"/>
          <w:szCs w:val="21"/>
        </w:rPr>
        <w:t>ë</w:t>
      </w:r>
      <w:r w:rsidR="000011E3">
        <w:rPr>
          <w:rFonts w:asciiTheme="majorHAnsi" w:hAnsiTheme="majorHAnsi"/>
          <w:sz w:val="21"/>
          <w:szCs w:val="21"/>
        </w:rPr>
        <w:t>s s</w:t>
      </w:r>
      <w:r w:rsidR="004A693D">
        <w:rPr>
          <w:rFonts w:asciiTheme="majorHAnsi" w:hAnsiTheme="majorHAnsi"/>
          <w:sz w:val="21"/>
          <w:szCs w:val="21"/>
        </w:rPr>
        <w:t>ë</w:t>
      </w:r>
      <w:r w:rsidR="000011E3">
        <w:rPr>
          <w:rFonts w:asciiTheme="majorHAnsi" w:hAnsiTheme="majorHAnsi"/>
          <w:sz w:val="21"/>
          <w:szCs w:val="21"/>
        </w:rPr>
        <w:t xml:space="preserve"> saj</w:t>
      </w:r>
      <w:r w:rsidRPr="004D2E1C">
        <w:rPr>
          <w:rFonts w:asciiTheme="majorHAnsi" w:hAnsiTheme="majorHAnsi"/>
          <w:sz w:val="21"/>
          <w:szCs w:val="21"/>
        </w:rPr>
        <w:t xml:space="preserve">, mund të </w:t>
      </w:r>
      <w:r w:rsidR="00501FA8">
        <w:rPr>
          <w:rFonts w:asciiTheme="majorHAnsi" w:hAnsiTheme="majorHAnsi"/>
          <w:sz w:val="21"/>
          <w:szCs w:val="21"/>
        </w:rPr>
        <w:t>shfryt</w:t>
      </w:r>
      <w:r w:rsidR="007B6F16">
        <w:rPr>
          <w:rFonts w:asciiTheme="majorHAnsi" w:hAnsiTheme="majorHAnsi"/>
          <w:sz w:val="21"/>
          <w:szCs w:val="21"/>
        </w:rPr>
        <w:t>ë</w:t>
      </w:r>
      <w:r w:rsidR="00501FA8">
        <w:rPr>
          <w:rFonts w:asciiTheme="majorHAnsi" w:hAnsiTheme="majorHAnsi"/>
          <w:sz w:val="21"/>
          <w:szCs w:val="21"/>
        </w:rPr>
        <w:t>zoj t</w:t>
      </w:r>
      <w:r w:rsidR="007B6F16">
        <w:rPr>
          <w:rFonts w:asciiTheme="majorHAnsi" w:hAnsiTheme="majorHAnsi"/>
          <w:sz w:val="21"/>
          <w:szCs w:val="21"/>
        </w:rPr>
        <w:t>ë</w:t>
      </w:r>
      <w:r w:rsidR="00501FA8">
        <w:rPr>
          <w:rFonts w:asciiTheme="majorHAnsi" w:hAnsiTheme="majorHAnsi"/>
          <w:sz w:val="21"/>
          <w:szCs w:val="21"/>
        </w:rPr>
        <w:t xml:space="preserve"> drejt</w:t>
      </w:r>
      <w:r w:rsidR="007B6F16">
        <w:rPr>
          <w:rFonts w:asciiTheme="majorHAnsi" w:hAnsiTheme="majorHAnsi"/>
          <w:sz w:val="21"/>
          <w:szCs w:val="21"/>
        </w:rPr>
        <w:t>ë</w:t>
      </w:r>
      <w:r w:rsidR="00501FA8">
        <w:rPr>
          <w:rFonts w:asciiTheme="majorHAnsi" w:hAnsiTheme="majorHAnsi"/>
          <w:sz w:val="21"/>
          <w:szCs w:val="21"/>
        </w:rPr>
        <w:t>n e ankes</w:t>
      </w:r>
      <w:r w:rsidR="007B6F16">
        <w:rPr>
          <w:rFonts w:asciiTheme="majorHAnsi" w:hAnsiTheme="majorHAnsi"/>
          <w:sz w:val="21"/>
          <w:szCs w:val="21"/>
        </w:rPr>
        <w:t>ë</w:t>
      </w:r>
      <w:r w:rsidR="00501FA8">
        <w:rPr>
          <w:rFonts w:asciiTheme="majorHAnsi" w:hAnsiTheme="majorHAnsi"/>
          <w:sz w:val="21"/>
          <w:szCs w:val="21"/>
        </w:rPr>
        <w:t>s sipas procedurave t</w:t>
      </w:r>
      <w:r w:rsidR="007B6F16">
        <w:rPr>
          <w:rFonts w:asciiTheme="majorHAnsi" w:hAnsiTheme="majorHAnsi"/>
          <w:sz w:val="21"/>
          <w:szCs w:val="21"/>
        </w:rPr>
        <w:t>ë</w:t>
      </w:r>
      <w:r w:rsidR="00501FA8">
        <w:rPr>
          <w:rFonts w:asciiTheme="majorHAnsi" w:hAnsiTheme="majorHAnsi"/>
          <w:sz w:val="21"/>
          <w:szCs w:val="21"/>
        </w:rPr>
        <w:t xml:space="preserve"> m</w:t>
      </w:r>
      <w:r w:rsidR="007B6F16">
        <w:rPr>
          <w:rFonts w:asciiTheme="majorHAnsi" w:hAnsiTheme="majorHAnsi"/>
          <w:sz w:val="21"/>
          <w:szCs w:val="21"/>
        </w:rPr>
        <w:t>ë</w:t>
      </w:r>
      <w:r w:rsidR="00501FA8">
        <w:rPr>
          <w:rFonts w:asciiTheme="majorHAnsi" w:hAnsiTheme="majorHAnsi"/>
          <w:sz w:val="21"/>
          <w:szCs w:val="21"/>
        </w:rPr>
        <w:t>poshtme</w:t>
      </w:r>
      <w:r w:rsidRPr="004D2E1C">
        <w:rPr>
          <w:rFonts w:asciiTheme="majorHAnsi" w:hAnsiTheme="majorHAnsi"/>
          <w:sz w:val="21"/>
          <w:szCs w:val="21"/>
        </w:rPr>
        <w:t>:</w:t>
      </w:r>
    </w:p>
    <w:p w14:paraId="636A8EA7" w14:textId="77777777" w:rsidR="00CD79F5" w:rsidRPr="004D2E1C" w:rsidRDefault="00CD79F5" w:rsidP="00CD79F5">
      <w:pPr>
        <w:ind w:left="567"/>
        <w:jc w:val="both"/>
        <w:rPr>
          <w:rFonts w:asciiTheme="majorHAnsi" w:hAnsiTheme="majorHAnsi"/>
          <w:sz w:val="21"/>
          <w:szCs w:val="21"/>
        </w:rPr>
      </w:pPr>
    </w:p>
    <w:tbl>
      <w:tblPr>
        <w:tblStyle w:val="TableGrid1"/>
        <w:tblW w:w="8222" w:type="dxa"/>
        <w:tblInd w:w="675" w:type="dxa"/>
        <w:tblLayout w:type="fixed"/>
        <w:tblLook w:val="04A0" w:firstRow="1" w:lastRow="0" w:firstColumn="1" w:lastColumn="0" w:noHBand="0" w:noVBand="1"/>
      </w:tblPr>
      <w:tblGrid>
        <w:gridCol w:w="709"/>
        <w:gridCol w:w="5245"/>
        <w:gridCol w:w="2268"/>
      </w:tblGrid>
      <w:tr w:rsidR="00CD79F5" w:rsidRPr="004D2E1C" w14:paraId="46CF7ACA" w14:textId="77777777" w:rsidTr="07D96137">
        <w:trPr>
          <w:trHeight w:val="278"/>
        </w:trPr>
        <w:tc>
          <w:tcPr>
            <w:tcW w:w="8222" w:type="dxa"/>
            <w:gridSpan w:val="3"/>
            <w:shd w:val="clear" w:color="auto" w:fill="808080" w:themeFill="background1" w:themeFillShade="80"/>
          </w:tcPr>
          <w:p w14:paraId="09EF9262" w14:textId="77777777" w:rsidR="00CD79F5" w:rsidRPr="004D2E1C" w:rsidRDefault="00CD79F5" w:rsidP="0008450B">
            <w:pPr>
              <w:spacing w:before="120"/>
              <w:rPr>
                <w:rFonts w:asciiTheme="majorHAnsi" w:hAnsiTheme="majorHAnsi"/>
                <w:sz w:val="21"/>
                <w:szCs w:val="21"/>
              </w:rPr>
            </w:pPr>
            <w:r w:rsidRPr="004D2E1C">
              <w:rPr>
                <w:rFonts w:asciiTheme="majorHAnsi" w:hAnsiTheme="majorHAnsi"/>
                <w:b/>
                <w:color w:val="FFFFFF" w:themeColor="background1"/>
                <w:sz w:val="21"/>
                <w:szCs w:val="21"/>
              </w:rPr>
              <w:t>Hapat dhe afatet kohore në një proces ankimi</w:t>
            </w:r>
            <w:r w:rsidR="00717FFD">
              <w:rPr>
                <w:rFonts w:asciiTheme="majorHAnsi" w:hAnsiTheme="majorHAnsi"/>
                <w:b/>
                <w:color w:val="FFFFFF" w:themeColor="background1"/>
                <w:sz w:val="21"/>
                <w:szCs w:val="21"/>
              </w:rPr>
              <w:t>mi</w:t>
            </w:r>
          </w:p>
        </w:tc>
      </w:tr>
      <w:tr w:rsidR="00CD79F5" w:rsidRPr="004D2E1C" w14:paraId="44BC27F4" w14:textId="77777777" w:rsidTr="07D96137">
        <w:trPr>
          <w:trHeight w:val="278"/>
        </w:trPr>
        <w:tc>
          <w:tcPr>
            <w:tcW w:w="709" w:type="dxa"/>
            <w:shd w:val="clear" w:color="auto" w:fill="DBE5F1" w:themeFill="accent1" w:themeFillTint="33"/>
          </w:tcPr>
          <w:p w14:paraId="20A67246" w14:textId="77777777" w:rsidR="00CD79F5" w:rsidRPr="004D2E1C" w:rsidRDefault="00CD79F5" w:rsidP="0008450B">
            <w:pPr>
              <w:spacing w:before="120"/>
              <w:rPr>
                <w:rFonts w:asciiTheme="majorHAnsi" w:hAnsiTheme="majorHAnsi"/>
                <w:sz w:val="21"/>
                <w:szCs w:val="21"/>
              </w:rPr>
            </w:pPr>
            <w:r w:rsidRPr="004D2E1C">
              <w:rPr>
                <w:rFonts w:asciiTheme="majorHAnsi" w:hAnsiTheme="majorHAnsi"/>
                <w:sz w:val="21"/>
                <w:szCs w:val="21"/>
              </w:rPr>
              <w:t>1.</w:t>
            </w:r>
          </w:p>
        </w:tc>
        <w:tc>
          <w:tcPr>
            <w:tcW w:w="5245" w:type="dxa"/>
            <w:shd w:val="clear" w:color="auto" w:fill="DBE5F1" w:themeFill="accent1" w:themeFillTint="33"/>
          </w:tcPr>
          <w:p w14:paraId="2C7AA792" w14:textId="77777777" w:rsidR="00CD79F5" w:rsidRPr="004D2E1C" w:rsidRDefault="00CD79F5" w:rsidP="0008450B">
            <w:pPr>
              <w:spacing w:before="120"/>
              <w:rPr>
                <w:rFonts w:asciiTheme="majorHAnsi" w:hAnsiTheme="majorHAnsi"/>
                <w:sz w:val="21"/>
                <w:szCs w:val="21"/>
              </w:rPr>
            </w:pPr>
            <w:r w:rsidRPr="004D2E1C">
              <w:rPr>
                <w:rFonts w:asciiTheme="majorHAnsi" w:hAnsiTheme="majorHAnsi"/>
                <w:sz w:val="21"/>
                <w:szCs w:val="21"/>
              </w:rPr>
              <w:t>Nëse</w:t>
            </w:r>
            <w:r w:rsidR="000011E3">
              <w:rPr>
                <w:rFonts w:asciiTheme="majorHAnsi" w:hAnsiTheme="majorHAnsi"/>
                <w:sz w:val="21"/>
                <w:szCs w:val="21"/>
              </w:rPr>
              <w:t>,</w:t>
            </w:r>
            <w:r w:rsidRPr="004D2E1C">
              <w:rPr>
                <w:rFonts w:asciiTheme="majorHAnsi" w:hAnsiTheme="majorHAnsi"/>
                <w:sz w:val="21"/>
                <w:szCs w:val="21"/>
              </w:rPr>
              <w:t xml:space="preserve"> pas marrjes së </w:t>
            </w:r>
            <w:r w:rsidR="0093368D" w:rsidRPr="004D2E1C">
              <w:rPr>
                <w:rFonts w:asciiTheme="majorHAnsi" w:hAnsiTheme="majorHAnsi"/>
                <w:sz w:val="21"/>
                <w:szCs w:val="21"/>
              </w:rPr>
              <w:t>fletë</w:t>
            </w:r>
            <w:r w:rsidR="0093368D">
              <w:rPr>
                <w:rFonts w:asciiTheme="majorHAnsi" w:hAnsiTheme="majorHAnsi"/>
                <w:sz w:val="21"/>
                <w:szCs w:val="21"/>
              </w:rPr>
              <w:t>vler</w:t>
            </w:r>
            <w:r w:rsidR="0093368D" w:rsidRPr="004D2E1C">
              <w:rPr>
                <w:rFonts w:asciiTheme="majorHAnsi" w:hAnsiTheme="majorHAnsi"/>
                <w:sz w:val="21"/>
                <w:szCs w:val="21"/>
              </w:rPr>
              <w:t>ë</w:t>
            </w:r>
            <w:r w:rsidR="0093368D">
              <w:rPr>
                <w:rFonts w:asciiTheme="majorHAnsi" w:hAnsiTheme="majorHAnsi"/>
                <w:sz w:val="21"/>
                <w:szCs w:val="21"/>
              </w:rPr>
              <w:t>simit</w:t>
            </w:r>
            <w:r w:rsidRPr="004D2E1C">
              <w:rPr>
                <w:rFonts w:asciiTheme="majorHAnsi" w:hAnsiTheme="majorHAnsi"/>
                <w:sz w:val="21"/>
                <w:szCs w:val="21"/>
              </w:rPr>
              <w:t xml:space="preserve">, komuna është e mendimit se </w:t>
            </w:r>
            <w:r w:rsidR="00005886" w:rsidRPr="004D2E1C">
              <w:rPr>
                <w:rFonts w:asciiTheme="majorHAnsi" w:hAnsiTheme="majorHAnsi"/>
                <w:sz w:val="21"/>
                <w:szCs w:val="21"/>
              </w:rPr>
              <w:t xml:space="preserve">janë bërë </w:t>
            </w:r>
            <w:r w:rsidRPr="004D2E1C">
              <w:rPr>
                <w:rFonts w:asciiTheme="majorHAnsi" w:hAnsiTheme="majorHAnsi"/>
                <w:sz w:val="21"/>
                <w:szCs w:val="21"/>
              </w:rPr>
              <w:t xml:space="preserve">gabime procedurale ose materiale në vlerësimin </w:t>
            </w:r>
            <w:r w:rsidR="00613664">
              <w:rPr>
                <w:rFonts w:asciiTheme="majorHAnsi" w:hAnsiTheme="majorHAnsi"/>
                <w:sz w:val="21"/>
                <w:szCs w:val="21"/>
              </w:rPr>
              <w:t>për grantin e</w:t>
            </w:r>
            <w:r w:rsidR="00613664" w:rsidRPr="004D2E1C">
              <w:rPr>
                <w:rFonts w:asciiTheme="majorHAnsi" w:hAnsiTheme="majorHAnsi"/>
                <w:sz w:val="21"/>
                <w:szCs w:val="21"/>
              </w:rPr>
              <w:t xml:space="preserve"> </w:t>
            </w:r>
            <w:r w:rsidRPr="004D2E1C">
              <w:rPr>
                <w:rFonts w:asciiTheme="majorHAnsi" w:hAnsiTheme="majorHAnsi"/>
                <w:sz w:val="21"/>
                <w:szCs w:val="21"/>
              </w:rPr>
              <w:t xml:space="preserve">performancës, komuna ka </w:t>
            </w:r>
            <w:r w:rsidR="00501FA8">
              <w:rPr>
                <w:rFonts w:asciiTheme="majorHAnsi" w:hAnsiTheme="majorHAnsi"/>
                <w:sz w:val="21"/>
                <w:szCs w:val="21"/>
              </w:rPr>
              <w:t>t</w:t>
            </w:r>
            <w:r w:rsidR="007B6F16">
              <w:rPr>
                <w:rFonts w:asciiTheme="majorHAnsi" w:hAnsiTheme="majorHAnsi"/>
                <w:sz w:val="21"/>
                <w:szCs w:val="21"/>
              </w:rPr>
              <w:t>ë</w:t>
            </w:r>
            <w:r w:rsidR="00501FA8">
              <w:rPr>
                <w:rFonts w:asciiTheme="majorHAnsi" w:hAnsiTheme="majorHAnsi"/>
                <w:sz w:val="21"/>
                <w:szCs w:val="21"/>
              </w:rPr>
              <w:t xml:space="preserve"> drejt</w:t>
            </w:r>
            <w:r w:rsidR="007B6F16">
              <w:rPr>
                <w:rFonts w:asciiTheme="majorHAnsi" w:hAnsiTheme="majorHAnsi"/>
                <w:sz w:val="21"/>
                <w:szCs w:val="21"/>
              </w:rPr>
              <w:t>ë</w:t>
            </w:r>
            <w:r w:rsidR="00501FA8">
              <w:rPr>
                <w:rFonts w:asciiTheme="majorHAnsi" w:hAnsiTheme="majorHAnsi"/>
                <w:sz w:val="21"/>
                <w:szCs w:val="21"/>
              </w:rPr>
              <w:t xml:space="preserve"> </w:t>
            </w:r>
            <w:r w:rsidRPr="004D2E1C">
              <w:rPr>
                <w:rFonts w:asciiTheme="majorHAnsi" w:hAnsiTheme="majorHAnsi"/>
                <w:sz w:val="21"/>
                <w:szCs w:val="21"/>
              </w:rPr>
              <w:t xml:space="preserve">të </w:t>
            </w:r>
            <w:r w:rsidR="00501FA8">
              <w:rPr>
                <w:rFonts w:asciiTheme="majorHAnsi" w:hAnsiTheme="majorHAnsi"/>
                <w:sz w:val="21"/>
                <w:szCs w:val="21"/>
              </w:rPr>
              <w:t>parashtroj ankes</w:t>
            </w:r>
            <w:r w:rsidR="007B6F16">
              <w:rPr>
                <w:rFonts w:asciiTheme="majorHAnsi" w:hAnsiTheme="majorHAnsi"/>
                <w:sz w:val="21"/>
                <w:szCs w:val="21"/>
              </w:rPr>
              <w:t>ë</w:t>
            </w:r>
            <w:r w:rsidR="00501FA8">
              <w:rPr>
                <w:rFonts w:asciiTheme="majorHAnsi" w:hAnsiTheme="majorHAnsi"/>
                <w:sz w:val="21"/>
                <w:szCs w:val="21"/>
              </w:rPr>
              <w:t xml:space="preserve"> te </w:t>
            </w:r>
            <w:r w:rsidR="009D64E4">
              <w:rPr>
                <w:rFonts w:asciiTheme="majorHAnsi" w:hAnsiTheme="majorHAnsi"/>
                <w:sz w:val="21"/>
                <w:szCs w:val="21"/>
              </w:rPr>
              <w:t>k</w:t>
            </w:r>
            <w:r w:rsidRPr="004D2E1C">
              <w:rPr>
                <w:rFonts w:asciiTheme="majorHAnsi" w:hAnsiTheme="majorHAnsi"/>
                <w:sz w:val="21"/>
                <w:szCs w:val="21"/>
              </w:rPr>
              <w:t xml:space="preserve">omisioni </w:t>
            </w:r>
            <w:r w:rsidR="00501FA8">
              <w:rPr>
                <w:rFonts w:asciiTheme="majorHAnsi" w:hAnsiTheme="majorHAnsi"/>
                <w:sz w:val="21"/>
                <w:szCs w:val="21"/>
              </w:rPr>
              <w:t>i</w:t>
            </w:r>
            <w:r w:rsidR="00501FA8" w:rsidRPr="004D2E1C">
              <w:rPr>
                <w:rFonts w:asciiTheme="majorHAnsi" w:hAnsiTheme="majorHAnsi"/>
                <w:sz w:val="21"/>
                <w:szCs w:val="21"/>
              </w:rPr>
              <w:t xml:space="preserve"> </w:t>
            </w:r>
            <w:r w:rsidR="00501FA8">
              <w:rPr>
                <w:rFonts w:asciiTheme="majorHAnsi" w:hAnsiTheme="majorHAnsi"/>
                <w:sz w:val="21"/>
                <w:szCs w:val="21"/>
              </w:rPr>
              <w:t>ankesave</w:t>
            </w:r>
            <w:r w:rsidRPr="004D2E1C">
              <w:rPr>
                <w:rFonts w:asciiTheme="majorHAnsi" w:hAnsiTheme="majorHAnsi"/>
                <w:sz w:val="21"/>
                <w:szCs w:val="21"/>
              </w:rPr>
              <w:t>.</w:t>
            </w:r>
          </w:p>
          <w:p w14:paraId="787B5218" w14:textId="77777777" w:rsidR="00CD79F5" w:rsidRPr="004D2E1C" w:rsidRDefault="00CD79F5" w:rsidP="0008450B">
            <w:pPr>
              <w:spacing w:before="60"/>
              <w:rPr>
                <w:rFonts w:asciiTheme="majorHAnsi" w:hAnsiTheme="majorHAnsi"/>
                <w:sz w:val="21"/>
                <w:szCs w:val="21"/>
              </w:rPr>
            </w:pPr>
            <w:r w:rsidRPr="004D2E1C">
              <w:rPr>
                <w:rFonts w:asciiTheme="majorHAnsi" w:hAnsiTheme="majorHAnsi"/>
                <w:sz w:val="21"/>
                <w:szCs w:val="21"/>
              </w:rPr>
              <w:t>Ankesa duhet</w:t>
            </w:r>
            <w:r w:rsidR="00501FA8">
              <w:rPr>
                <w:rFonts w:asciiTheme="majorHAnsi" w:hAnsiTheme="majorHAnsi"/>
                <w:sz w:val="21"/>
                <w:szCs w:val="21"/>
              </w:rPr>
              <w:t xml:space="preserve"> t</w:t>
            </w:r>
            <w:r w:rsidR="007B6F16">
              <w:rPr>
                <w:rFonts w:asciiTheme="majorHAnsi" w:hAnsiTheme="majorHAnsi"/>
                <w:sz w:val="21"/>
                <w:szCs w:val="21"/>
              </w:rPr>
              <w:t>ë</w:t>
            </w:r>
            <w:r w:rsidR="00501FA8">
              <w:rPr>
                <w:rFonts w:asciiTheme="majorHAnsi" w:hAnsiTheme="majorHAnsi"/>
                <w:sz w:val="21"/>
                <w:szCs w:val="21"/>
              </w:rPr>
              <w:t>:</w:t>
            </w:r>
          </w:p>
          <w:p w14:paraId="2E095C8E" w14:textId="77777777" w:rsidR="00CD79F5" w:rsidRPr="004D2E1C" w:rsidRDefault="00501FA8" w:rsidP="009A3BEC">
            <w:pPr>
              <w:pStyle w:val="ListParagraph"/>
              <w:numPr>
                <w:ilvl w:val="0"/>
                <w:numId w:val="18"/>
              </w:numPr>
              <w:spacing w:before="40" w:after="0" w:line="240" w:lineRule="auto"/>
              <w:ind w:left="326" w:hanging="326"/>
              <w:rPr>
                <w:rFonts w:asciiTheme="majorHAnsi" w:hAnsiTheme="majorHAnsi"/>
                <w:sz w:val="21"/>
                <w:szCs w:val="21"/>
                <w:lang w:eastAsia="de-CH"/>
              </w:rPr>
            </w:pPr>
            <w:r>
              <w:rPr>
                <w:rFonts w:asciiTheme="majorHAnsi" w:hAnsiTheme="majorHAnsi"/>
                <w:sz w:val="21"/>
                <w:szCs w:val="21"/>
                <w:lang w:eastAsia="de-CH"/>
              </w:rPr>
              <w:t>A</w:t>
            </w:r>
            <w:r w:rsidR="00CD79F5" w:rsidRPr="004D2E1C">
              <w:rPr>
                <w:rFonts w:asciiTheme="majorHAnsi" w:hAnsiTheme="majorHAnsi"/>
                <w:sz w:val="21"/>
                <w:szCs w:val="21"/>
                <w:lang w:eastAsia="de-CH"/>
              </w:rPr>
              <w:t>rsyetohet me të dhëna faktike</w:t>
            </w:r>
            <w:r>
              <w:rPr>
                <w:rFonts w:asciiTheme="majorHAnsi" w:hAnsiTheme="majorHAnsi"/>
                <w:sz w:val="21"/>
                <w:szCs w:val="21"/>
                <w:lang w:eastAsia="de-CH"/>
              </w:rPr>
              <w:t>;</w:t>
            </w:r>
            <w:r w:rsidR="00CD79F5" w:rsidRPr="004D2E1C">
              <w:rPr>
                <w:rFonts w:asciiTheme="majorHAnsi" w:hAnsiTheme="majorHAnsi"/>
                <w:sz w:val="21"/>
                <w:szCs w:val="21"/>
                <w:lang w:eastAsia="de-CH"/>
              </w:rPr>
              <w:t xml:space="preserve"> </w:t>
            </w:r>
          </w:p>
          <w:p w14:paraId="3830748D" w14:textId="77777777" w:rsidR="00CD79F5" w:rsidRPr="004D2E1C" w:rsidRDefault="00501FA8" w:rsidP="009A3BEC">
            <w:pPr>
              <w:pStyle w:val="ListParagraph"/>
              <w:numPr>
                <w:ilvl w:val="0"/>
                <w:numId w:val="18"/>
              </w:numPr>
              <w:spacing w:before="40" w:after="0" w:line="240" w:lineRule="auto"/>
              <w:ind w:left="326" w:hanging="326"/>
              <w:rPr>
                <w:rFonts w:asciiTheme="majorHAnsi" w:hAnsiTheme="majorHAnsi"/>
                <w:sz w:val="21"/>
                <w:szCs w:val="21"/>
                <w:lang w:eastAsia="de-CH"/>
              </w:rPr>
            </w:pPr>
            <w:r>
              <w:rPr>
                <w:rFonts w:asciiTheme="majorHAnsi" w:hAnsiTheme="majorHAnsi"/>
                <w:sz w:val="21"/>
                <w:szCs w:val="21"/>
                <w:lang w:eastAsia="de-CH"/>
              </w:rPr>
              <w:t>N</w:t>
            </w:r>
            <w:r w:rsidR="00CD79F5" w:rsidRPr="004D2E1C">
              <w:rPr>
                <w:rFonts w:asciiTheme="majorHAnsi" w:hAnsiTheme="majorHAnsi"/>
                <w:sz w:val="21"/>
                <w:szCs w:val="21"/>
                <w:lang w:eastAsia="de-CH"/>
              </w:rPr>
              <w:t xml:space="preserve">ënshkruhet nga kryetari i komunës </w:t>
            </w:r>
            <w:r>
              <w:rPr>
                <w:rFonts w:asciiTheme="majorHAnsi" w:hAnsiTheme="majorHAnsi"/>
                <w:sz w:val="21"/>
                <w:szCs w:val="21"/>
                <w:lang w:eastAsia="de-CH"/>
              </w:rPr>
              <w:t>dhe t</w:t>
            </w:r>
            <w:r w:rsidR="007B6F16">
              <w:rPr>
                <w:rFonts w:asciiTheme="majorHAnsi" w:hAnsiTheme="majorHAnsi"/>
                <w:sz w:val="21"/>
                <w:szCs w:val="21"/>
                <w:lang w:eastAsia="de-CH"/>
              </w:rPr>
              <w:t>ë</w:t>
            </w:r>
            <w:r>
              <w:rPr>
                <w:rFonts w:asciiTheme="majorHAnsi" w:hAnsiTheme="majorHAnsi"/>
                <w:sz w:val="21"/>
                <w:szCs w:val="21"/>
                <w:lang w:eastAsia="de-CH"/>
              </w:rPr>
              <w:t xml:space="preserve"> jet</w:t>
            </w:r>
            <w:r w:rsidR="007B6F16">
              <w:rPr>
                <w:rFonts w:asciiTheme="majorHAnsi" w:hAnsiTheme="majorHAnsi"/>
                <w:sz w:val="21"/>
                <w:szCs w:val="21"/>
                <w:lang w:eastAsia="de-CH"/>
              </w:rPr>
              <w:t>ë</w:t>
            </w:r>
            <w:r>
              <w:rPr>
                <w:rFonts w:asciiTheme="majorHAnsi" w:hAnsiTheme="majorHAnsi"/>
                <w:sz w:val="21"/>
                <w:szCs w:val="21"/>
                <w:lang w:eastAsia="de-CH"/>
              </w:rPr>
              <w:t xml:space="preserve"> e protokoluar; </w:t>
            </w:r>
          </w:p>
          <w:p w14:paraId="35F40B35" w14:textId="77777777" w:rsidR="00CD79F5" w:rsidRPr="004D2E1C" w:rsidRDefault="00501FA8" w:rsidP="009A3BEC">
            <w:pPr>
              <w:pStyle w:val="ListParagraph"/>
              <w:numPr>
                <w:ilvl w:val="0"/>
                <w:numId w:val="18"/>
              </w:numPr>
              <w:spacing w:before="40" w:after="0" w:line="240" w:lineRule="auto"/>
              <w:ind w:left="326" w:hanging="326"/>
              <w:rPr>
                <w:rFonts w:asciiTheme="majorHAnsi" w:hAnsiTheme="majorHAnsi"/>
                <w:sz w:val="21"/>
                <w:szCs w:val="21"/>
                <w:lang w:eastAsia="de-CH"/>
              </w:rPr>
            </w:pPr>
            <w:r>
              <w:rPr>
                <w:rFonts w:asciiTheme="majorHAnsi" w:hAnsiTheme="majorHAnsi"/>
                <w:sz w:val="21"/>
                <w:szCs w:val="21"/>
                <w:lang w:eastAsia="de-CH"/>
              </w:rPr>
              <w:t>D</w:t>
            </w:r>
            <w:r w:rsidR="00CD79F5" w:rsidRPr="004D2E1C">
              <w:rPr>
                <w:rFonts w:asciiTheme="majorHAnsi" w:hAnsiTheme="majorHAnsi"/>
                <w:sz w:val="21"/>
                <w:szCs w:val="21"/>
                <w:lang w:eastAsia="de-CH"/>
              </w:rPr>
              <w:t>orëzohet me shkrim në:</w:t>
            </w:r>
          </w:p>
          <w:p w14:paraId="6E5EBCC1" w14:textId="77777777" w:rsidR="00CD79F5" w:rsidRPr="004D2E1C" w:rsidRDefault="00CD79F5" w:rsidP="0008450B">
            <w:pPr>
              <w:ind w:firstLine="601"/>
              <w:rPr>
                <w:rFonts w:asciiTheme="majorHAnsi" w:hAnsiTheme="majorHAnsi"/>
                <w:sz w:val="21"/>
                <w:szCs w:val="21"/>
              </w:rPr>
            </w:pPr>
            <w:r w:rsidRPr="004D2E1C">
              <w:rPr>
                <w:rFonts w:asciiTheme="majorHAnsi" w:hAnsiTheme="majorHAnsi"/>
                <w:sz w:val="21"/>
                <w:szCs w:val="21"/>
              </w:rPr>
              <w:t xml:space="preserve">Komisionin e </w:t>
            </w:r>
            <w:r w:rsidR="002301B3">
              <w:rPr>
                <w:rFonts w:asciiTheme="majorHAnsi" w:hAnsiTheme="majorHAnsi"/>
                <w:sz w:val="21"/>
                <w:szCs w:val="21"/>
              </w:rPr>
              <w:t>ankesave</w:t>
            </w:r>
          </w:p>
          <w:p w14:paraId="437C2369" w14:textId="77777777" w:rsidR="00CD79F5" w:rsidRPr="004D2E1C" w:rsidRDefault="00983951" w:rsidP="0008450B">
            <w:pPr>
              <w:ind w:firstLine="601"/>
              <w:rPr>
                <w:rFonts w:asciiTheme="majorHAnsi" w:hAnsiTheme="majorHAnsi"/>
                <w:sz w:val="21"/>
                <w:szCs w:val="21"/>
              </w:rPr>
            </w:pPr>
            <w:r>
              <w:rPr>
                <w:rFonts w:asciiTheme="majorHAnsi" w:hAnsiTheme="majorHAnsi"/>
                <w:sz w:val="21"/>
                <w:szCs w:val="21"/>
              </w:rPr>
              <w:t>Ministria e Pushtetit Lokal</w:t>
            </w:r>
          </w:p>
          <w:p w14:paraId="0C67512F" w14:textId="1BEE3CB1" w:rsidR="007C2661" w:rsidRDefault="00CD79F5" w:rsidP="07D96137">
            <w:pPr>
              <w:ind w:firstLine="601"/>
              <w:rPr>
                <w:rFonts w:asciiTheme="majorHAnsi" w:hAnsiTheme="majorHAnsi"/>
                <w:sz w:val="21"/>
                <w:szCs w:val="21"/>
              </w:rPr>
            </w:pPr>
            <w:r w:rsidRPr="07D96137">
              <w:rPr>
                <w:rFonts w:asciiTheme="majorHAnsi" w:hAnsiTheme="majorHAnsi"/>
                <w:sz w:val="21"/>
                <w:szCs w:val="21"/>
              </w:rPr>
              <w:t xml:space="preserve">E-mail: </w:t>
            </w:r>
            <w:r w:rsidR="00B9588F">
              <w:rPr>
                <w:sz w:val="24"/>
                <w:szCs w:val="24"/>
              </w:rPr>
              <w:fldChar w:fldCharType="begin"/>
            </w:r>
            <w:r w:rsidR="00B9588F">
              <w:instrText xml:space="preserve"> HYPERLINK "mailto:info.mapl@rks-gov.net" </w:instrText>
            </w:r>
            <w:r w:rsidR="00B9588F">
              <w:rPr>
                <w:sz w:val="24"/>
                <w:szCs w:val="24"/>
              </w:rPr>
              <w:fldChar w:fldCharType="separate"/>
            </w:r>
            <w:r w:rsidR="00BB2987" w:rsidRPr="00691452">
              <w:rPr>
                <w:rStyle w:val="Hyperlink"/>
                <w:rFonts w:asciiTheme="majorHAnsi" w:hAnsiTheme="majorHAnsi"/>
                <w:sz w:val="21"/>
                <w:szCs w:val="21"/>
              </w:rPr>
              <w:t>info.mapl@rks-gov.net</w:t>
            </w:r>
            <w:r w:rsidR="00B9588F">
              <w:rPr>
                <w:rStyle w:val="Hyperlink"/>
                <w:rFonts w:asciiTheme="majorHAnsi" w:hAnsiTheme="majorHAnsi"/>
                <w:sz w:val="21"/>
                <w:szCs w:val="21"/>
              </w:rPr>
              <w:fldChar w:fldCharType="end"/>
            </w:r>
            <w:r w:rsidR="00CD16A4" w:rsidRPr="07D96137">
              <w:rPr>
                <w:rFonts w:asciiTheme="majorHAnsi" w:hAnsiTheme="majorHAnsi"/>
                <w:sz w:val="21"/>
                <w:szCs w:val="21"/>
              </w:rPr>
              <w:t xml:space="preserve"> </w:t>
            </w:r>
          </w:p>
          <w:p w14:paraId="72A229F9" w14:textId="4AE83776" w:rsidR="00CD79F5" w:rsidRPr="004D2E1C" w:rsidRDefault="00CD79F5" w:rsidP="07D96137">
            <w:pPr>
              <w:ind w:left="625" w:hanging="24"/>
              <w:rPr>
                <w:rFonts w:asciiTheme="majorHAnsi" w:hAnsiTheme="majorHAnsi"/>
                <w:sz w:val="21"/>
                <w:szCs w:val="21"/>
              </w:rPr>
            </w:pPr>
            <w:r w:rsidRPr="07D96137">
              <w:rPr>
                <w:rFonts w:asciiTheme="majorHAnsi" w:hAnsiTheme="majorHAnsi"/>
                <w:sz w:val="21"/>
                <w:szCs w:val="21"/>
              </w:rPr>
              <w:t>Pas dorëzimit</w:t>
            </w:r>
            <w:r w:rsidR="007C3F40" w:rsidRPr="07D96137">
              <w:rPr>
                <w:rFonts w:asciiTheme="majorHAnsi" w:hAnsiTheme="majorHAnsi"/>
                <w:sz w:val="21"/>
                <w:szCs w:val="21"/>
              </w:rPr>
              <w:t xml:space="preserve"> t</w:t>
            </w:r>
            <w:r w:rsidR="007B6F16" w:rsidRPr="07D96137">
              <w:rPr>
                <w:rFonts w:asciiTheme="majorHAnsi" w:hAnsiTheme="majorHAnsi"/>
                <w:sz w:val="21"/>
                <w:szCs w:val="21"/>
              </w:rPr>
              <w:t>ë</w:t>
            </w:r>
            <w:r w:rsidR="007C3F40" w:rsidRPr="07D96137">
              <w:rPr>
                <w:rFonts w:asciiTheme="majorHAnsi" w:hAnsiTheme="majorHAnsi"/>
                <w:sz w:val="21"/>
                <w:szCs w:val="21"/>
              </w:rPr>
              <w:t xml:space="preserve"> ankes</w:t>
            </w:r>
            <w:r w:rsidR="007B6F16" w:rsidRPr="07D96137">
              <w:rPr>
                <w:rFonts w:asciiTheme="majorHAnsi" w:hAnsiTheme="majorHAnsi"/>
                <w:sz w:val="21"/>
                <w:szCs w:val="21"/>
              </w:rPr>
              <w:t>ë</w:t>
            </w:r>
            <w:r w:rsidR="007C3F40" w:rsidRPr="07D96137">
              <w:rPr>
                <w:rFonts w:asciiTheme="majorHAnsi" w:hAnsiTheme="majorHAnsi"/>
                <w:sz w:val="21"/>
                <w:szCs w:val="21"/>
              </w:rPr>
              <w:t>s</w:t>
            </w:r>
            <w:r w:rsidRPr="07D96137">
              <w:rPr>
                <w:rFonts w:asciiTheme="majorHAnsi" w:hAnsiTheme="majorHAnsi"/>
                <w:sz w:val="21"/>
                <w:szCs w:val="21"/>
              </w:rPr>
              <w:t xml:space="preserve">, </w:t>
            </w:r>
            <w:r w:rsidR="68FFC616" w:rsidRPr="07D96137">
              <w:rPr>
                <w:rFonts w:asciiTheme="majorHAnsi" w:hAnsiTheme="majorHAnsi"/>
                <w:sz w:val="21"/>
                <w:szCs w:val="21"/>
              </w:rPr>
              <w:t>MAPL</w:t>
            </w:r>
            <w:r w:rsidR="007C3F40" w:rsidRPr="07D96137">
              <w:rPr>
                <w:rFonts w:asciiTheme="majorHAnsi" w:hAnsiTheme="majorHAnsi"/>
                <w:sz w:val="21"/>
                <w:szCs w:val="21"/>
              </w:rPr>
              <w:t xml:space="preserve"> konfirmon me shkrim pranimin e ankes</w:t>
            </w:r>
            <w:r w:rsidR="007B6F16" w:rsidRPr="07D96137">
              <w:rPr>
                <w:rFonts w:asciiTheme="majorHAnsi" w:hAnsiTheme="majorHAnsi"/>
                <w:sz w:val="21"/>
                <w:szCs w:val="21"/>
              </w:rPr>
              <w:t>ë</w:t>
            </w:r>
            <w:r w:rsidR="007C3F40" w:rsidRPr="07D96137">
              <w:rPr>
                <w:rFonts w:asciiTheme="majorHAnsi" w:hAnsiTheme="majorHAnsi"/>
                <w:sz w:val="21"/>
                <w:szCs w:val="21"/>
              </w:rPr>
              <w:t>s.</w:t>
            </w:r>
            <w:r w:rsidRPr="07D96137">
              <w:rPr>
                <w:rFonts w:asciiTheme="majorHAnsi" w:hAnsiTheme="majorHAnsi"/>
                <w:sz w:val="21"/>
                <w:szCs w:val="21"/>
                <w:lang w:eastAsia="en-GB"/>
              </w:rPr>
              <w:t xml:space="preserve">  </w:t>
            </w:r>
          </w:p>
        </w:tc>
        <w:tc>
          <w:tcPr>
            <w:tcW w:w="2268" w:type="dxa"/>
            <w:shd w:val="clear" w:color="auto" w:fill="DBE5F1" w:themeFill="accent1" w:themeFillTint="33"/>
          </w:tcPr>
          <w:p w14:paraId="5231349C" w14:textId="77777777" w:rsidR="00CD79F5" w:rsidRPr="004D2E1C" w:rsidRDefault="00CD79F5" w:rsidP="002301B3">
            <w:pPr>
              <w:spacing w:before="120"/>
              <w:rPr>
                <w:rFonts w:asciiTheme="majorHAnsi" w:hAnsiTheme="majorHAnsi"/>
                <w:sz w:val="21"/>
                <w:szCs w:val="21"/>
              </w:rPr>
            </w:pPr>
            <w:r w:rsidRPr="004D2E1C">
              <w:rPr>
                <w:rFonts w:asciiTheme="majorHAnsi" w:hAnsiTheme="majorHAnsi"/>
                <w:sz w:val="21"/>
                <w:szCs w:val="21"/>
              </w:rPr>
              <w:t xml:space="preserve">Brenda </w:t>
            </w:r>
            <w:r w:rsidR="002301B3">
              <w:rPr>
                <w:rFonts w:asciiTheme="majorHAnsi" w:hAnsiTheme="majorHAnsi"/>
                <w:sz w:val="21"/>
                <w:szCs w:val="21"/>
              </w:rPr>
              <w:t>7</w:t>
            </w:r>
            <w:r w:rsidRPr="004D2E1C">
              <w:rPr>
                <w:rFonts w:asciiTheme="majorHAnsi" w:hAnsiTheme="majorHAnsi"/>
                <w:sz w:val="21"/>
                <w:szCs w:val="21"/>
              </w:rPr>
              <w:t xml:space="preserve"> ditë</w:t>
            </w:r>
            <w:r w:rsidR="002301B3">
              <w:rPr>
                <w:rFonts w:asciiTheme="majorHAnsi" w:hAnsiTheme="majorHAnsi"/>
                <w:sz w:val="21"/>
                <w:szCs w:val="21"/>
              </w:rPr>
              <w:t>sh</w:t>
            </w:r>
            <w:r w:rsidRPr="004D2E1C">
              <w:rPr>
                <w:rFonts w:asciiTheme="majorHAnsi" w:hAnsiTheme="majorHAnsi"/>
                <w:sz w:val="21"/>
                <w:szCs w:val="21"/>
              </w:rPr>
              <w:t xml:space="preserve"> nga marrja e fletë</w:t>
            </w:r>
            <w:r w:rsidR="00E81916">
              <w:rPr>
                <w:rFonts w:asciiTheme="majorHAnsi" w:hAnsiTheme="majorHAnsi"/>
                <w:sz w:val="21"/>
                <w:szCs w:val="21"/>
              </w:rPr>
              <w:t>vler</w:t>
            </w:r>
            <w:r w:rsidR="00210D4C">
              <w:rPr>
                <w:rFonts w:asciiTheme="majorHAnsi" w:hAnsiTheme="majorHAnsi"/>
                <w:sz w:val="21"/>
                <w:szCs w:val="21"/>
              </w:rPr>
              <w:t>ë</w:t>
            </w:r>
            <w:r w:rsidR="00E81916">
              <w:rPr>
                <w:rFonts w:asciiTheme="majorHAnsi" w:hAnsiTheme="majorHAnsi"/>
                <w:sz w:val="21"/>
                <w:szCs w:val="21"/>
              </w:rPr>
              <w:t>simit</w:t>
            </w:r>
            <w:r w:rsidRPr="004D2E1C">
              <w:rPr>
                <w:rFonts w:asciiTheme="majorHAnsi" w:hAnsiTheme="majorHAnsi"/>
                <w:sz w:val="21"/>
                <w:szCs w:val="21"/>
              </w:rPr>
              <w:t>, para orës 16:00</w:t>
            </w:r>
          </w:p>
        </w:tc>
      </w:tr>
      <w:tr w:rsidR="000011E3" w:rsidRPr="004D2E1C" w14:paraId="0B39F89C" w14:textId="77777777" w:rsidTr="07D96137">
        <w:trPr>
          <w:trHeight w:val="2723"/>
        </w:trPr>
        <w:tc>
          <w:tcPr>
            <w:tcW w:w="709" w:type="dxa"/>
          </w:tcPr>
          <w:p w14:paraId="015588F9" w14:textId="77777777" w:rsidR="000011E3" w:rsidRPr="004D2E1C" w:rsidRDefault="000011E3" w:rsidP="0008450B">
            <w:pPr>
              <w:spacing w:before="80"/>
              <w:jc w:val="center"/>
              <w:rPr>
                <w:rFonts w:asciiTheme="majorHAnsi" w:hAnsiTheme="majorHAnsi"/>
                <w:sz w:val="21"/>
                <w:szCs w:val="21"/>
              </w:rPr>
            </w:pPr>
            <w:r w:rsidRPr="004D2E1C">
              <w:rPr>
                <w:rFonts w:asciiTheme="majorHAnsi" w:hAnsiTheme="majorHAnsi"/>
                <w:sz w:val="21"/>
                <w:szCs w:val="21"/>
              </w:rPr>
              <w:t>2.</w:t>
            </w:r>
          </w:p>
        </w:tc>
        <w:tc>
          <w:tcPr>
            <w:tcW w:w="5245" w:type="dxa"/>
          </w:tcPr>
          <w:p w14:paraId="497456F4" w14:textId="77777777" w:rsidR="000011E3" w:rsidRPr="004D2E1C" w:rsidRDefault="002301B3" w:rsidP="003055B8">
            <w:pPr>
              <w:shd w:val="clear" w:color="auto" w:fill="FFFFFF"/>
              <w:spacing w:before="80"/>
              <w:textAlignment w:val="baseline"/>
              <w:rPr>
                <w:rFonts w:asciiTheme="majorHAnsi" w:hAnsiTheme="majorHAnsi"/>
                <w:sz w:val="21"/>
                <w:szCs w:val="21"/>
                <w:lang w:eastAsia="en-GB"/>
              </w:rPr>
            </w:pPr>
            <w:r>
              <w:rPr>
                <w:rFonts w:asciiTheme="majorHAnsi" w:hAnsiTheme="majorHAnsi"/>
                <w:sz w:val="21"/>
                <w:szCs w:val="21"/>
              </w:rPr>
              <w:t>Komisioni i ankesave</w:t>
            </w:r>
            <w:r w:rsidR="000011E3" w:rsidRPr="004D2E1C">
              <w:rPr>
                <w:rFonts w:asciiTheme="majorHAnsi" w:hAnsiTheme="majorHAnsi"/>
                <w:sz w:val="21"/>
                <w:szCs w:val="21"/>
              </w:rPr>
              <w:t xml:space="preserve"> </w:t>
            </w:r>
            <w:r w:rsidR="00716D6A">
              <w:rPr>
                <w:rFonts w:asciiTheme="majorHAnsi" w:hAnsiTheme="majorHAnsi"/>
                <w:sz w:val="21"/>
                <w:szCs w:val="21"/>
              </w:rPr>
              <w:t xml:space="preserve">i </w:t>
            </w:r>
            <w:r w:rsidR="000011E3" w:rsidRPr="004D2E1C">
              <w:rPr>
                <w:rFonts w:asciiTheme="majorHAnsi" w:hAnsiTheme="majorHAnsi"/>
                <w:sz w:val="21"/>
                <w:szCs w:val="21"/>
              </w:rPr>
              <w:t>shqyrto</w:t>
            </w:r>
            <w:r w:rsidR="00716D6A">
              <w:rPr>
                <w:rFonts w:asciiTheme="majorHAnsi" w:hAnsiTheme="majorHAnsi"/>
                <w:sz w:val="21"/>
                <w:szCs w:val="21"/>
              </w:rPr>
              <w:t>n</w:t>
            </w:r>
            <w:r w:rsidR="000011E3" w:rsidRPr="004D2E1C">
              <w:rPr>
                <w:rFonts w:asciiTheme="majorHAnsi" w:hAnsiTheme="majorHAnsi"/>
                <w:sz w:val="21"/>
                <w:szCs w:val="21"/>
              </w:rPr>
              <w:t xml:space="preserve"> ankes</w:t>
            </w:r>
            <w:r w:rsidR="000011E3">
              <w:rPr>
                <w:rFonts w:asciiTheme="majorHAnsi" w:hAnsiTheme="majorHAnsi"/>
                <w:sz w:val="21"/>
                <w:szCs w:val="21"/>
              </w:rPr>
              <w:t>at</w:t>
            </w:r>
            <w:r w:rsidR="000011E3" w:rsidRPr="004D2E1C">
              <w:rPr>
                <w:rFonts w:asciiTheme="majorHAnsi" w:hAnsiTheme="majorHAnsi"/>
                <w:sz w:val="21"/>
                <w:szCs w:val="21"/>
              </w:rPr>
              <w:t xml:space="preserve"> </w:t>
            </w:r>
            <w:r w:rsidR="00716D6A">
              <w:rPr>
                <w:rFonts w:asciiTheme="majorHAnsi" w:hAnsiTheme="majorHAnsi"/>
                <w:sz w:val="21"/>
                <w:szCs w:val="21"/>
              </w:rPr>
              <w:t>dhe merr vendim lidhur me ankesat e parashtruara</w:t>
            </w:r>
            <w:r w:rsidR="000011E3" w:rsidRPr="004D2E1C">
              <w:rPr>
                <w:rFonts w:asciiTheme="majorHAnsi" w:hAnsiTheme="majorHAnsi"/>
                <w:sz w:val="21"/>
                <w:szCs w:val="21"/>
              </w:rPr>
              <w:t xml:space="preserve">. </w:t>
            </w:r>
          </w:p>
        </w:tc>
        <w:tc>
          <w:tcPr>
            <w:tcW w:w="2268" w:type="dxa"/>
          </w:tcPr>
          <w:p w14:paraId="0F38A5B6" w14:textId="77777777" w:rsidR="000011E3" w:rsidRPr="004D2E1C" w:rsidRDefault="000011E3" w:rsidP="001B4E4E">
            <w:pPr>
              <w:spacing w:before="80"/>
              <w:rPr>
                <w:rFonts w:asciiTheme="majorHAnsi" w:hAnsiTheme="majorHAnsi"/>
                <w:sz w:val="21"/>
                <w:szCs w:val="21"/>
              </w:rPr>
            </w:pPr>
            <w:r w:rsidRPr="004D2E1C">
              <w:rPr>
                <w:rFonts w:asciiTheme="majorHAnsi" w:hAnsiTheme="majorHAnsi"/>
                <w:sz w:val="21"/>
                <w:szCs w:val="21"/>
              </w:rPr>
              <w:t xml:space="preserve">Brenda </w:t>
            </w:r>
            <w:r w:rsidR="0065539D">
              <w:rPr>
                <w:rFonts w:asciiTheme="majorHAnsi" w:hAnsiTheme="majorHAnsi"/>
                <w:sz w:val="21"/>
                <w:szCs w:val="21"/>
              </w:rPr>
              <w:t>7</w:t>
            </w:r>
            <w:r>
              <w:rPr>
                <w:rFonts w:asciiTheme="majorHAnsi" w:hAnsiTheme="majorHAnsi"/>
                <w:sz w:val="21"/>
                <w:szCs w:val="21"/>
              </w:rPr>
              <w:t xml:space="preserve"> ditë</w:t>
            </w:r>
            <w:r w:rsidR="0065539D">
              <w:rPr>
                <w:rFonts w:asciiTheme="majorHAnsi" w:hAnsiTheme="majorHAnsi"/>
                <w:sz w:val="21"/>
                <w:szCs w:val="21"/>
              </w:rPr>
              <w:t>sh</w:t>
            </w:r>
            <w:r>
              <w:rPr>
                <w:rFonts w:asciiTheme="majorHAnsi" w:hAnsiTheme="majorHAnsi"/>
                <w:sz w:val="21"/>
                <w:szCs w:val="21"/>
              </w:rPr>
              <w:t xml:space="preserve"> </w:t>
            </w:r>
            <w:r w:rsidRPr="004D2E1C">
              <w:rPr>
                <w:rFonts w:asciiTheme="majorHAnsi" w:hAnsiTheme="majorHAnsi"/>
                <w:sz w:val="21"/>
                <w:szCs w:val="21"/>
              </w:rPr>
              <w:t xml:space="preserve">pas mbylljes së afatit </w:t>
            </w:r>
            <w:r w:rsidR="0065539D">
              <w:rPr>
                <w:rFonts w:asciiTheme="majorHAnsi" w:hAnsiTheme="majorHAnsi"/>
                <w:sz w:val="21"/>
                <w:szCs w:val="21"/>
              </w:rPr>
              <w:t>t</w:t>
            </w:r>
            <w:r w:rsidRPr="004D2E1C">
              <w:rPr>
                <w:rFonts w:asciiTheme="majorHAnsi" w:hAnsiTheme="majorHAnsi"/>
                <w:sz w:val="21"/>
                <w:szCs w:val="21"/>
              </w:rPr>
              <w:t xml:space="preserve">ë </w:t>
            </w:r>
            <w:r w:rsidR="001B4E4E">
              <w:rPr>
                <w:rFonts w:asciiTheme="majorHAnsi" w:hAnsiTheme="majorHAnsi"/>
                <w:sz w:val="21"/>
                <w:szCs w:val="21"/>
              </w:rPr>
              <w:t>ankes</w:t>
            </w:r>
            <w:r w:rsidR="00C87181">
              <w:rPr>
                <w:rFonts w:asciiTheme="majorHAnsi" w:hAnsiTheme="majorHAnsi"/>
                <w:sz w:val="21"/>
                <w:szCs w:val="21"/>
              </w:rPr>
              <w:t>ë</w:t>
            </w:r>
            <w:r w:rsidR="001B4E4E">
              <w:rPr>
                <w:rFonts w:asciiTheme="majorHAnsi" w:hAnsiTheme="majorHAnsi"/>
                <w:sz w:val="21"/>
                <w:szCs w:val="21"/>
              </w:rPr>
              <w:t>s</w:t>
            </w:r>
          </w:p>
        </w:tc>
      </w:tr>
      <w:tr w:rsidR="001A72B6" w:rsidRPr="004D2E1C" w14:paraId="4E7D4EDE" w14:textId="77777777" w:rsidTr="07D96137">
        <w:trPr>
          <w:trHeight w:val="2723"/>
        </w:trPr>
        <w:tc>
          <w:tcPr>
            <w:tcW w:w="709" w:type="dxa"/>
            <w:shd w:val="clear" w:color="auto" w:fill="DBE5F1" w:themeFill="accent1" w:themeFillTint="33"/>
          </w:tcPr>
          <w:p w14:paraId="4A0322B5" w14:textId="77777777" w:rsidR="001A72B6" w:rsidRPr="004D2E1C" w:rsidRDefault="001A72B6" w:rsidP="0008450B">
            <w:pPr>
              <w:spacing w:before="80"/>
              <w:jc w:val="center"/>
              <w:rPr>
                <w:rFonts w:asciiTheme="majorHAnsi" w:hAnsiTheme="majorHAnsi"/>
                <w:sz w:val="21"/>
                <w:szCs w:val="21"/>
              </w:rPr>
            </w:pPr>
            <w:r>
              <w:rPr>
                <w:rFonts w:asciiTheme="majorHAnsi" w:hAnsiTheme="majorHAnsi"/>
                <w:sz w:val="21"/>
                <w:szCs w:val="21"/>
              </w:rPr>
              <w:lastRenderedPageBreak/>
              <w:t>3</w:t>
            </w:r>
          </w:p>
        </w:tc>
        <w:tc>
          <w:tcPr>
            <w:tcW w:w="5245" w:type="dxa"/>
            <w:shd w:val="clear" w:color="auto" w:fill="DBE5F1" w:themeFill="accent1" w:themeFillTint="33"/>
          </w:tcPr>
          <w:p w14:paraId="75574FC5" w14:textId="2BA59039" w:rsidR="001A72B6" w:rsidDel="002301B3" w:rsidRDefault="001A72B6" w:rsidP="00792B62">
            <w:pPr>
              <w:spacing w:before="80"/>
              <w:rPr>
                <w:rFonts w:asciiTheme="majorHAnsi" w:hAnsiTheme="majorHAnsi"/>
                <w:sz w:val="21"/>
                <w:szCs w:val="21"/>
              </w:rPr>
            </w:pPr>
            <w:r>
              <w:rPr>
                <w:rFonts w:asciiTheme="majorHAnsi" w:hAnsiTheme="majorHAnsi"/>
                <w:sz w:val="21"/>
                <w:szCs w:val="21"/>
              </w:rPr>
              <w:t>N</w:t>
            </w:r>
            <w:r w:rsidR="00675BB6">
              <w:rPr>
                <w:rFonts w:asciiTheme="majorHAnsi" w:hAnsiTheme="majorHAnsi"/>
                <w:sz w:val="21"/>
                <w:szCs w:val="21"/>
              </w:rPr>
              <w:t>ë</w:t>
            </w:r>
            <w:r>
              <w:rPr>
                <w:rFonts w:asciiTheme="majorHAnsi" w:hAnsiTheme="majorHAnsi"/>
                <w:sz w:val="21"/>
                <w:szCs w:val="21"/>
              </w:rPr>
              <w:t xml:space="preserve"> rast t</w:t>
            </w:r>
            <w:r w:rsidR="00675BB6">
              <w:rPr>
                <w:rFonts w:asciiTheme="majorHAnsi" w:hAnsiTheme="majorHAnsi"/>
                <w:sz w:val="21"/>
                <w:szCs w:val="21"/>
              </w:rPr>
              <w:t>ë</w:t>
            </w:r>
            <w:r>
              <w:rPr>
                <w:rFonts w:asciiTheme="majorHAnsi" w:hAnsiTheme="majorHAnsi"/>
                <w:sz w:val="21"/>
                <w:szCs w:val="21"/>
              </w:rPr>
              <w:t xml:space="preserve"> ndryshimit t</w:t>
            </w:r>
            <w:r w:rsidR="00675BB6">
              <w:rPr>
                <w:rFonts w:asciiTheme="majorHAnsi" w:hAnsiTheme="majorHAnsi"/>
                <w:sz w:val="21"/>
                <w:szCs w:val="21"/>
              </w:rPr>
              <w:t>ë</w:t>
            </w:r>
            <w:r>
              <w:rPr>
                <w:rFonts w:asciiTheme="majorHAnsi" w:hAnsiTheme="majorHAnsi"/>
                <w:sz w:val="21"/>
                <w:szCs w:val="21"/>
              </w:rPr>
              <w:t xml:space="preserve"> rezultateve t</w:t>
            </w:r>
            <w:r w:rsidR="00675BB6">
              <w:rPr>
                <w:rFonts w:asciiTheme="majorHAnsi" w:hAnsiTheme="majorHAnsi"/>
                <w:sz w:val="21"/>
                <w:szCs w:val="21"/>
              </w:rPr>
              <w:t>ë</w:t>
            </w:r>
            <w:r>
              <w:rPr>
                <w:rFonts w:asciiTheme="majorHAnsi" w:hAnsiTheme="majorHAnsi"/>
                <w:sz w:val="21"/>
                <w:szCs w:val="21"/>
              </w:rPr>
              <w:t xml:space="preserve"> vler</w:t>
            </w:r>
            <w:r w:rsidR="00675BB6">
              <w:rPr>
                <w:rFonts w:asciiTheme="majorHAnsi" w:hAnsiTheme="majorHAnsi"/>
                <w:sz w:val="21"/>
                <w:szCs w:val="21"/>
              </w:rPr>
              <w:t>ë</w:t>
            </w:r>
            <w:r>
              <w:rPr>
                <w:rFonts w:asciiTheme="majorHAnsi" w:hAnsiTheme="majorHAnsi"/>
                <w:sz w:val="21"/>
                <w:szCs w:val="21"/>
              </w:rPr>
              <w:t>simit si rezultat i Vendimit t</w:t>
            </w:r>
            <w:r w:rsidR="00675BB6">
              <w:rPr>
                <w:rFonts w:asciiTheme="majorHAnsi" w:hAnsiTheme="majorHAnsi"/>
                <w:sz w:val="21"/>
                <w:szCs w:val="21"/>
              </w:rPr>
              <w:t>ë</w:t>
            </w:r>
            <w:r>
              <w:rPr>
                <w:rFonts w:asciiTheme="majorHAnsi" w:hAnsiTheme="majorHAnsi"/>
                <w:sz w:val="21"/>
                <w:szCs w:val="21"/>
              </w:rPr>
              <w:t xml:space="preserve"> Komisionit t</w:t>
            </w:r>
            <w:r w:rsidR="00675BB6">
              <w:rPr>
                <w:rFonts w:asciiTheme="majorHAnsi" w:hAnsiTheme="majorHAnsi"/>
                <w:sz w:val="21"/>
                <w:szCs w:val="21"/>
              </w:rPr>
              <w:t>ë</w:t>
            </w:r>
            <w:r>
              <w:rPr>
                <w:rFonts w:asciiTheme="majorHAnsi" w:hAnsiTheme="majorHAnsi"/>
                <w:sz w:val="21"/>
                <w:szCs w:val="21"/>
              </w:rPr>
              <w:t xml:space="preserve"> ankesave, K</w:t>
            </w:r>
            <w:r w:rsidR="007C3F40">
              <w:rPr>
                <w:rFonts w:asciiTheme="majorHAnsi" w:hAnsiTheme="majorHAnsi"/>
                <w:sz w:val="21"/>
                <w:szCs w:val="21"/>
              </w:rPr>
              <w:t xml:space="preserve">omisioni i </w:t>
            </w:r>
            <w:r>
              <w:rPr>
                <w:rFonts w:asciiTheme="majorHAnsi" w:hAnsiTheme="majorHAnsi"/>
                <w:sz w:val="21"/>
                <w:szCs w:val="21"/>
              </w:rPr>
              <w:t>GPK</w:t>
            </w:r>
            <w:r w:rsidR="007C3F40">
              <w:rPr>
                <w:rFonts w:asciiTheme="majorHAnsi" w:hAnsiTheme="majorHAnsi"/>
                <w:sz w:val="21"/>
                <w:szCs w:val="21"/>
              </w:rPr>
              <w:t>-së,</w:t>
            </w:r>
            <w:r w:rsidR="00EE017C">
              <w:rPr>
                <w:rFonts w:asciiTheme="majorHAnsi" w:hAnsiTheme="majorHAnsi"/>
                <w:sz w:val="21"/>
                <w:szCs w:val="21"/>
              </w:rPr>
              <w:t xml:space="preserve"> përmes Grupit Teknik,</w:t>
            </w:r>
            <w:r>
              <w:rPr>
                <w:rFonts w:asciiTheme="majorHAnsi" w:hAnsiTheme="majorHAnsi"/>
                <w:sz w:val="21"/>
                <w:szCs w:val="21"/>
              </w:rPr>
              <w:t xml:space="preserve"> b</w:t>
            </w:r>
            <w:r w:rsidR="00675BB6">
              <w:rPr>
                <w:rFonts w:asciiTheme="majorHAnsi" w:hAnsiTheme="majorHAnsi"/>
                <w:sz w:val="21"/>
                <w:szCs w:val="21"/>
              </w:rPr>
              <w:t>ë</w:t>
            </w:r>
            <w:r>
              <w:rPr>
                <w:rFonts w:asciiTheme="majorHAnsi" w:hAnsiTheme="majorHAnsi"/>
                <w:sz w:val="21"/>
                <w:szCs w:val="21"/>
              </w:rPr>
              <w:t>n ndryshimin e raportit t</w:t>
            </w:r>
            <w:r w:rsidR="00675BB6">
              <w:rPr>
                <w:rFonts w:asciiTheme="majorHAnsi" w:hAnsiTheme="majorHAnsi"/>
                <w:sz w:val="21"/>
                <w:szCs w:val="21"/>
              </w:rPr>
              <w:t>ë</w:t>
            </w:r>
            <w:r>
              <w:rPr>
                <w:rFonts w:asciiTheme="majorHAnsi" w:hAnsiTheme="majorHAnsi"/>
                <w:sz w:val="21"/>
                <w:szCs w:val="21"/>
              </w:rPr>
              <w:t xml:space="preserve"> vler</w:t>
            </w:r>
            <w:r w:rsidR="00675BB6">
              <w:rPr>
                <w:rFonts w:asciiTheme="majorHAnsi" w:hAnsiTheme="majorHAnsi"/>
                <w:sz w:val="21"/>
                <w:szCs w:val="21"/>
              </w:rPr>
              <w:t>ë</w:t>
            </w:r>
            <w:r>
              <w:rPr>
                <w:rFonts w:asciiTheme="majorHAnsi" w:hAnsiTheme="majorHAnsi"/>
                <w:sz w:val="21"/>
                <w:szCs w:val="21"/>
              </w:rPr>
              <w:t>simit dhe e njofton komu</w:t>
            </w:r>
            <w:r w:rsidR="00530B11">
              <w:rPr>
                <w:rFonts w:asciiTheme="majorHAnsi" w:hAnsiTheme="majorHAnsi"/>
                <w:sz w:val="21"/>
                <w:szCs w:val="21"/>
              </w:rPr>
              <w:t>nën</w:t>
            </w:r>
          </w:p>
        </w:tc>
        <w:tc>
          <w:tcPr>
            <w:tcW w:w="2268" w:type="dxa"/>
            <w:shd w:val="clear" w:color="auto" w:fill="DBE5F1" w:themeFill="accent1" w:themeFillTint="33"/>
          </w:tcPr>
          <w:p w14:paraId="319C267D" w14:textId="77777777" w:rsidR="001A72B6" w:rsidRPr="004D2E1C" w:rsidRDefault="00C67CAE" w:rsidP="00E36C55">
            <w:pPr>
              <w:spacing w:before="80"/>
              <w:rPr>
                <w:rFonts w:asciiTheme="majorHAnsi" w:hAnsiTheme="majorHAnsi"/>
                <w:sz w:val="21"/>
                <w:szCs w:val="21"/>
              </w:rPr>
            </w:pPr>
            <w:r>
              <w:rPr>
                <w:rFonts w:asciiTheme="majorHAnsi" w:hAnsiTheme="majorHAnsi"/>
                <w:sz w:val="21"/>
                <w:szCs w:val="21"/>
              </w:rPr>
              <w:t xml:space="preserve">Brenda </w:t>
            </w:r>
            <w:r w:rsidR="00E31953">
              <w:rPr>
                <w:rFonts w:asciiTheme="majorHAnsi" w:hAnsiTheme="majorHAnsi"/>
                <w:sz w:val="21"/>
                <w:szCs w:val="21"/>
              </w:rPr>
              <w:t>14</w:t>
            </w:r>
            <w:r w:rsidR="00C5009E">
              <w:rPr>
                <w:rFonts w:asciiTheme="majorHAnsi" w:hAnsiTheme="majorHAnsi"/>
                <w:sz w:val="21"/>
                <w:szCs w:val="21"/>
              </w:rPr>
              <w:t xml:space="preserve"> </w:t>
            </w:r>
            <w:r>
              <w:rPr>
                <w:rFonts w:asciiTheme="majorHAnsi" w:hAnsiTheme="majorHAnsi"/>
                <w:sz w:val="21"/>
                <w:szCs w:val="21"/>
              </w:rPr>
              <w:t>ditësh pas vendimit të Komisionit të ankesave</w:t>
            </w:r>
          </w:p>
        </w:tc>
      </w:tr>
    </w:tbl>
    <w:p w14:paraId="38478319" w14:textId="77777777" w:rsidR="00CD79F5" w:rsidRPr="004D2E1C" w:rsidRDefault="00CD79F5" w:rsidP="00CD79F5">
      <w:pPr>
        <w:spacing w:before="60" w:line="264" w:lineRule="auto"/>
        <w:ind w:left="720"/>
        <w:jc w:val="both"/>
        <w:rPr>
          <w:rFonts w:asciiTheme="majorHAnsi" w:hAnsiTheme="majorHAnsi"/>
          <w:sz w:val="6"/>
          <w:szCs w:val="6"/>
        </w:rPr>
      </w:pPr>
    </w:p>
    <w:p w14:paraId="2A7D37DD"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Në rast se një ankesë e një ose më shumë komunave </w:t>
      </w:r>
      <w:r w:rsidR="00422B62" w:rsidRPr="004D2E1C">
        <w:rPr>
          <w:rFonts w:asciiTheme="majorHAnsi" w:hAnsiTheme="majorHAnsi"/>
          <w:sz w:val="21"/>
          <w:szCs w:val="21"/>
        </w:rPr>
        <w:t>rezulton e</w:t>
      </w:r>
      <w:r w:rsidRPr="004D2E1C">
        <w:rPr>
          <w:rFonts w:asciiTheme="majorHAnsi" w:hAnsiTheme="majorHAnsi"/>
          <w:sz w:val="21"/>
          <w:szCs w:val="21"/>
        </w:rPr>
        <w:t xml:space="preserve"> suksesshme dhe </w:t>
      </w:r>
      <w:r w:rsidR="00CC0C7D">
        <w:rPr>
          <w:rFonts w:asciiTheme="majorHAnsi" w:hAnsiTheme="majorHAnsi"/>
          <w:sz w:val="21"/>
          <w:szCs w:val="21"/>
        </w:rPr>
        <w:t>ndikon</w:t>
      </w:r>
      <w:r w:rsidR="00CC0C7D" w:rsidRPr="004D2E1C">
        <w:rPr>
          <w:rFonts w:asciiTheme="majorHAnsi" w:hAnsiTheme="majorHAnsi"/>
          <w:sz w:val="21"/>
          <w:szCs w:val="21"/>
        </w:rPr>
        <w:t xml:space="preserve"> </w:t>
      </w:r>
      <w:r w:rsidRPr="004D2E1C">
        <w:rPr>
          <w:rFonts w:asciiTheme="majorHAnsi" w:hAnsiTheme="majorHAnsi"/>
          <w:sz w:val="21"/>
          <w:szCs w:val="21"/>
        </w:rPr>
        <w:t xml:space="preserve">në </w:t>
      </w:r>
      <w:r w:rsidR="00CC0C7D">
        <w:rPr>
          <w:rFonts w:asciiTheme="majorHAnsi" w:hAnsiTheme="majorHAnsi"/>
          <w:sz w:val="21"/>
          <w:szCs w:val="21"/>
        </w:rPr>
        <w:t>ndryshimin e rezultateve të GPK-së</w:t>
      </w:r>
      <w:r w:rsidRPr="004D2E1C">
        <w:rPr>
          <w:rFonts w:asciiTheme="majorHAnsi" w:hAnsiTheme="majorHAnsi"/>
          <w:sz w:val="21"/>
          <w:szCs w:val="21"/>
        </w:rPr>
        <w:t>, kjo do të ketë ndikim në shumën e grant</w:t>
      </w:r>
      <w:r w:rsidR="00422B62" w:rsidRPr="004D2E1C">
        <w:rPr>
          <w:rFonts w:asciiTheme="majorHAnsi" w:hAnsiTheme="majorHAnsi"/>
          <w:sz w:val="21"/>
          <w:szCs w:val="21"/>
        </w:rPr>
        <w:t xml:space="preserve">it </w:t>
      </w:r>
      <w:r w:rsidR="00CC0C7D">
        <w:rPr>
          <w:rFonts w:asciiTheme="majorHAnsi" w:hAnsiTheme="majorHAnsi"/>
          <w:sz w:val="21"/>
          <w:szCs w:val="21"/>
        </w:rPr>
        <w:t xml:space="preserve">të </w:t>
      </w:r>
      <w:r w:rsidR="00CC0C7D" w:rsidRPr="004D2E1C">
        <w:rPr>
          <w:rFonts w:asciiTheme="majorHAnsi" w:hAnsiTheme="majorHAnsi"/>
          <w:sz w:val="21"/>
          <w:szCs w:val="21"/>
        </w:rPr>
        <w:t>komuna</w:t>
      </w:r>
      <w:r w:rsidR="00CC0C7D">
        <w:rPr>
          <w:rFonts w:asciiTheme="majorHAnsi" w:hAnsiTheme="majorHAnsi"/>
          <w:sz w:val="21"/>
          <w:szCs w:val="21"/>
        </w:rPr>
        <w:t>ve</w:t>
      </w:r>
      <w:r w:rsidR="00CC0C7D" w:rsidRPr="004D2E1C">
        <w:rPr>
          <w:rFonts w:asciiTheme="majorHAnsi" w:hAnsiTheme="majorHAnsi"/>
          <w:sz w:val="21"/>
          <w:szCs w:val="21"/>
        </w:rPr>
        <w:t xml:space="preserve"> </w:t>
      </w:r>
      <w:r w:rsidRPr="004D2E1C">
        <w:rPr>
          <w:rFonts w:asciiTheme="majorHAnsi" w:hAnsiTheme="majorHAnsi"/>
          <w:sz w:val="21"/>
          <w:szCs w:val="21"/>
        </w:rPr>
        <w:t xml:space="preserve">tjera. </w:t>
      </w:r>
      <w:r w:rsidR="00CC0C7D">
        <w:rPr>
          <w:rFonts w:asciiTheme="majorHAnsi" w:hAnsiTheme="majorHAnsi"/>
          <w:sz w:val="21"/>
          <w:szCs w:val="21"/>
        </w:rPr>
        <w:t>T</w:t>
      </w:r>
      <w:r w:rsidR="007B6F16">
        <w:rPr>
          <w:rFonts w:asciiTheme="majorHAnsi" w:hAnsiTheme="majorHAnsi"/>
          <w:sz w:val="21"/>
          <w:szCs w:val="21"/>
        </w:rPr>
        <w:t>ë</w:t>
      </w:r>
      <w:r w:rsidR="00CC0C7D">
        <w:rPr>
          <w:rFonts w:asciiTheme="majorHAnsi" w:hAnsiTheme="majorHAnsi"/>
          <w:sz w:val="21"/>
          <w:szCs w:val="21"/>
        </w:rPr>
        <w:t xml:space="preserve"> gjitha ndryshimet n</w:t>
      </w:r>
      <w:r w:rsidR="007B6F16">
        <w:rPr>
          <w:rFonts w:asciiTheme="majorHAnsi" w:hAnsiTheme="majorHAnsi"/>
          <w:sz w:val="21"/>
          <w:szCs w:val="21"/>
        </w:rPr>
        <w:t>ë</w:t>
      </w:r>
      <w:r w:rsidR="00CC0C7D">
        <w:rPr>
          <w:rFonts w:asciiTheme="majorHAnsi" w:hAnsiTheme="majorHAnsi"/>
          <w:sz w:val="21"/>
          <w:szCs w:val="21"/>
        </w:rPr>
        <w:t xml:space="preserve"> </w:t>
      </w:r>
      <w:r w:rsidR="00422B62" w:rsidRPr="004D2E1C">
        <w:rPr>
          <w:rFonts w:asciiTheme="majorHAnsi" w:hAnsiTheme="majorHAnsi"/>
          <w:sz w:val="21"/>
          <w:szCs w:val="21"/>
        </w:rPr>
        <w:t>ndarjen e</w:t>
      </w:r>
      <w:r w:rsidRPr="004D2E1C">
        <w:rPr>
          <w:rFonts w:asciiTheme="majorHAnsi" w:hAnsiTheme="majorHAnsi"/>
          <w:sz w:val="21"/>
          <w:szCs w:val="21"/>
        </w:rPr>
        <w:t xml:space="preserve"> grant</w:t>
      </w:r>
      <w:r w:rsidR="00422B62" w:rsidRPr="004D2E1C">
        <w:rPr>
          <w:rFonts w:asciiTheme="majorHAnsi" w:hAnsiTheme="majorHAnsi"/>
          <w:sz w:val="21"/>
          <w:szCs w:val="21"/>
        </w:rPr>
        <w:t xml:space="preserve">it </w:t>
      </w:r>
      <w:r w:rsidR="00CC0C7D">
        <w:rPr>
          <w:rFonts w:asciiTheme="majorHAnsi" w:hAnsiTheme="majorHAnsi"/>
          <w:sz w:val="21"/>
          <w:szCs w:val="21"/>
        </w:rPr>
        <w:t>pas procesit t</w:t>
      </w:r>
      <w:r w:rsidR="007B6F16">
        <w:rPr>
          <w:rFonts w:asciiTheme="majorHAnsi" w:hAnsiTheme="majorHAnsi"/>
          <w:sz w:val="21"/>
          <w:szCs w:val="21"/>
        </w:rPr>
        <w:t>ë</w:t>
      </w:r>
      <w:r w:rsidR="00CC0C7D">
        <w:rPr>
          <w:rFonts w:asciiTheme="majorHAnsi" w:hAnsiTheme="majorHAnsi"/>
          <w:sz w:val="21"/>
          <w:szCs w:val="21"/>
        </w:rPr>
        <w:t xml:space="preserve"> ankesave, miratohen </w:t>
      </w:r>
      <w:r w:rsidRPr="004D2E1C">
        <w:rPr>
          <w:rFonts w:asciiTheme="majorHAnsi" w:hAnsiTheme="majorHAnsi"/>
          <w:sz w:val="21"/>
          <w:szCs w:val="21"/>
        </w:rPr>
        <w:t xml:space="preserve">nga </w:t>
      </w:r>
      <w:r w:rsidR="00CC0C7D">
        <w:rPr>
          <w:rFonts w:asciiTheme="majorHAnsi" w:hAnsiTheme="majorHAnsi"/>
          <w:sz w:val="21"/>
          <w:szCs w:val="21"/>
        </w:rPr>
        <w:t>K</w:t>
      </w:r>
      <w:r w:rsidR="00CC0C7D" w:rsidRPr="004D2E1C">
        <w:rPr>
          <w:rFonts w:asciiTheme="majorHAnsi" w:hAnsiTheme="majorHAnsi"/>
          <w:sz w:val="21"/>
          <w:szCs w:val="21"/>
        </w:rPr>
        <w:t xml:space="preserve">omisioni </w:t>
      </w:r>
      <w:r w:rsidRPr="004D2E1C">
        <w:rPr>
          <w:rFonts w:asciiTheme="majorHAnsi" w:hAnsiTheme="majorHAnsi"/>
          <w:sz w:val="21"/>
          <w:szCs w:val="21"/>
        </w:rPr>
        <w:t xml:space="preserve">i </w:t>
      </w:r>
      <w:r w:rsidR="00CC0C7D">
        <w:rPr>
          <w:rFonts w:asciiTheme="majorHAnsi" w:hAnsiTheme="majorHAnsi"/>
          <w:sz w:val="21"/>
          <w:szCs w:val="21"/>
        </w:rPr>
        <w:t>GPK-s</w:t>
      </w:r>
      <w:r w:rsidR="007B6F16">
        <w:rPr>
          <w:rFonts w:asciiTheme="majorHAnsi" w:hAnsiTheme="majorHAnsi"/>
          <w:sz w:val="21"/>
          <w:szCs w:val="21"/>
        </w:rPr>
        <w:t>ë</w:t>
      </w:r>
      <w:r w:rsidR="00D16CD7">
        <w:rPr>
          <w:rFonts w:asciiTheme="majorHAnsi" w:hAnsiTheme="majorHAnsi"/>
          <w:sz w:val="21"/>
          <w:szCs w:val="21"/>
        </w:rPr>
        <w:t>.</w:t>
      </w:r>
      <w:r w:rsidRPr="004D2E1C">
        <w:rPr>
          <w:rFonts w:asciiTheme="majorHAnsi" w:hAnsiTheme="majorHAnsi"/>
          <w:sz w:val="21"/>
          <w:szCs w:val="21"/>
        </w:rPr>
        <w:t xml:space="preserve"> </w:t>
      </w:r>
    </w:p>
    <w:p w14:paraId="20D4F4B3" w14:textId="77777777" w:rsidR="00CD79F5" w:rsidRPr="004D2E1C" w:rsidRDefault="00CD79F5" w:rsidP="00CD79F5">
      <w:pPr>
        <w:spacing w:before="60" w:line="264" w:lineRule="auto"/>
        <w:jc w:val="both"/>
        <w:rPr>
          <w:rFonts w:asciiTheme="majorHAnsi" w:hAnsiTheme="majorHAnsi"/>
          <w:sz w:val="6"/>
          <w:szCs w:val="6"/>
        </w:rPr>
      </w:pPr>
    </w:p>
    <w:p w14:paraId="24BC4195" w14:textId="77777777" w:rsidR="00CD79F5" w:rsidRPr="001D6FCA" w:rsidRDefault="00CD79F5" w:rsidP="009A3BEC">
      <w:pPr>
        <w:pStyle w:val="Heading1"/>
        <w:numPr>
          <w:ilvl w:val="2"/>
          <w:numId w:val="29"/>
        </w:numPr>
        <w:tabs>
          <w:tab w:val="left" w:pos="540"/>
        </w:tabs>
        <w:rPr>
          <w:rFonts w:asciiTheme="majorHAnsi" w:hAnsiTheme="majorHAnsi"/>
          <w:sz w:val="24"/>
          <w:lang w:val="sq-AL"/>
        </w:rPr>
      </w:pPr>
      <w:bookmarkStart w:id="66" w:name="_Toc31029010"/>
      <w:bookmarkStart w:id="67" w:name="_Toc31194808"/>
      <w:bookmarkStart w:id="68" w:name="_Toc61062539"/>
      <w:r w:rsidRPr="001D6FCA">
        <w:rPr>
          <w:rFonts w:asciiTheme="majorHAnsi" w:hAnsiTheme="majorHAnsi"/>
          <w:sz w:val="24"/>
          <w:lang w:val="sq-AL"/>
        </w:rPr>
        <w:t xml:space="preserve">Finalizimi dhe publikimi i rezultateve të vlerësimit dhe </w:t>
      </w:r>
      <w:r w:rsidR="00422B62" w:rsidRPr="001D6FCA">
        <w:rPr>
          <w:rFonts w:asciiTheme="majorHAnsi" w:hAnsiTheme="majorHAnsi"/>
          <w:sz w:val="24"/>
          <w:lang w:val="sq-AL"/>
        </w:rPr>
        <w:t>ndarj</w:t>
      </w:r>
      <w:r w:rsidR="006A5B9B" w:rsidRPr="001D6FCA">
        <w:rPr>
          <w:rFonts w:asciiTheme="majorHAnsi" w:hAnsiTheme="majorHAnsi"/>
          <w:sz w:val="24"/>
          <w:lang w:val="sq-AL"/>
        </w:rPr>
        <w:t>a</w:t>
      </w:r>
      <w:r w:rsidR="00422B62" w:rsidRPr="001D6FCA">
        <w:rPr>
          <w:rFonts w:asciiTheme="majorHAnsi" w:hAnsiTheme="majorHAnsi"/>
          <w:sz w:val="24"/>
          <w:lang w:val="sq-AL"/>
        </w:rPr>
        <w:t xml:space="preserve"> e grantit</w:t>
      </w:r>
      <w:bookmarkEnd w:id="66"/>
      <w:bookmarkEnd w:id="67"/>
      <w:bookmarkEnd w:id="68"/>
    </w:p>
    <w:p w14:paraId="652CC0B3" w14:textId="77777777" w:rsidR="004733D2" w:rsidRDefault="006E5C14" w:rsidP="00363711">
      <w:pPr>
        <w:spacing w:before="60" w:line="264" w:lineRule="auto"/>
        <w:jc w:val="both"/>
        <w:rPr>
          <w:rFonts w:asciiTheme="majorHAnsi" w:hAnsiTheme="majorHAnsi"/>
          <w:sz w:val="21"/>
          <w:szCs w:val="21"/>
        </w:rPr>
      </w:pPr>
      <w:r>
        <w:rPr>
          <w:rFonts w:asciiTheme="majorHAnsi" w:hAnsiTheme="majorHAnsi"/>
          <w:sz w:val="21"/>
          <w:szCs w:val="21"/>
        </w:rPr>
        <w:t>Pasi q</w:t>
      </w:r>
      <w:r w:rsidRPr="004D2E1C">
        <w:rPr>
          <w:rFonts w:asciiTheme="majorHAnsi" w:hAnsiTheme="majorHAnsi"/>
          <w:sz w:val="21"/>
          <w:szCs w:val="21"/>
        </w:rPr>
        <w:t>ë</w:t>
      </w:r>
      <w:r>
        <w:rPr>
          <w:rFonts w:asciiTheme="majorHAnsi" w:hAnsiTheme="majorHAnsi"/>
          <w:sz w:val="21"/>
          <w:szCs w:val="21"/>
        </w:rPr>
        <w:t xml:space="preserve"> </w:t>
      </w:r>
      <w:r w:rsidR="0025586C">
        <w:rPr>
          <w:rFonts w:asciiTheme="majorHAnsi" w:hAnsiTheme="majorHAnsi"/>
          <w:sz w:val="21"/>
          <w:szCs w:val="21"/>
        </w:rPr>
        <w:t>k</w:t>
      </w:r>
      <w:r w:rsidR="00CD79F5" w:rsidRPr="004D2E1C">
        <w:rPr>
          <w:rFonts w:asciiTheme="majorHAnsi" w:hAnsiTheme="majorHAnsi"/>
          <w:sz w:val="21"/>
          <w:szCs w:val="21"/>
        </w:rPr>
        <w:t xml:space="preserve">omisioni i </w:t>
      </w:r>
      <w:r w:rsidR="00E960D4">
        <w:rPr>
          <w:rFonts w:asciiTheme="majorHAnsi" w:hAnsiTheme="majorHAnsi"/>
          <w:sz w:val="21"/>
          <w:szCs w:val="21"/>
        </w:rPr>
        <w:t>ankesave</w:t>
      </w:r>
      <w:r w:rsidR="00CD79F5" w:rsidRPr="004D2E1C">
        <w:rPr>
          <w:rFonts w:asciiTheme="majorHAnsi" w:hAnsiTheme="majorHAnsi"/>
          <w:sz w:val="21"/>
          <w:szCs w:val="21"/>
        </w:rPr>
        <w:t xml:space="preserve"> të ketë vendosur për anke</w:t>
      </w:r>
      <w:r w:rsidR="00DC0362">
        <w:rPr>
          <w:rFonts w:asciiTheme="majorHAnsi" w:hAnsiTheme="majorHAnsi"/>
          <w:sz w:val="21"/>
          <w:szCs w:val="21"/>
        </w:rPr>
        <w:t xml:space="preserve">sat, Komisioni i GPK-së përmes grupit teknik i bën ndryshimet në raportin e </w:t>
      </w:r>
      <w:r w:rsidR="00CD79F5" w:rsidRPr="004D2E1C">
        <w:rPr>
          <w:rFonts w:asciiTheme="majorHAnsi" w:hAnsiTheme="majorHAnsi"/>
          <w:sz w:val="21"/>
          <w:szCs w:val="21"/>
        </w:rPr>
        <w:t xml:space="preserve">vlerësimit si dhe </w:t>
      </w:r>
      <w:r w:rsidR="00422B62" w:rsidRPr="004D2E1C">
        <w:rPr>
          <w:rFonts w:asciiTheme="majorHAnsi" w:hAnsiTheme="majorHAnsi"/>
          <w:sz w:val="21"/>
          <w:szCs w:val="21"/>
        </w:rPr>
        <w:t>ndarj</w:t>
      </w:r>
      <w:r w:rsidR="00301D8A">
        <w:rPr>
          <w:rFonts w:asciiTheme="majorHAnsi" w:hAnsiTheme="majorHAnsi"/>
          <w:sz w:val="21"/>
          <w:szCs w:val="21"/>
        </w:rPr>
        <w:t xml:space="preserve">a pasuese </w:t>
      </w:r>
      <w:r w:rsidR="00422B62" w:rsidRPr="004D2E1C">
        <w:rPr>
          <w:rFonts w:asciiTheme="majorHAnsi" w:hAnsiTheme="majorHAnsi"/>
          <w:sz w:val="21"/>
          <w:szCs w:val="21"/>
        </w:rPr>
        <w:t>e</w:t>
      </w:r>
      <w:r w:rsidR="00CD79F5" w:rsidRPr="004D2E1C">
        <w:rPr>
          <w:rFonts w:asciiTheme="majorHAnsi" w:hAnsiTheme="majorHAnsi"/>
          <w:sz w:val="21"/>
          <w:szCs w:val="21"/>
        </w:rPr>
        <w:t xml:space="preserve"> grant</w:t>
      </w:r>
      <w:r w:rsidR="00422B62" w:rsidRPr="004D2E1C">
        <w:rPr>
          <w:rFonts w:asciiTheme="majorHAnsi" w:hAnsiTheme="majorHAnsi"/>
          <w:sz w:val="21"/>
          <w:szCs w:val="21"/>
        </w:rPr>
        <w:t>it</w:t>
      </w:r>
      <w:r w:rsidR="00CD79F5" w:rsidRPr="004D2E1C">
        <w:rPr>
          <w:rFonts w:asciiTheme="majorHAnsi" w:hAnsiTheme="majorHAnsi"/>
          <w:sz w:val="21"/>
          <w:szCs w:val="21"/>
        </w:rPr>
        <w:t xml:space="preserve"> të </w:t>
      </w:r>
      <w:r w:rsidR="00674C44">
        <w:rPr>
          <w:rFonts w:asciiTheme="majorHAnsi" w:hAnsiTheme="majorHAnsi"/>
          <w:sz w:val="21"/>
          <w:szCs w:val="21"/>
        </w:rPr>
        <w:t>performancës komunale</w:t>
      </w:r>
      <w:r w:rsidR="00F014CA">
        <w:rPr>
          <w:rFonts w:asciiTheme="majorHAnsi" w:hAnsiTheme="majorHAnsi"/>
          <w:sz w:val="21"/>
          <w:szCs w:val="21"/>
        </w:rPr>
        <w:t xml:space="preserve"> </w:t>
      </w:r>
      <w:r w:rsidR="003055B8">
        <w:rPr>
          <w:rFonts w:asciiTheme="majorHAnsi" w:hAnsiTheme="majorHAnsi"/>
          <w:sz w:val="21"/>
          <w:szCs w:val="21"/>
        </w:rPr>
        <w:t>konsiderohet</w:t>
      </w:r>
      <w:r w:rsidR="003055B8" w:rsidRPr="004D2E1C">
        <w:rPr>
          <w:rFonts w:asciiTheme="majorHAnsi" w:hAnsiTheme="majorHAnsi"/>
          <w:sz w:val="21"/>
          <w:szCs w:val="21"/>
        </w:rPr>
        <w:t xml:space="preserve"> </w:t>
      </w:r>
      <w:r w:rsidR="00CD79F5" w:rsidRPr="004D2E1C">
        <w:rPr>
          <w:rFonts w:asciiTheme="majorHAnsi" w:hAnsiTheme="majorHAnsi"/>
          <w:sz w:val="21"/>
          <w:szCs w:val="21"/>
        </w:rPr>
        <w:t xml:space="preserve">përfundimtare. </w:t>
      </w:r>
    </w:p>
    <w:p w14:paraId="00E98F7D" w14:textId="77777777" w:rsidR="004733D2" w:rsidRDefault="00FA4E5E" w:rsidP="00363711">
      <w:pPr>
        <w:spacing w:before="60" w:line="264" w:lineRule="auto"/>
        <w:jc w:val="both"/>
        <w:rPr>
          <w:rFonts w:asciiTheme="majorHAnsi" w:hAnsiTheme="majorHAnsi"/>
          <w:sz w:val="21"/>
          <w:szCs w:val="21"/>
        </w:rPr>
      </w:pPr>
      <w:r>
        <w:rPr>
          <w:rFonts w:asciiTheme="majorHAnsi" w:hAnsiTheme="majorHAnsi"/>
          <w:sz w:val="21"/>
          <w:szCs w:val="21"/>
        </w:rPr>
        <w:t>Rezultatet përfundimtare dhe shumat e grantit</w:t>
      </w:r>
      <w:r w:rsidR="006D7822">
        <w:rPr>
          <w:rFonts w:asciiTheme="majorHAnsi" w:hAnsiTheme="majorHAnsi"/>
          <w:sz w:val="21"/>
          <w:szCs w:val="21"/>
        </w:rPr>
        <w:t xml:space="preserve"> do të</w:t>
      </w:r>
      <w:r>
        <w:rPr>
          <w:rFonts w:asciiTheme="majorHAnsi" w:hAnsiTheme="majorHAnsi"/>
          <w:sz w:val="21"/>
          <w:szCs w:val="21"/>
        </w:rPr>
        <w:t xml:space="preserve"> komun</w:t>
      </w:r>
      <w:r w:rsidR="0080188B">
        <w:rPr>
          <w:rFonts w:asciiTheme="majorHAnsi" w:hAnsiTheme="majorHAnsi"/>
          <w:sz w:val="21"/>
          <w:szCs w:val="21"/>
        </w:rPr>
        <w:t>i</w:t>
      </w:r>
      <w:r>
        <w:rPr>
          <w:rFonts w:asciiTheme="majorHAnsi" w:hAnsiTheme="majorHAnsi"/>
          <w:sz w:val="21"/>
          <w:szCs w:val="21"/>
        </w:rPr>
        <w:t>kohen tek komunat n</w:t>
      </w:r>
      <w:r w:rsidR="00210D4C">
        <w:rPr>
          <w:rFonts w:asciiTheme="majorHAnsi" w:hAnsiTheme="majorHAnsi"/>
          <w:sz w:val="21"/>
          <w:szCs w:val="21"/>
        </w:rPr>
        <w:t>ë</w:t>
      </w:r>
      <w:r>
        <w:rPr>
          <w:rFonts w:asciiTheme="majorHAnsi" w:hAnsiTheme="majorHAnsi"/>
          <w:sz w:val="21"/>
          <w:szCs w:val="21"/>
        </w:rPr>
        <w:t xml:space="preserve"> m</w:t>
      </w:r>
      <w:r w:rsidR="00210D4C">
        <w:rPr>
          <w:rFonts w:asciiTheme="majorHAnsi" w:hAnsiTheme="majorHAnsi"/>
          <w:sz w:val="21"/>
          <w:szCs w:val="21"/>
        </w:rPr>
        <w:t>ë</w:t>
      </w:r>
      <w:r>
        <w:rPr>
          <w:rFonts w:asciiTheme="majorHAnsi" w:hAnsiTheme="majorHAnsi"/>
          <w:sz w:val="21"/>
          <w:szCs w:val="21"/>
        </w:rPr>
        <w:t>nyr</w:t>
      </w:r>
      <w:r w:rsidR="00210D4C">
        <w:rPr>
          <w:rFonts w:asciiTheme="majorHAnsi" w:hAnsiTheme="majorHAnsi"/>
          <w:sz w:val="21"/>
          <w:szCs w:val="21"/>
        </w:rPr>
        <w:t>ë</w:t>
      </w:r>
      <w:r>
        <w:rPr>
          <w:rFonts w:asciiTheme="majorHAnsi" w:hAnsiTheme="majorHAnsi"/>
          <w:sz w:val="21"/>
          <w:szCs w:val="21"/>
        </w:rPr>
        <w:t xml:space="preserve"> q</w:t>
      </w:r>
      <w:r w:rsidR="00210D4C">
        <w:rPr>
          <w:rFonts w:asciiTheme="majorHAnsi" w:hAnsiTheme="majorHAnsi"/>
          <w:sz w:val="21"/>
          <w:szCs w:val="21"/>
        </w:rPr>
        <w:t>ë</w:t>
      </w:r>
      <w:r>
        <w:rPr>
          <w:rFonts w:asciiTheme="majorHAnsi" w:hAnsiTheme="majorHAnsi"/>
          <w:sz w:val="21"/>
          <w:szCs w:val="21"/>
        </w:rPr>
        <w:t xml:space="preserve"> at</w:t>
      </w:r>
      <w:r w:rsidR="00301D8A">
        <w:rPr>
          <w:rFonts w:asciiTheme="majorHAnsi" w:hAnsiTheme="majorHAnsi"/>
          <w:sz w:val="21"/>
          <w:szCs w:val="21"/>
        </w:rPr>
        <w:t>o</w:t>
      </w:r>
      <w:r>
        <w:rPr>
          <w:rFonts w:asciiTheme="majorHAnsi" w:hAnsiTheme="majorHAnsi"/>
          <w:sz w:val="21"/>
          <w:szCs w:val="21"/>
        </w:rPr>
        <w:t xml:space="preserve"> </w:t>
      </w:r>
      <w:r w:rsidR="000870BD">
        <w:rPr>
          <w:rFonts w:asciiTheme="majorHAnsi" w:hAnsiTheme="majorHAnsi"/>
          <w:sz w:val="21"/>
          <w:szCs w:val="21"/>
        </w:rPr>
        <w:t xml:space="preserve">të </w:t>
      </w:r>
      <w:r w:rsidR="006D7822">
        <w:rPr>
          <w:rFonts w:asciiTheme="majorHAnsi" w:hAnsiTheme="majorHAnsi"/>
          <w:sz w:val="21"/>
          <w:szCs w:val="21"/>
        </w:rPr>
        <w:t>mund të</w:t>
      </w:r>
      <w:r>
        <w:rPr>
          <w:rFonts w:asciiTheme="majorHAnsi" w:hAnsiTheme="majorHAnsi"/>
          <w:sz w:val="21"/>
          <w:szCs w:val="21"/>
        </w:rPr>
        <w:t xml:space="preserve"> pl</w:t>
      </w:r>
      <w:r w:rsidR="006D7822">
        <w:rPr>
          <w:rFonts w:asciiTheme="majorHAnsi" w:hAnsiTheme="majorHAnsi"/>
          <w:sz w:val="21"/>
          <w:szCs w:val="21"/>
        </w:rPr>
        <w:t xml:space="preserve">anifikojnë </w:t>
      </w:r>
      <w:r w:rsidR="00E960D4">
        <w:rPr>
          <w:rFonts w:asciiTheme="majorHAnsi" w:hAnsiTheme="majorHAnsi"/>
          <w:sz w:val="21"/>
          <w:szCs w:val="21"/>
        </w:rPr>
        <w:t>shfryt</w:t>
      </w:r>
      <w:r w:rsidR="00DC0362">
        <w:rPr>
          <w:rFonts w:asciiTheme="majorHAnsi" w:hAnsiTheme="majorHAnsi"/>
          <w:sz w:val="21"/>
          <w:szCs w:val="21"/>
        </w:rPr>
        <w:t>ë</w:t>
      </w:r>
      <w:r w:rsidR="00E960D4">
        <w:rPr>
          <w:rFonts w:asciiTheme="majorHAnsi" w:hAnsiTheme="majorHAnsi"/>
          <w:sz w:val="21"/>
          <w:szCs w:val="21"/>
        </w:rPr>
        <w:t xml:space="preserve">zimin </w:t>
      </w:r>
      <w:r w:rsidR="006D7822">
        <w:rPr>
          <w:rFonts w:asciiTheme="majorHAnsi" w:hAnsiTheme="majorHAnsi"/>
          <w:sz w:val="21"/>
          <w:szCs w:val="21"/>
        </w:rPr>
        <w:t xml:space="preserve">e grantit të </w:t>
      </w:r>
      <w:r w:rsidR="00674C44">
        <w:rPr>
          <w:rFonts w:asciiTheme="majorHAnsi" w:hAnsiTheme="majorHAnsi"/>
          <w:sz w:val="21"/>
          <w:szCs w:val="21"/>
        </w:rPr>
        <w:t>performancës komunale</w:t>
      </w:r>
      <w:r w:rsidR="0080188B">
        <w:rPr>
          <w:rFonts w:asciiTheme="majorHAnsi" w:hAnsiTheme="majorHAnsi"/>
          <w:sz w:val="21"/>
          <w:szCs w:val="21"/>
        </w:rPr>
        <w:t>.</w:t>
      </w:r>
      <w:r>
        <w:rPr>
          <w:rFonts w:asciiTheme="majorHAnsi" w:hAnsiTheme="majorHAnsi"/>
          <w:sz w:val="21"/>
          <w:szCs w:val="21"/>
        </w:rPr>
        <w:t xml:space="preserve"> </w:t>
      </w:r>
    </w:p>
    <w:p w14:paraId="753006AA" w14:textId="00672347" w:rsidR="00BE5CDE" w:rsidRDefault="725343AA" w:rsidP="00363711">
      <w:pPr>
        <w:spacing w:before="60" w:line="264" w:lineRule="auto"/>
        <w:jc w:val="both"/>
        <w:rPr>
          <w:rFonts w:asciiTheme="majorHAnsi" w:hAnsiTheme="majorHAnsi"/>
          <w:sz w:val="21"/>
          <w:szCs w:val="21"/>
        </w:rPr>
      </w:pPr>
      <w:r w:rsidRPr="07D96137">
        <w:rPr>
          <w:rFonts w:asciiTheme="majorHAnsi" w:hAnsiTheme="majorHAnsi"/>
          <w:sz w:val="21"/>
          <w:szCs w:val="21"/>
        </w:rPr>
        <w:t>MAPL</w:t>
      </w:r>
      <w:r w:rsidR="00613664" w:rsidRPr="07D96137">
        <w:rPr>
          <w:rFonts w:asciiTheme="majorHAnsi" w:hAnsiTheme="majorHAnsi"/>
          <w:sz w:val="21"/>
          <w:szCs w:val="21"/>
        </w:rPr>
        <w:t xml:space="preserve"> </w:t>
      </w:r>
      <w:r w:rsidR="005B5CC4" w:rsidRPr="07D96137">
        <w:rPr>
          <w:rFonts w:asciiTheme="majorHAnsi" w:hAnsiTheme="majorHAnsi"/>
          <w:sz w:val="21"/>
          <w:szCs w:val="21"/>
        </w:rPr>
        <w:t>e publikon raportin p</w:t>
      </w:r>
      <w:r w:rsidR="00DC0362" w:rsidRPr="07D96137">
        <w:rPr>
          <w:rFonts w:asciiTheme="majorHAnsi" w:hAnsiTheme="majorHAnsi"/>
          <w:sz w:val="21"/>
          <w:szCs w:val="21"/>
        </w:rPr>
        <w:t>ë</w:t>
      </w:r>
      <w:r w:rsidR="005B5CC4" w:rsidRPr="07D96137">
        <w:rPr>
          <w:rFonts w:asciiTheme="majorHAnsi" w:hAnsiTheme="majorHAnsi"/>
          <w:sz w:val="21"/>
          <w:szCs w:val="21"/>
        </w:rPr>
        <w:t>rfundimtar t</w:t>
      </w:r>
      <w:r w:rsidR="00DC0362" w:rsidRPr="07D96137">
        <w:rPr>
          <w:rFonts w:asciiTheme="majorHAnsi" w:hAnsiTheme="majorHAnsi"/>
          <w:sz w:val="21"/>
          <w:szCs w:val="21"/>
        </w:rPr>
        <w:t>ë</w:t>
      </w:r>
      <w:r w:rsidR="005B5CC4" w:rsidRPr="07D96137">
        <w:rPr>
          <w:rFonts w:asciiTheme="majorHAnsi" w:hAnsiTheme="majorHAnsi"/>
          <w:sz w:val="21"/>
          <w:szCs w:val="21"/>
        </w:rPr>
        <w:t xml:space="preserve"> vler</w:t>
      </w:r>
      <w:r w:rsidR="00DC0362" w:rsidRPr="07D96137">
        <w:rPr>
          <w:rFonts w:asciiTheme="majorHAnsi" w:hAnsiTheme="majorHAnsi"/>
          <w:sz w:val="21"/>
          <w:szCs w:val="21"/>
        </w:rPr>
        <w:t>ë</w:t>
      </w:r>
      <w:r w:rsidR="005B5CC4" w:rsidRPr="07D96137">
        <w:rPr>
          <w:rFonts w:asciiTheme="majorHAnsi" w:hAnsiTheme="majorHAnsi"/>
          <w:sz w:val="21"/>
          <w:szCs w:val="21"/>
        </w:rPr>
        <w:t>simi</w:t>
      </w:r>
      <w:r w:rsidR="00DC0362" w:rsidRPr="07D96137">
        <w:rPr>
          <w:rFonts w:asciiTheme="majorHAnsi" w:hAnsiTheme="majorHAnsi"/>
          <w:sz w:val="21"/>
          <w:szCs w:val="21"/>
        </w:rPr>
        <w:t>t</w:t>
      </w:r>
      <w:r w:rsidR="005B5CC4" w:rsidRPr="07D96137">
        <w:rPr>
          <w:rFonts w:asciiTheme="majorHAnsi" w:hAnsiTheme="majorHAnsi"/>
          <w:sz w:val="21"/>
          <w:szCs w:val="21"/>
        </w:rPr>
        <w:t xml:space="preserve"> t</w:t>
      </w:r>
      <w:r w:rsidR="00DC0362" w:rsidRPr="07D96137">
        <w:rPr>
          <w:rFonts w:asciiTheme="majorHAnsi" w:hAnsiTheme="majorHAnsi"/>
          <w:sz w:val="21"/>
          <w:szCs w:val="21"/>
        </w:rPr>
        <w:t>ë</w:t>
      </w:r>
      <w:r w:rsidR="005B5CC4" w:rsidRPr="07D96137">
        <w:rPr>
          <w:rFonts w:asciiTheme="majorHAnsi" w:hAnsiTheme="majorHAnsi"/>
          <w:sz w:val="21"/>
          <w:szCs w:val="21"/>
        </w:rPr>
        <w:t xml:space="preserve"> performanc</w:t>
      </w:r>
      <w:r w:rsidR="00DC0362" w:rsidRPr="07D96137">
        <w:rPr>
          <w:rFonts w:asciiTheme="majorHAnsi" w:hAnsiTheme="majorHAnsi"/>
          <w:sz w:val="21"/>
          <w:szCs w:val="21"/>
        </w:rPr>
        <w:t>ë</w:t>
      </w:r>
      <w:r w:rsidR="005B5CC4" w:rsidRPr="07D96137">
        <w:rPr>
          <w:rFonts w:asciiTheme="majorHAnsi" w:hAnsiTheme="majorHAnsi"/>
          <w:sz w:val="21"/>
          <w:szCs w:val="21"/>
        </w:rPr>
        <w:t>s n</w:t>
      </w:r>
      <w:r w:rsidR="00DC0362" w:rsidRPr="07D96137">
        <w:rPr>
          <w:rFonts w:asciiTheme="majorHAnsi" w:hAnsiTheme="majorHAnsi"/>
          <w:sz w:val="21"/>
          <w:szCs w:val="21"/>
        </w:rPr>
        <w:t>ë</w:t>
      </w:r>
      <w:r w:rsidR="005B5CC4" w:rsidRPr="07D96137">
        <w:rPr>
          <w:rFonts w:asciiTheme="majorHAnsi" w:hAnsiTheme="majorHAnsi"/>
          <w:sz w:val="21"/>
          <w:szCs w:val="21"/>
        </w:rPr>
        <w:t xml:space="preserve"> ueb-faqen e saj.</w:t>
      </w:r>
    </w:p>
    <w:p w14:paraId="0FC10428" w14:textId="77777777" w:rsidR="000041DD" w:rsidRPr="004D2E1C" w:rsidRDefault="000041DD" w:rsidP="00363711">
      <w:pPr>
        <w:spacing w:before="60" w:line="264" w:lineRule="auto"/>
        <w:jc w:val="both"/>
        <w:rPr>
          <w:rFonts w:asciiTheme="majorHAnsi" w:hAnsiTheme="majorHAnsi"/>
          <w:sz w:val="21"/>
          <w:szCs w:val="21"/>
        </w:rPr>
      </w:pPr>
    </w:p>
    <w:p w14:paraId="4E7C951D" w14:textId="77777777" w:rsidR="00CD79F5" w:rsidRPr="004D2E1C" w:rsidRDefault="00CD79F5" w:rsidP="00CD79F5">
      <w:pPr>
        <w:jc w:val="both"/>
        <w:rPr>
          <w:rFonts w:asciiTheme="majorHAnsi" w:hAnsiTheme="majorHAnsi"/>
          <w:sz w:val="6"/>
          <w:szCs w:val="6"/>
        </w:rPr>
      </w:pPr>
    </w:p>
    <w:p w14:paraId="1C716A9B" w14:textId="77777777" w:rsidR="00CD79F5" w:rsidRPr="004D2E1C" w:rsidRDefault="00422B62" w:rsidP="009A3BEC">
      <w:pPr>
        <w:pStyle w:val="Heading1"/>
        <w:numPr>
          <w:ilvl w:val="2"/>
          <w:numId w:val="29"/>
        </w:numPr>
        <w:tabs>
          <w:tab w:val="left" w:pos="540"/>
        </w:tabs>
        <w:rPr>
          <w:rFonts w:asciiTheme="majorHAnsi" w:hAnsiTheme="majorHAnsi"/>
          <w:sz w:val="24"/>
          <w:lang w:val="sq-AL"/>
        </w:rPr>
      </w:pPr>
      <w:bookmarkStart w:id="69" w:name="_Toc31029011"/>
      <w:bookmarkStart w:id="70" w:name="_Toc31194809"/>
      <w:bookmarkStart w:id="71" w:name="_Toc61062540"/>
      <w:r w:rsidRPr="004D2E1C">
        <w:rPr>
          <w:rFonts w:asciiTheme="majorHAnsi" w:hAnsiTheme="majorHAnsi"/>
          <w:sz w:val="24"/>
          <w:lang w:val="sq-AL"/>
        </w:rPr>
        <w:t xml:space="preserve">Masat </w:t>
      </w:r>
      <w:bookmarkEnd w:id="69"/>
      <w:bookmarkEnd w:id="70"/>
      <w:r w:rsidR="00D16CD7">
        <w:rPr>
          <w:rFonts w:asciiTheme="majorHAnsi" w:hAnsiTheme="majorHAnsi"/>
          <w:sz w:val="24"/>
          <w:lang w:val="sq-AL"/>
        </w:rPr>
        <w:t>p</w:t>
      </w:r>
      <w:r w:rsidR="00C87181">
        <w:rPr>
          <w:rFonts w:asciiTheme="majorHAnsi" w:hAnsiTheme="majorHAnsi"/>
          <w:sz w:val="24"/>
          <w:lang w:val="sq-AL"/>
        </w:rPr>
        <w:t>ë</w:t>
      </w:r>
      <w:r w:rsidR="00D16CD7">
        <w:rPr>
          <w:rFonts w:asciiTheme="majorHAnsi" w:hAnsiTheme="majorHAnsi"/>
          <w:sz w:val="24"/>
          <w:lang w:val="sq-AL"/>
        </w:rPr>
        <w:t>r sigurimin e vler</w:t>
      </w:r>
      <w:r w:rsidR="00C87181">
        <w:rPr>
          <w:rFonts w:asciiTheme="majorHAnsi" w:hAnsiTheme="majorHAnsi"/>
          <w:sz w:val="24"/>
          <w:lang w:val="sq-AL"/>
        </w:rPr>
        <w:t>ë</w:t>
      </w:r>
      <w:r w:rsidR="00D16CD7">
        <w:rPr>
          <w:rFonts w:asciiTheme="majorHAnsi" w:hAnsiTheme="majorHAnsi"/>
          <w:sz w:val="24"/>
          <w:lang w:val="sq-AL"/>
        </w:rPr>
        <w:t>simit objektiv</w:t>
      </w:r>
      <w:bookmarkEnd w:id="71"/>
    </w:p>
    <w:p w14:paraId="46137375" w14:textId="77777777" w:rsidR="005F6EAB" w:rsidRPr="005F6EAB" w:rsidRDefault="00CD79F5" w:rsidP="00363711">
      <w:pPr>
        <w:spacing w:before="60" w:line="264" w:lineRule="auto"/>
        <w:jc w:val="both"/>
        <w:rPr>
          <w:rFonts w:asciiTheme="majorHAnsi" w:hAnsiTheme="majorHAnsi"/>
          <w:sz w:val="21"/>
          <w:szCs w:val="21"/>
        </w:rPr>
      </w:pPr>
      <w:r w:rsidRPr="005F6EAB">
        <w:rPr>
          <w:rFonts w:asciiTheme="majorHAnsi" w:hAnsiTheme="majorHAnsi"/>
          <w:sz w:val="21"/>
          <w:szCs w:val="21"/>
        </w:rPr>
        <w:t xml:space="preserve">Ekziston </w:t>
      </w:r>
      <w:r w:rsidR="005F6EAB" w:rsidRPr="005F6EAB">
        <w:rPr>
          <w:rFonts w:asciiTheme="majorHAnsi" w:hAnsiTheme="majorHAnsi"/>
          <w:sz w:val="21"/>
          <w:szCs w:val="21"/>
        </w:rPr>
        <w:t>rreziku</w:t>
      </w:r>
      <w:r w:rsidR="004733D2" w:rsidRPr="005F6EAB">
        <w:rPr>
          <w:rFonts w:asciiTheme="majorHAnsi" w:hAnsiTheme="majorHAnsi"/>
          <w:sz w:val="21"/>
          <w:szCs w:val="21"/>
        </w:rPr>
        <w:t xml:space="preserve"> </w:t>
      </w:r>
      <w:r w:rsidRPr="005F6EAB">
        <w:rPr>
          <w:rFonts w:asciiTheme="majorHAnsi" w:hAnsiTheme="majorHAnsi"/>
          <w:sz w:val="21"/>
          <w:szCs w:val="21"/>
        </w:rPr>
        <w:t xml:space="preserve">për </w:t>
      </w:r>
      <w:r w:rsidR="00FC0BC7" w:rsidRPr="005F6EAB">
        <w:rPr>
          <w:rFonts w:asciiTheme="majorHAnsi" w:hAnsiTheme="majorHAnsi"/>
          <w:sz w:val="21"/>
          <w:szCs w:val="21"/>
        </w:rPr>
        <w:t>gabime gjat</w:t>
      </w:r>
      <w:r w:rsidR="005F6EAB" w:rsidRPr="005F6EAB">
        <w:rPr>
          <w:rFonts w:asciiTheme="majorHAnsi" w:hAnsiTheme="majorHAnsi"/>
          <w:sz w:val="21"/>
          <w:szCs w:val="21"/>
        </w:rPr>
        <w:t>ë</w:t>
      </w:r>
      <w:r w:rsidR="00FC0BC7" w:rsidRPr="005F6EAB">
        <w:rPr>
          <w:rFonts w:asciiTheme="majorHAnsi" w:hAnsiTheme="majorHAnsi"/>
          <w:sz w:val="21"/>
          <w:szCs w:val="21"/>
        </w:rPr>
        <w:t xml:space="preserve"> procesit t</w:t>
      </w:r>
      <w:r w:rsidR="00C87181" w:rsidRPr="005F6EAB">
        <w:rPr>
          <w:rFonts w:asciiTheme="majorHAnsi" w:hAnsiTheme="majorHAnsi"/>
          <w:sz w:val="21"/>
          <w:szCs w:val="21"/>
        </w:rPr>
        <w:t>ë</w:t>
      </w:r>
      <w:r w:rsidR="00FC0BC7" w:rsidRPr="005F6EAB">
        <w:rPr>
          <w:rFonts w:asciiTheme="majorHAnsi" w:hAnsiTheme="majorHAnsi"/>
          <w:sz w:val="21"/>
          <w:szCs w:val="21"/>
        </w:rPr>
        <w:t xml:space="preserve"> </w:t>
      </w:r>
      <w:r w:rsidRPr="005F6EAB">
        <w:rPr>
          <w:rFonts w:asciiTheme="majorHAnsi" w:hAnsiTheme="majorHAnsi"/>
          <w:sz w:val="21"/>
          <w:szCs w:val="21"/>
        </w:rPr>
        <w:t>vlerësimit</w:t>
      </w:r>
      <w:r w:rsidR="00FC0BC7" w:rsidRPr="005F6EAB">
        <w:rPr>
          <w:rFonts w:asciiTheme="majorHAnsi" w:hAnsiTheme="majorHAnsi"/>
          <w:sz w:val="21"/>
          <w:szCs w:val="21"/>
        </w:rPr>
        <w:t xml:space="preserve"> t</w:t>
      </w:r>
      <w:r w:rsidR="00C87181" w:rsidRPr="005F6EAB">
        <w:rPr>
          <w:rFonts w:asciiTheme="majorHAnsi" w:hAnsiTheme="majorHAnsi"/>
          <w:sz w:val="21"/>
          <w:szCs w:val="21"/>
        </w:rPr>
        <w:t>ë</w:t>
      </w:r>
      <w:r w:rsidR="00FC0BC7" w:rsidRPr="005F6EAB">
        <w:rPr>
          <w:rFonts w:asciiTheme="majorHAnsi" w:hAnsiTheme="majorHAnsi"/>
          <w:sz w:val="21"/>
          <w:szCs w:val="21"/>
        </w:rPr>
        <w:t xml:space="preserve"> komunave p</w:t>
      </w:r>
      <w:r w:rsidR="00C87181" w:rsidRPr="005F6EAB">
        <w:rPr>
          <w:rFonts w:asciiTheme="majorHAnsi" w:hAnsiTheme="majorHAnsi"/>
          <w:sz w:val="21"/>
          <w:szCs w:val="21"/>
        </w:rPr>
        <w:t>ë</w:t>
      </w:r>
      <w:r w:rsidR="00FC0BC7" w:rsidRPr="005F6EAB">
        <w:rPr>
          <w:rFonts w:asciiTheme="majorHAnsi" w:hAnsiTheme="majorHAnsi"/>
          <w:sz w:val="21"/>
          <w:szCs w:val="21"/>
        </w:rPr>
        <w:t>r GPK</w:t>
      </w:r>
      <w:r w:rsidRPr="005F6EAB">
        <w:rPr>
          <w:rFonts w:asciiTheme="majorHAnsi" w:hAnsiTheme="majorHAnsi"/>
          <w:sz w:val="21"/>
          <w:szCs w:val="21"/>
        </w:rPr>
        <w:t xml:space="preserve">. Kjo nënkupton që </w:t>
      </w:r>
      <w:r w:rsidR="00B320BA" w:rsidRPr="005F6EAB">
        <w:rPr>
          <w:rFonts w:asciiTheme="majorHAnsi" w:hAnsiTheme="majorHAnsi"/>
          <w:sz w:val="21"/>
          <w:szCs w:val="21"/>
        </w:rPr>
        <w:t>vler</w:t>
      </w:r>
      <w:r w:rsidR="00C87181" w:rsidRPr="005F6EAB">
        <w:rPr>
          <w:rFonts w:asciiTheme="majorHAnsi" w:hAnsiTheme="majorHAnsi"/>
          <w:sz w:val="21"/>
          <w:szCs w:val="21"/>
        </w:rPr>
        <w:t>ë</w:t>
      </w:r>
      <w:r w:rsidR="00B320BA" w:rsidRPr="005F6EAB">
        <w:rPr>
          <w:rFonts w:asciiTheme="majorHAnsi" w:hAnsiTheme="majorHAnsi"/>
          <w:sz w:val="21"/>
          <w:szCs w:val="21"/>
        </w:rPr>
        <w:t>simi joobjektiv t</w:t>
      </w:r>
      <w:r w:rsidR="00C87181" w:rsidRPr="005F6EAB">
        <w:rPr>
          <w:rFonts w:asciiTheme="majorHAnsi" w:hAnsiTheme="majorHAnsi"/>
          <w:sz w:val="21"/>
          <w:szCs w:val="21"/>
        </w:rPr>
        <w:t>ë</w:t>
      </w:r>
      <w:r w:rsidR="00B320BA" w:rsidRPr="005F6EAB">
        <w:rPr>
          <w:rFonts w:asciiTheme="majorHAnsi" w:hAnsiTheme="majorHAnsi"/>
          <w:sz w:val="21"/>
          <w:szCs w:val="21"/>
        </w:rPr>
        <w:t xml:space="preserve"> ndikoj n</w:t>
      </w:r>
      <w:r w:rsidR="00C87181" w:rsidRPr="005F6EAB">
        <w:rPr>
          <w:rFonts w:asciiTheme="majorHAnsi" w:hAnsiTheme="majorHAnsi"/>
          <w:sz w:val="21"/>
          <w:szCs w:val="21"/>
        </w:rPr>
        <w:t>ë</w:t>
      </w:r>
      <w:r w:rsidR="00B320BA" w:rsidRPr="005F6EAB">
        <w:rPr>
          <w:rFonts w:asciiTheme="majorHAnsi" w:hAnsiTheme="majorHAnsi"/>
          <w:sz w:val="21"/>
          <w:szCs w:val="21"/>
        </w:rPr>
        <w:t xml:space="preserve"> shp</w:t>
      </w:r>
      <w:r w:rsidR="00C87181" w:rsidRPr="005F6EAB">
        <w:rPr>
          <w:rFonts w:asciiTheme="majorHAnsi" w:hAnsiTheme="majorHAnsi"/>
          <w:sz w:val="21"/>
          <w:szCs w:val="21"/>
        </w:rPr>
        <w:t>ë</w:t>
      </w:r>
      <w:r w:rsidR="00B320BA" w:rsidRPr="005F6EAB">
        <w:rPr>
          <w:rFonts w:asciiTheme="majorHAnsi" w:hAnsiTheme="majorHAnsi"/>
          <w:sz w:val="21"/>
          <w:szCs w:val="21"/>
        </w:rPr>
        <w:t>rndarjen jomeritore t</w:t>
      </w:r>
      <w:r w:rsidR="00C87181" w:rsidRPr="005F6EAB">
        <w:rPr>
          <w:rFonts w:asciiTheme="majorHAnsi" w:hAnsiTheme="majorHAnsi"/>
          <w:sz w:val="21"/>
          <w:szCs w:val="21"/>
        </w:rPr>
        <w:t>ë</w:t>
      </w:r>
      <w:r w:rsidR="00B320BA" w:rsidRPr="005F6EAB">
        <w:rPr>
          <w:rFonts w:asciiTheme="majorHAnsi" w:hAnsiTheme="majorHAnsi"/>
          <w:sz w:val="21"/>
          <w:szCs w:val="21"/>
        </w:rPr>
        <w:t xml:space="preserve"> grantit t</w:t>
      </w:r>
      <w:r w:rsidR="00C87181" w:rsidRPr="005F6EAB">
        <w:rPr>
          <w:rFonts w:asciiTheme="majorHAnsi" w:hAnsiTheme="majorHAnsi"/>
          <w:sz w:val="21"/>
          <w:szCs w:val="21"/>
        </w:rPr>
        <w:t>ë</w:t>
      </w:r>
      <w:r w:rsidR="00B320BA" w:rsidRPr="005F6EAB">
        <w:rPr>
          <w:rFonts w:asciiTheme="majorHAnsi" w:hAnsiTheme="majorHAnsi"/>
          <w:sz w:val="21"/>
          <w:szCs w:val="21"/>
        </w:rPr>
        <w:t xml:space="preserve"> performanc</w:t>
      </w:r>
      <w:r w:rsidR="00C87181" w:rsidRPr="005F6EAB">
        <w:rPr>
          <w:rFonts w:asciiTheme="majorHAnsi" w:hAnsiTheme="majorHAnsi"/>
          <w:sz w:val="21"/>
          <w:szCs w:val="21"/>
        </w:rPr>
        <w:t>ë</w:t>
      </w:r>
      <w:r w:rsidR="00B320BA" w:rsidRPr="005F6EAB">
        <w:rPr>
          <w:rFonts w:asciiTheme="majorHAnsi" w:hAnsiTheme="majorHAnsi"/>
          <w:sz w:val="21"/>
          <w:szCs w:val="21"/>
        </w:rPr>
        <w:t xml:space="preserve">s. </w:t>
      </w:r>
    </w:p>
    <w:p w14:paraId="73411D5A" w14:textId="77777777" w:rsidR="00B320BA" w:rsidRPr="005F6EAB" w:rsidRDefault="00B320BA" w:rsidP="00363711">
      <w:pPr>
        <w:spacing w:before="60" w:line="264" w:lineRule="auto"/>
        <w:jc w:val="both"/>
        <w:rPr>
          <w:rFonts w:asciiTheme="majorHAnsi" w:hAnsiTheme="majorHAnsi"/>
          <w:sz w:val="21"/>
          <w:szCs w:val="21"/>
        </w:rPr>
      </w:pPr>
      <w:r w:rsidRPr="005F6EAB">
        <w:rPr>
          <w:rFonts w:asciiTheme="majorHAnsi" w:hAnsiTheme="majorHAnsi"/>
          <w:sz w:val="21"/>
          <w:szCs w:val="21"/>
        </w:rPr>
        <w:t>P</w:t>
      </w:r>
      <w:r w:rsidR="00C87181" w:rsidRPr="005F6EAB">
        <w:rPr>
          <w:rFonts w:asciiTheme="majorHAnsi" w:hAnsiTheme="majorHAnsi"/>
          <w:sz w:val="21"/>
          <w:szCs w:val="21"/>
        </w:rPr>
        <w:t>ë</w:t>
      </w:r>
      <w:r w:rsidRPr="005F6EAB">
        <w:rPr>
          <w:rFonts w:asciiTheme="majorHAnsi" w:hAnsiTheme="majorHAnsi"/>
          <w:sz w:val="21"/>
          <w:szCs w:val="21"/>
        </w:rPr>
        <w:t>r t</w:t>
      </w:r>
      <w:r w:rsidR="00C87181" w:rsidRPr="005F6EAB">
        <w:rPr>
          <w:rFonts w:asciiTheme="majorHAnsi" w:hAnsiTheme="majorHAnsi"/>
          <w:sz w:val="21"/>
          <w:szCs w:val="21"/>
        </w:rPr>
        <w:t>ë</w:t>
      </w:r>
      <w:r w:rsidRPr="005F6EAB">
        <w:rPr>
          <w:rFonts w:asciiTheme="majorHAnsi" w:hAnsiTheme="majorHAnsi"/>
          <w:sz w:val="21"/>
          <w:szCs w:val="21"/>
        </w:rPr>
        <w:t xml:space="preserve"> evituar k</w:t>
      </w:r>
      <w:r w:rsidR="00C87181" w:rsidRPr="005F6EAB">
        <w:rPr>
          <w:rFonts w:asciiTheme="majorHAnsi" w:hAnsiTheme="majorHAnsi"/>
          <w:sz w:val="21"/>
          <w:szCs w:val="21"/>
        </w:rPr>
        <w:t>ë</w:t>
      </w:r>
      <w:r w:rsidRPr="005F6EAB">
        <w:rPr>
          <w:rFonts w:asciiTheme="majorHAnsi" w:hAnsiTheme="majorHAnsi"/>
          <w:sz w:val="21"/>
          <w:szCs w:val="21"/>
        </w:rPr>
        <w:t>t</w:t>
      </w:r>
      <w:r w:rsidR="00C87181" w:rsidRPr="005F6EAB">
        <w:rPr>
          <w:rFonts w:asciiTheme="majorHAnsi" w:hAnsiTheme="majorHAnsi"/>
          <w:sz w:val="21"/>
          <w:szCs w:val="21"/>
        </w:rPr>
        <w:t>ë</w:t>
      </w:r>
      <w:r w:rsidRPr="005F6EAB">
        <w:rPr>
          <w:rFonts w:asciiTheme="majorHAnsi" w:hAnsiTheme="majorHAnsi"/>
          <w:sz w:val="21"/>
          <w:szCs w:val="21"/>
        </w:rPr>
        <w:t xml:space="preserve"> rrezik, Rregullorja p</w:t>
      </w:r>
      <w:r w:rsidR="00C87181" w:rsidRPr="005F6EAB">
        <w:rPr>
          <w:rFonts w:asciiTheme="majorHAnsi" w:hAnsiTheme="majorHAnsi"/>
          <w:sz w:val="21"/>
          <w:szCs w:val="21"/>
        </w:rPr>
        <w:t>ë</w:t>
      </w:r>
      <w:r w:rsidRPr="005F6EAB">
        <w:rPr>
          <w:rFonts w:asciiTheme="majorHAnsi" w:hAnsiTheme="majorHAnsi"/>
          <w:sz w:val="21"/>
          <w:szCs w:val="21"/>
        </w:rPr>
        <w:t>r SMPK-s</w:t>
      </w:r>
      <w:r w:rsidR="00C87181" w:rsidRPr="005F6EAB">
        <w:rPr>
          <w:rFonts w:asciiTheme="majorHAnsi" w:hAnsiTheme="majorHAnsi"/>
          <w:sz w:val="21"/>
          <w:szCs w:val="21"/>
        </w:rPr>
        <w:t>ë</w:t>
      </w:r>
      <w:r w:rsidRPr="005F6EAB">
        <w:rPr>
          <w:rFonts w:asciiTheme="majorHAnsi" w:hAnsiTheme="majorHAnsi"/>
          <w:sz w:val="21"/>
          <w:szCs w:val="21"/>
        </w:rPr>
        <w:t xml:space="preserve"> si dhe Rregullat e Grantit p</w:t>
      </w:r>
      <w:r w:rsidR="00C87181" w:rsidRPr="005F6EAB">
        <w:rPr>
          <w:rFonts w:asciiTheme="majorHAnsi" w:hAnsiTheme="majorHAnsi"/>
          <w:sz w:val="21"/>
          <w:szCs w:val="21"/>
        </w:rPr>
        <w:t>ë</w:t>
      </w:r>
      <w:r w:rsidRPr="005F6EAB">
        <w:rPr>
          <w:rFonts w:asciiTheme="majorHAnsi" w:hAnsiTheme="majorHAnsi"/>
          <w:sz w:val="21"/>
          <w:szCs w:val="21"/>
        </w:rPr>
        <w:t>r performanc</w:t>
      </w:r>
      <w:r w:rsidR="00C87181" w:rsidRPr="005F6EAB">
        <w:rPr>
          <w:rFonts w:asciiTheme="majorHAnsi" w:hAnsiTheme="majorHAnsi"/>
          <w:sz w:val="21"/>
          <w:szCs w:val="21"/>
        </w:rPr>
        <w:t>ë</w:t>
      </w:r>
      <w:r w:rsidRPr="005F6EAB">
        <w:rPr>
          <w:rFonts w:asciiTheme="majorHAnsi" w:hAnsiTheme="majorHAnsi"/>
          <w:sz w:val="21"/>
          <w:szCs w:val="21"/>
        </w:rPr>
        <w:t xml:space="preserve"> p</w:t>
      </w:r>
      <w:r w:rsidR="00C87181" w:rsidRPr="005F6EAB">
        <w:rPr>
          <w:rFonts w:asciiTheme="majorHAnsi" w:hAnsiTheme="majorHAnsi"/>
          <w:sz w:val="21"/>
          <w:szCs w:val="21"/>
        </w:rPr>
        <w:t>ë</w:t>
      </w:r>
      <w:r w:rsidRPr="005F6EAB">
        <w:rPr>
          <w:rFonts w:asciiTheme="majorHAnsi" w:hAnsiTheme="majorHAnsi"/>
          <w:sz w:val="21"/>
          <w:szCs w:val="21"/>
        </w:rPr>
        <w:t>rcaktojn</w:t>
      </w:r>
      <w:r w:rsidR="00C87181" w:rsidRPr="005F6EAB">
        <w:rPr>
          <w:rFonts w:asciiTheme="majorHAnsi" w:hAnsiTheme="majorHAnsi"/>
          <w:sz w:val="21"/>
          <w:szCs w:val="21"/>
        </w:rPr>
        <w:t>ë</w:t>
      </w:r>
      <w:r w:rsidRPr="005F6EAB">
        <w:rPr>
          <w:rFonts w:asciiTheme="majorHAnsi" w:hAnsiTheme="majorHAnsi"/>
          <w:sz w:val="21"/>
          <w:szCs w:val="21"/>
        </w:rPr>
        <w:t xml:space="preserve"> mekanizmat e sigurimit t</w:t>
      </w:r>
      <w:r w:rsidR="00C87181" w:rsidRPr="005F6EAB">
        <w:rPr>
          <w:rFonts w:asciiTheme="majorHAnsi" w:hAnsiTheme="majorHAnsi"/>
          <w:sz w:val="21"/>
          <w:szCs w:val="21"/>
        </w:rPr>
        <w:t>ë</w:t>
      </w:r>
      <w:r w:rsidRPr="005F6EAB">
        <w:rPr>
          <w:rFonts w:asciiTheme="majorHAnsi" w:hAnsiTheme="majorHAnsi"/>
          <w:sz w:val="21"/>
          <w:szCs w:val="21"/>
        </w:rPr>
        <w:t xml:space="preserve"> cil</w:t>
      </w:r>
      <w:r w:rsidR="00C87181" w:rsidRPr="005F6EAB">
        <w:rPr>
          <w:rFonts w:asciiTheme="majorHAnsi" w:hAnsiTheme="majorHAnsi"/>
          <w:sz w:val="21"/>
          <w:szCs w:val="21"/>
        </w:rPr>
        <w:t>ë</w:t>
      </w:r>
      <w:r w:rsidRPr="005F6EAB">
        <w:rPr>
          <w:rFonts w:asciiTheme="majorHAnsi" w:hAnsiTheme="majorHAnsi"/>
          <w:sz w:val="21"/>
          <w:szCs w:val="21"/>
        </w:rPr>
        <w:t>sis</w:t>
      </w:r>
      <w:r w:rsidR="00C87181" w:rsidRPr="005F6EAB">
        <w:rPr>
          <w:rFonts w:asciiTheme="majorHAnsi" w:hAnsiTheme="majorHAnsi"/>
          <w:sz w:val="21"/>
          <w:szCs w:val="21"/>
        </w:rPr>
        <w:t>ë</w:t>
      </w:r>
      <w:r w:rsidRPr="005F6EAB">
        <w:rPr>
          <w:rFonts w:asciiTheme="majorHAnsi" w:hAnsiTheme="majorHAnsi"/>
          <w:sz w:val="21"/>
          <w:szCs w:val="21"/>
        </w:rPr>
        <w:t xml:space="preserve"> si vijon: </w:t>
      </w:r>
    </w:p>
    <w:p w14:paraId="240FFB56" w14:textId="77777777"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lang w:eastAsia="en-US"/>
        </w:rPr>
      </w:pPr>
      <w:r w:rsidRPr="005F6EAB">
        <w:rPr>
          <w:rFonts w:asciiTheme="majorHAnsi" w:hAnsiTheme="majorHAnsi"/>
          <w:sz w:val="21"/>
          <w:szCs w:val="21"/>
          <w:lang w:eastAsia="en-US"/>
        </w:rPr>
        <w:t>Procesin e verifikimit</w:t>
      </w:r>
      <w:r w:rsidR="003E303E" w:rsidRPr="005F6EAB">
        <w:rPr>
          <w:rFonts w:asciiTheme="majorHAnsi" w:hAnsiTheme="majorHAnsi"/>
          <w:sz w:val="21"/>
          <w:szCs w:val="21"/>
          <w:lang w:eastAsia="en-US"/>
        </w:rPr>
        <w:t xml:space="preserve"> -</w:t>
      </w:r>
      <w:r w:rsidRPr="005F6EAB">
        <w:rPr>
          <w:rFonts w:asciiTheme="majorHAnsi" w:hAnsiTheme="majorHAnsi"/>
          <w:sz w:val="21"/>
          <w:szCs w:val="21"/>
          <w:lang w:eastAsia="en-US"/>
        </w:rPr>
        <w:t xml:space="preserve"> i cili </w:t>
      </w:r>
      <w:r w:rsidRPr="005F6EAB">
        <w:rPr>
          <w:color w:val="000000" w:themeColor="text1"/>
          <w:sz w:val="21"/>
          <w:szCs w:val="21"/>
        </w:rPr>
        <w:t>mundëson krahasimin e të dhënave të raportuara me dokumentet ose faktet që dëshmojnë vërtetësinë;</w:t>
      </w:r>
    </w:p>
    <w:p w14:paraId="1429CC9D" w14:textId="77777777"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lang w:eastAsia="en-US"/>
        </w:rPr>
      </w:pPr>
      <w:r w:rsidRPr="005F6EAB">
        <w:rPr>
          <w:rFonts w:asciiTheme="majorHAnsi" w:hAnsiTheme="majorHAnsi"/>
          <w:sz w:val="21"/>
          <w:szCs w:val="21"/>
          <w:lang w:eastAsia="en-US"/>
        </w:rPr>
        <w:t>Zbatimin e procedurave t</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ankesave si n</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rastin e hartimit t</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raportit t</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performanc</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s, ashtu edhe n</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procesin e vler</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simit p</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r </w:t>
      </w:r>
      <w:r w:rsidR="003055B8" w:rsidRPr="005F6EAB">
        <w:rPr>
          <w:rFonts w:asciiTheme="majorHAnsi" w:hAnsiTheme="majorHAnsi"/>
          <w:sz w:val="21"/>
          <w:szCs w:val="21"/>
          <w:lang w:eastAsia="en-US"/>
        </w:rPr>
        <w:t>GPK</w:t>
      </w:r>
      <w:r w:rsidRPr="005F6EAB">
        <w:rPr>
          <w:rFonts w:asciiTheme="majorHAnsi" w:hAnsiTheme="majorHAnsi"/>
          <w:sz w:val="21"/>
          <w:szCs w:val="21"/>
          <w:lang w:eastAsia="en-US"/>
        </w:rPr>
        <w:t xml:space="preserve">. </w:t>
      </w:r>
    </w:p>
    <w:p w14:paraId="229B699F" w14:textId="77777777"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P</w:t>
      </w:r>
      <w:r w:rsidR="00C87181" w:rsidRPr="005F6EAB">
        <w:rPr>
          <w:rFonts w:asciiTheme="majorHAnsi" w:hAnsiTheme="majorHAnsi"/>
          <w:sz w:val="21"/>
          <w:szCs w:val="21"/>
        </w:rPr>
        <w:t>ë</w:t>
      </w:r>
      <w:r w:rsidRPr="005F6EAB">
        <w:rPr>
          <w:rFonts w:asciiTheme="majorHAnsi" w:hAnsiTheme="majorHAnsi"/>
          <w:sz w:val="21"/>
          <w:szCs w:val="21"/>
        </w:rPr>
        <w:t>rfshirjen e kontributdh</w:t>
      </w:r>
      <w:r w:rsidR="00C87181" w:rsidRPr="005F6EAB">
        <w:rPr>
          <w:rFonts w:asciiTheme="majorHAnsi" w:hAnsiTheme="majorHAnsi"/>
          <w:sz w:val="21"/>
          <w:szCs w:val="21"/>
        </w:rPr>
        <w:t>ë</w:t>
      </w:r>
      <w:r w:rsidRPr="005F6EAB">
        <w:rPr>
          <w:rFonts w:asciiTheme="majorHAnsi" w:hAnsiTheme="majorHAnsi"/>
          <w:sz w:val="21"/>
          <w:szCs w:val="21"/>
        </w:rPr>
        <w:t>n</w:t>
      </w:r>
      <w:r w:rsidR="00C87181" w:rsidRPr="005F6EAB">
        <w:rPr>
          <w:rFonts w:asciiTheme="majorHAnsi" w:hAnsiTheme="majorHAnsi"/>
          <w:sz w:val="21"/>
          <w:szCs w:val="21"/>
        </w:rPr>
        <w:t>ë</w:t>
      </w:r>
      <w:r w:rsidRPr="005F6EAB">
        <w:rPr>
          <w:rFonts w:asciiTheme="majorHAnsi" w:hAnsiTheme="majorHAnsi"/>
          <w:sz w:val="21"/>
          <w:szCs w:val="21"/>
        </w:rPr>
        <w:t>sve n</w:t>
      </w:r>
      <w:r w:rsidR="00C87181" w:rsidRPr="005F6EAB">
        <w:rPr>
          <w:rFonts w:asciiTheme="majorHAnsi" w:hAnsiTheme="majorHAnsi"/>
          <w:sz w:val="21"/>
          <w:szCs w:val="21"/>
        </w:rPr>
        <w:t>ë</w:t>
      </w:r>
      <w:r w:rsidRPr="005F6EAB">
        <w:rPr>
          <w:rFonts w:asciiTheme="majorHAnsi" w:hAnsiTheme="majorHAnsi"/>
          <w:sz w:val="21"/>
          <w:szCs w:val="21"/>
        </w:rPr>
        <w:t xml:space="preserve"> t</w:t>
      </w:r>
      <w:r w:rsidR="00C87181" w:rsidRPr="005F6EAB">
        <w:rPr>
          <w:rFonts w:asciiTheme="majorHAnsi" w:hAnsiTheme="majorHAnsi"/>
          <w:sz w:val="21"/>
          <w:szCs w:val="21"/>
        </w:rPr>
        <w:t>ë</w:t>
      </w:r>
      <w:r w:rsidRPr="005F6EAB">
        <w:rPr>
          <w:rFonts w:asciiTheme="majorHAnsi" w:hAnsiTheme="majorHAnsi"/>
          <w:sz w:val="21"/>
          <w:szCs w:val="21"/>
        </w:rPr>
        <w:t xml:space="preserve"> gjitha proceset e vler</w:t>
      </w:r>
      <w:r w:rsidR="00C87181" w:rsidRPr="005F6EAB">
        <w:rPr>
          <w:rFonts w:asciiTheme="majorHAnsi" w:hAnsiTheme="majorHAnsi"/>
          <w:sz w:val="21"/>
          <w:szCs w:val="21"/>
        </w:rPr>
        <w:t>ë</w:t>
      </w:r>
      <w:r w:rsidRPr="005F6EAB">
        <w:rPr>
          <w:rFonts w:asciiTheme="majorHAnsi" w:hAnsiTheme="majorHAnsi"/>
          <w:sz w:val="21"/>
          <w:szCs w:val="21"/>
        </w:rPr>
        <w:t>simit t</w:t>
      </w:r>
      <w:r w:rsidR="00C87181" w:rsidRPr="005F6EAB">
        <w:rPr>
          <w:rFonts w:asciiTheme="majorHAnsi" w:hAnsiTheme="majorHAnsi"/>
          <w:sz w:val="21"/>
          <w:szCs w:val="21"/>
        </w:rPr>
        <w:t>ë</w:t>
      </w:r>
      <w:r w:rsidRPr="005F6EAB">
        <w:rPr>
          <w:rFonts w:asciiTheme="majorHAnsi" w:hAnsiTheme="majorHAnsi"/>
          <w:sz w:val="21"/>
          <w:szCs w:val="21"/>
        </w:rPr>
        <w:t xml:space="preserve"> performanc</w:t>
      </w:r>
      <w:r w:rsidR="00C87181" w:rsidRPr="005F6EAB">
        <w:rPr>
          <w:rFonts w:asciiTheme="majorHAnsi" w:hAnsiTheme="majorHAnsi"/>
          <w:sz w:val="21"/>
          <w:szCs w:val="21"/>
        </w:rPr>
        <w:t>ë</w:t>
      </w:r>
      <w:r w:rsidRPr="005F6EAB">
        <w:rPr>
          <w:rFonts w:asciiTheme="majorHAnsi" w:hAnsiTheme="majorHAnsi"/>
          <w:sz w:val="21"/>
          <w:szCs w:val="21"/>
        </w:rPr>
        <w:t>s dhe GPK-s</w:t>
      </w:r>
      <w:r w:rsidR="00C87181" w:rsidRPr="005F6EAB">
        <w:rPr>
          <w:rFonts w:asciiTheme="majorHAnsi" w:hAnsiTheme="majorHAnsi"/>
          <w:sz w:val="21"/>
          <w:szCs w:val="21"/>
        </w:rPr>
        <w:t>ë</w:t>
      </w:r>
      <w:r w:rsidRPr="005F6EAB">
        <w:rPr>
          <w:rFonts w:asciiTheme="majorHAnsi" w:hAnsiTheme="majorHAnsi"/>
          <w:sz w:val="21"/>
          <w:szCs w:val="21"/>
        </w:rPr>
        <w:t>;</w:t>
      </w:r>
    </w:p>
    <w:p w14:paraId="3F2FB049" w14:textId="487718C9"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P</w:t>
      </w:r>
      <w:r w:rsidR="00C87181" w:rsidRPr="005F6EAB">
        <w:rPr>
          <w:rFonts w:asciiTheme="majorHAnsi" w:hAnsiTheme="majorHAnsi"/>
          <w:sz w:val="21"/>
          <w:szCs w:val="21"/>
        </w:rPr>
        <w:t>ë</w:t>
      </w:r>
      <w:r w:rsidRPr="005F6EAB">
        <w:rPr>
          <w:rFonts w:asciiTheme="majorHAnsi" w:hAnsiTheme="majorHAnsi"/>
          <w:sz w:val="21"/>
          <w:szCs w:val="21"/>
        </w:rPr>
        <w:t>rfshirjen aktive t</w:t>
      </w:r>
      <w:r w:rsidR="00C87181" w:rsidRPr="005F6EAB">
        <w:rPr>
          <w:rFonts w:asciiTheme="majorHAnsi" w:hAnsiTheme="majorHAnsi"/>
          <w:sz w:val="21"/>
          <w:szCs w:val="21"/>
        </w:rPr>
        <w:t>ë</w:t>
      </w:r>
      <w:r w:rsidRPr="005F6EAB">
        <w:rPr>
          <w:rFonts w:asciiTheme="majorHAnsi" w:hAnsiTheme="majorHAnsi"/>
          <w:sz w:val="21"/>
          <w:szCs w:val="21"/>
        </w:rPr>
        <w:t xml:space="preserve"> shoq</w:t>
      </w:r>
      <w:r w:rsidR="00C87181" w:rsidRPr="005F6EAB">
        <w:rPr>
          <w:rFonts w:asciiTheme="majorHAnsi" w:hAnsiTheme="majorHAnsi"/>
          <w:sz w:val="21"/>
          <w:szCs w:val="21"/>
        </w:rPr>
        <w:t>ë</w:t>
      </w:r>
      <w:r w:rsidRPr="005F6EAB">
        <w:rPr>
          <w:rFonts w:asciiTheme="majorHAnsi" w:hAnsiTheme="majorHAnsi"/>
          <w:sz w:val="21"/>
          <w:szCs w:val="21"/>
        </w:rPr>
        <w:t>ris</w:t>
      </w:r>
      <w:r w:rsidR="00C87181" w:rsidRPr="005F6EAB">
        <w:rPr>
          <w:rFonts w:asciiTheme="majorHAnsi" w:hAnsiTheme="majorHAnsi"/>
          <w:sz w:val="21"/>
          <w:szCs w:val="21"/>
        </w:rPr>
        <w:t>ë</w:t>
      </w:r>
      <w:r w:rsidRPr="005F6EAB">
        <w:rPr>
          <w:rFonts w:asciiTheme="majorHAnsi" w:hAnsiTheme="majorHAnsi"/>
          <w:sz w:val="21"/>
          <w:szCs w:val="21"/>
        </w:rPr>
        <w:t xml:space="preserve"> civile n</w:t>
      </w:r>
      <w:r w:rsidR="00C87181" w:rsidRPr="005F6EAB">
        <w:rPr>
          <w:rFonts w:asciiTheme="majorHAnsi" w:hAnsiTheme="majorHAnsi"/>
          <w:sz w:val="21"/>
          <w:szCs w:val="21"/>
        </w:rPr>
        <w:t>ë</w:t>
      </w:r>
      <w:r w:rsidRPr="005F6EAB">
        <w:rPr>
          <w:rFonts w:asciiTheme="majorHAnsi" w:hAnsiTheme="majorHAnsi"/>
          <w:sz w:val="21"/>
          <w:szCs w:val="21"/>
        </w:rPr>
        <w:t xml:space="preserve"> </w:t>
      </w:r>
      <w:r w:rsidR="003E303E" w:rsidRPr="005F6EAB">
        <w:rPr>
          <w:rFonts w:asciiTheme="majorHAnsi" w:hAnsiTheme="majorHAnsi"/>
          <w:sz w:val="21"/>
          <w:szCs w:val="21"/>
        </w:rPr>
        <w:t>cil</w:t>
      </w:r>
      <w:r w:rsidR="00C87181" w:rsidRPr="005F6EAB">
        <w:rPr>
          <w:rFonts w:asciiTheme="majorHAnsi" w:hAnsiTheme="majorHAnsi"/>
          <w:sz w:val="21"/>
          <w:szCs w:val="21"/>
        </w:rPr>
        <w:t>ë</w:t>
      </w:r>
      <w:r w:rsidR="003E303E" w:rsidRPr="005F6EAB">
        <w:rPr>
          <w:rFonts w:asciiTheme="majorHAnsi" w:hAnsiTheme="majorHAnsi"/>
          <w:sz w:val="21"/>
          <w:szCs w:val="21"/>
        </w:rPr>
        <w:t>sin</w:t>
      </w:r>
      <w:r w:rsidR="00C87181" w:rsidRPr="005F6EAB">
        <w:rPr>
          <w:rFonts w:asciiTheme="majorHAnsi" w:hAnsiTheme="majorHAnsi"/>
          <w:sz w:val="21"/>
          <w:szCs w:val="21"/>
        </w:rPr>
        <w:t>ë</w:t>
      </w:r>
      <w:r w:rsidR="003E303E" w:rsidRPr="005F6EAB">
        <w:rPr>
          <w:rFonts w:asciiTheme="majorHAnsi" w:hAnsiTheme="majorHAnsi"/>
          <w:sz w:val="21"/>
          <w:szCs w:val="21"/>
        </w:rPr>
        <w:t xml:space="preserve"> e vendimmar</w:t>
      </w:r>
      <w:r w:rsidR="00C87181" w:rsidRPr="005F6EAB">
        <w:rPr>
          <w:rFonts w:asciiTheme="majorHAnsi" w:hAnsiTheme="majorHAnsi"/>
          <w:sz w:val="21"/>
          <w:szCs w:val="21"/>
        </w:rPr>
        <w:t>ë</w:t>
      </w:r>
      <w:r w:rsidR="003E303E" w:rsidRPr="005F6EAB">
        <w:rPr>
          <w:rFonts w:asciiTheme="majorHAnsi" w:hAnsiTheme="majorHAnsi"/>
          <w:sz w:val="21"/>
          <w:szCs w:val="21"/>
        </w:rPr>
        <w:t>sve (n</w:t>
      </w:r>
      <w:r w:rsidR="00C87181" w:rsidRPr="005F6EAB">
        <w:rPr>
          <w:rFonts w:asciiTheme="majorHAnsi" w:hAnsiTheme="majorHAnsi"/>
          <w:sz w:val="21"/>
          <w:szCs w:val="21"/>
        </w:rPr>
        <w:t>ë</w:t>
      </w:r>
      <w:r w:rsidR="003E303E" w:rsidRPr="005F6EAB">
        <w:rPr>
          <w:rFonts w:asciiTheme="majorHAnsi" w:hAnsiTheme="majorHAnsi"/>
          <w:sz w:val="21"/>
          <w:szCs w:val="21"/>
        </w:rPr>
        <w:t xml:space="preserve"> komisionin p</w:t>
      </w:r>
      <w:r w:rsidR="00C87181" w:rsidRPr="005F6EAB">
        <w:rPr>
          <w:rFonts w:asciiTheme="majorHAnsi" w:hAnsiTheme="majorHAnsi"/>
          <w:sz w:val="21"/>
          <w:szCs w:val="21"/>
        </w:rPr>
        <w:t>ë</w:t>
      </w:r>
      <w:r w:rsidR="003E303E" w:rsidRPr="005F6EAB">
        <w:rPr>
          <w:rFonts w:asciiTheme="majorHAnsi" w:hAnsiTheme="majorHAnsi"/>
          <w:sz w:val="21"/>
          <w:szCs w:val="21"/>
        </w:rPr>
        <w:t>r ankesa t</w:t>
      </w:r>
      <w:r w:rsidR="00C87181" w:rsidRPr="005F6EAB">
        <w:rPr>
          <w:rFonts w:asciiTheme="majorHAnsi" w:hAnsiTheme="majorHAnsi"/>
          <w:sz w:val="21"/>
          <w:szCs w:val="21"/>
        </w:rPr>
        <w:t>ë</w:t>
      </w:r>
      <w:r w:rsidR="003E303E" w:rsidRPr="005F6EAB">
        <w:rPr>
          <w:rFonts w:asciiTheme="majorHAnsi" w:hAnsiTheme="majorHAnsi"/>
          <w:sz w:val="21"/>
          <w:szCs w:val="21"/>
        </w:rPr>
        <w:t xml:space="preserve"> GPK) si dhe n</w:t>
      </w:r>
      <w:r w:rsidR="00C87181" w:rsidRPr="005F6EAB">
        <w:rPr>
          <w:rFonts w:asciiTheme="majorHAnsi" w:hAnsiTheme="majorHAnsi"/>
          <w:sz w:val="21"/>
          <w:szCs w:val="21"/>
        </w:rPr>
        <w:t>ë</w:t>
      </w:r>
      <w:r w:rsidR="003E303E" w:rsidRPr="005F6EAB">
        <w:rPr>
          <w:rFonts w:asciiTheme="majorHAnsi" w:hAnsiTheme="majorHAnsi"/>
          <w:sz w:val="21"/>
          <w:szCs w:val="21"/>
        </w:rPr>
        <w:t xml:space="preserve"> cil</w:t>
      </w:r>
      <w:r w:rsidR="00C87181" w:rsidRPr="005F6EAB">
        <w:rPr>
          <w:rFonts w:asciiTheme="majorHAnsi" w:hAnsiTheme="majorHAnsi"/>
          <w:sz w:val="21"/>
          <w:szCs w:val="21"/>
        </w:rPr>
        <w:t>ë</w:t>
      </w:r>
      <w:r w:rsidR="003E303E" w:rsidRPr="005F6EAB">
        <w:rPr>
          <w:rFonts w:asciiTheme="majorHAnsi" w:hAnsiTheme="majorHAnsi"/>
          <w:sz w:val="21"/>
          <w:szCs w:val="21"/>
        </w:rPr>
        <w:t>sin</w:t>
      </w:r>
      <w:r w:rsidR="00C87181" w:rsidRPr="005F6EAB">
        <w:rPr>
          <w:rFonts w:asciiTheme="majorHAnsi" w:hAnsiTheme="majorHAnsi"/>
          <w:sz w:val="21"/>
          <w:szCs w:val="21"/>
        </w:rPr>
        <w:t>ë</w:t>
      </w:r>
      <w:r w:rsidR="003E303E" w:rsidRPr="005F6EAB">
        <w:rPr>
          <w:rFonts w:asciiTheme="majorHAnsi" w:hAnsiTheme="majorHAnsi"/>
          <w:sz w:val="21"/>
          <w:szCs w:val="21"/>
        </w:rPr>
        <w:t xml:space="preserve"> e v</w:t>
      </w:r>
      <w:r w:rsidR="00C87181" w:rsidRPr="005F6EAB">
        <w:rPr>
          <w:rFonts w:asciiTheme="majorHAnsi" w:hAnsiTheme="majorHAnsi"/>
          <w:sz w:val="21"/>
          <w:szCs w:val="21"/>
        </w:rPr>
        <w:t>ë</w:t>
      </w:r>
      <w:r w:rsidR="003E303E" w:rsidRPr="005F6EAB">
        <w:rPr>
          <w:rFonts w:asciiTheme="majorHAnsi" w:hAnsiTheme="majorHAnsi"/>
          <w:sz w:val="21"/>
          <w:szCs w:val="21"/>
        </w:rPr>
        <w:t>zhguesve n</w:t>
      </w:r>
      <w:r w:rsidR="00C87181" w:rsidRPr="005F6EAB">
        <w:rPr>
          <w:rFonts w:asciiTheme="majorHAnsi" w:hAnsiTheme="majorHAnsi"/>
          <w:sz w:val="21"/>
          <w:szCs w:val="21"/>
        </w:rPr>
        <w:t>ë</w:t>
      </w:r>
      <w:r w:rsidR="003E303E" w:rsidRPr="005F6EAB">
        <w:rPr>
          <w:rFonts w:asciiTheme="majorHAnsi" w:hAnsiTheme="majorHAnsi"/>
          <w:sz w:val="21"/>
          <w:szCs w:val="21"/>
        </w:rPr>
        <w:t xml:space="preserve"> Komisionin e </w:t>
      </w:r>
      <w:r w:rsidR="00353FC1" w:rsidRPr="005F6EAB">
        <w:rPr>
          <w:rFonts w:asciiTheme="majorHAnsi" w:hAnsiTheme="majorHAnsi"/>
          <w:sz w:val="21"/>
          <w:szCs w:val="21"/>
        </w:rPr>
        <w:t>GPK-së</w:t>
      </w:r>
      <w:r w:rsidR="00F24F2B">
        <w:rPr>
          <w:rFonts w:asciiTheme="majorHAnsi" w:hAnsiTheme="majorHAnsi"/>
          <w:sz w:val="21"/>
          <w:szCs w:val="21"/>
        </w:rPr>
        <w:t xml:space="preserve"> dhe mundësisht në Grupin Teknik</w:t>
      </w:r>
      <w:r w:rsidR="003E303E" w:rsidRPr="005F6EAB">
        <w:rPr>
          <w:rFonts w:asciiTheme="majorHAnsi" w:hAnsiTheme="majorHAnsi"/>
          <w:sz w:val="21"/>
          <w:szCs w:val="21"/>
        </w:rPr>
        <w:t>;</w:t>
      </w:r>
    </w:p>
    <w:p w14:paraId="238AAADA" w14:textId="77777777" w:rsidR="00DC0362" w:rsidRPr="005F6EAB" w:rsidRDefault="003E303E"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 xml:space="preserve">Verifikimin e </w:t>
      </w:r>
      <w:r w:rsidR="00BB19F8" w:rsidRPr="005F6EAB">
        <w:rPr>
          <w:rFonts w:asciiTheme="majorHAnsi" w:hAnsiTheme="majorHAnsi"/>
          <w:sz w:val="21"/>
          <w:szCs w:val="21"/>
        </w:rPr>
        <w:t>cil</w:t>
      </w:r>
      <w:r w:rsidR="004A693D" w:rsidRPr="005F6EAB">
        <w:rPr>
          <w:rFonts w:asciiTheme="majorHAnsi" w:hAnsiTheme="majorHAnsi"/>
          <w:sz w:val="21"/>
          <w:szCs w:val="21"/>
        </w:rPr>
        <w:t>ë</w:t>
      </w:r>
      <w:r w:rsidR="00BB19F8" w:rsidRPr="005F6EAB">
        <w:rPr>
          <w:rFonts w:asciiTheme="majorHAnsi" w:hAnsiTheme="majorHAnsi"/>
          <w:sz w:val="21"/>
          <w:szCs w:val="21"/>
        </w:rPr>
        <w:t>sis</w:t>
      </w:r>
      <w:r w:rsidR="004A693D" w:rsidRPr="005F6EAB">
        <w:rPr>
          <w:rFonts w:asciiTheme="majorHAnsi" w:hAnsiTheme="majorHAnsi"/>
          <w:sz w:val="21"/>
          <w:szCs w:val="21"/>
        </w:rPr>
        <w:t>ë</w:t>
      </w:r>
      <w:r w:rsidR="00BB19F8" w:rsidRPr="005F6EAB">
        <w:rPr>
          <w:rFonts w:asciiTheme="majorHAnsi" w:hAnsiTheme="majorHAnsi"/>
          <w:sz w:val="21"/>
          <w:szCs w:val="21"/>
        </w:rPr>
        <w:t xml:space="preserve"> s</w:t>
      </w:r>
      <w:r w:rsidR="004A693D" w:rsidRPr="005F6EAB">
        <w:rPr>
          <w:rFonts w:asciiTheme="majorHAnsi" w:hAnsiTheme="majorHAnsi"/>
          <w:sz w:val="21"/>
          <w:szCs w:val="21"/>
        </w:rPr>
        <w:t>ë</w:t>
      </w:r>
      <w:r w:rsidR="00BB19F8" w:rsidRPr="005F6EAB">
        <w:rPr>
          <w:rFonts w:asciiTheme="majorHAnsi" w:hAnsiTheme="majorHAnsi"/>
          <w:sz w:val="21"/>
          <w:szCs w:val="21"/>
        </w:rPr>
        <w:t xml:space="preserve"> alokimit t</w:t>
      </w:r>
      <w:r w:rsidR="004A693D" w:rsidRPr="005F6EAB">
        <w:rPr>
          <w:rFonts w:asciiTheme="majorHAnsi" w:hAnsiTheme="majorHAnsi"/>
          <w:sz w:val="21"/>
          <w:szCs w:val="21"/>
        </w:rPr>
        <w:t>ë</w:t>
      </w:r>
      <w:r w:rsidR="00BB19F8" w:rsidRPr="005F6EAB">
        <w:rPr>
          <w:rFonts w:asciiTheme="majorHAnsi" w:hAnsiTheme="majorHAnsi"/>
          <w:sz w:val="21"/>
          <w:szCs w:val="21"/>
        </w:rPr>
        <w:t xml:space="preserve"> grantit nga konsulent</w:t>
      </w:r>
      <w:r w:rsidR="004A693D" w:rsidRPr="005F6EAB">
        <w:rPr>
          <w:rFonts w:asciiTheme="majorHAnsi" w:hAnsiTheme="majorHAnsi"/>
          <w:sz w:val="21"/>
          <w:szCs w:val="21"/>
        </w:rPr>
        <w:t>ë</w:t>
      </w:r>
      <w:r w:rsidR="00BB19F8" w:rsidRPr="005F6EAB">
        <w:rPr>
          <w:rFonts w:asciiTheme="majorHAnsi" w:hAnsiTheme="majorHAnsi"/>
          <w:sz w:val="21"/>
          <w:szCs w:val="21"/>
        </w:rPr>
        <w:t xml:space="preserve"> t</w:t>
      </w:r>
      <w:r w:rsidR="004A693D" w:rsidRPr="005F6EAB">
        <w:rPr>
          <w:rFonts w:asciiTheme="majorHAnsi" w:hAnsiTheme="majorHAnsi"/>
          <w:sz w:val="21"/>
          <w:szCs w:val="21"/>
        </w:rPr>
        <w:t>ë</w:t>
      </w:r>
      <w:r w:rsidR="00BB19F8" w:rsidRPr="005F6EAB">
        <w:rPr>
          <w:rFonts w:asciiTheme="majorHAnsi" w:hAnsiTheme="majorHAnsi"/>
          <w:sz w:val="21"/>
          <w:szCs w:val="21"/>
        </w:rPr>
        <w:t xml:space="preserve"> jasht</w:t>
      </w:r>
      <w:r w:rsidR="004A693D" w:rsidRPr="005F6EAB">
        <w:rPr>
          <w:rFonts w:asciiTheme="majorHAnsi" w:hAnsiTheme="majorHAnsi"/>
          <w:sz w:val="21"/>
          <w:szCs w:val="21"/>
        </w:rPr>
        <w:t>ë</w:t>
      </w:r>
      <w:r w:rsidR="00BB19F8" w:rsidRPr="005F6EAB">
        <w:rPr>
          <w:rFonts w:asciiTheme="majorHAnsi" w:hAnsiTheme="majorHAnsi"/>
          <w:sz w:val="21"/>
          <w:szCs w:val="21"/>
        </w:rPr>
        <w:t>m</w:t>
      </w:r>
      <w:r w:rsidR="00653E5B" w:rsidRPr="005F6EAB">
        <w:rPr>
          <w:rFonts w:asciiTheme="majorHAnsi" w:hAnsiTheme="majorHAnsi"/>
          <w:sz w:val="21"/>
          <w:szCs w:val="21"/>
        </w:rPr>
        <w:t xml:space="preserve"> (opsionale)</w:t>
      </w:r>
      <w:r w:rsidR="00BB19F8" w:rsidRPr="005F6EAB">
        <w:rPr>
          <w:rFonts w:asciiTheme="majorHAnsi" w:hAnsiTheme="majorHAnsi"/>
          <w:sz w:val="21"/>
          <w:szCs w:val="21"/>
        </w:rPr>
        <w:t xml:space="preserve">. </w:t>
      </w:r>
    </w:p>
    <w:p w14:paraId="19C927DE" w14:textId="77777777" w:rsidR="00F31E22" w:rsidRPr="005F6EAB" w:rsidRDefault="00F31E22"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Mund</w:t>
      </w:r>
      <w:r w:rsidR="00C87181" w:rsidRPr="005F6EAB">
        <w:rPr>
          <w:rFonts w:asciiTheme="majorHAnsi" w:hAnsiTheme="majorHAnsi"/>
          <w:sz w:val="21"/>
          <w:szCs w:val="21"/>
        </w:rPr>
        <w:t>ë</w:t>
      </w:r>
      <w:r w:rsidRPr="005F6EAB">
        <w:rPr>
          <w:rFonts w:asciiTheme="majorHAnsi" w:hAnsiTheme="majorHAnsi"/>
          <w:sz w:val="21"/>
          <w:szCs w:val="21"/>
        </w:rPr>
        <w:t>sin</w:t>
      </w:r>
      <w:r w:rsidR="00C87181" w:rsidRPr="005F6EAB">
        <w:rPr>
          <w:rFonts w:asciiTheme="majorHAnsi" w:hAnsiTheme="majorHAnsi"/>
          <w:sz w:val="21"/>
          <w:szCs w:val="21"/>
        </w:rPr>
        <w:t>ë</w:t>
      </w:r>
      <w:r w:rsidRPr="005F6EAB">
        <w:rPr>
          <w:rFonts w:asciiTheme="majorHAnsi" w:hAnsiTheme="majorHAnsi"/>
          <w:sz w:val="21"/>
          <w:szCs w:val="21"/>
        </w:rPr>
        <w:t xml:space="preserve"> e shpalljes s</w:t>
      </w:r>
      <w:r w:rsidR="00C87181" w:rsidRPr="005F6EAB">
        <w:rPr>
          <w:rFonts w:asciiTheme="majorHAnsi" w:hAnsiTheme="majorHAnsi"/>
          <w:sz w:val="21"/>
          <w:szCs w:val="21"/>
        </w:rPr>
        <w:t>ë</w:t>
      </w:r>
      <w:r w:rsidRPr="005F6EAB">
        <w:rPr>
          <w:rFonts w:asciiTheme="majorHAnsi" w:hAnsiTheme="majorHAnsi"/>
          <w:sz w:val="21"/>
          <w:szCs w:val="21"/>
        </w:rPr>
        <w:t xml:space="preserve"> pavlefshme t</w:t>
      </w:r>
      <w:r w:rsidR="00C87181" w:rsidRPr="005F6EAB">
        <w:rPr>
          <w:rFonts w:asciiTheme="majorHAnsi" w:hAnsiTheme="majorHAnsi"/>
          <w:sz w:val="21"/>
          <w:szCs w:val="21"/>
        </w:rPr>
        <w:t>ë</w:t>
      </w:r>
      <w:r w:rsidRPr="005F6EAB">
        <w:rPr>
          <w:rFonts w:asciiTheme="majorHAnsi" w:hAnsiTheme="majorHAnsi"/>
          <w:sz w:val="21"/>
          <w:szCs w:val="21"/>
        </w:rPr>
        <w:t xml:space="preserve"> t</w:t>
      </w:r>
      <w:r w:rsidR="00C87181" w:rsidRPr="005F6EAB">
        <w:rPr>
          <w:rFonts w:asciiTheme="majorHAnsi" w:hAnsiTheme="majorHAnsi"/>
          <w:sz w:val="21"/>
          <w:szCs w:val="21"/>
        </w:rPr>
        <w:t>ë</w:t>
      </w:r>
      <w:r w:rsidRPr="005F6EAB">
        <w:rPr>
          <w:rFonts w:asciiTheme="majorHAnsi" w:hAnsiTheme="majorHAnsi"/>
          <w:sz w:val="21"/>
          <w:szCs w:val="21"/>
        </w:rPr>
        <w:t xml:space="preserve"> dh</w:t>
      </w:r>
      <w:r w:rsidR="00C87181" w:rsidRPr="005F6EAB">
        <w:rPr>
          <w:rFonts w:asciiTheme="majorHAnsi" w:hAnsiTheme="majorHAnsi"/>
          <w:sz w:val="21"/>
          <w:szCs w:val="21"/>
        </w:rPr>
        <w:t>ë</w:t>
      </w:r>
      <w:r w:rsidRPr="005F6EAB">
        <w:rPr>
          <w:rFonts w:asciiTheme="majorHAnsi" w:hAnsiTheme="majorHAnsi"/>
          <w:sz w:val="21"/>
          <w:szCs w:val="21"/>
        </w:rPr>
        <w:t>nave t</w:t>
      </w:r>
      <w:r w:rsidR="00C87181" w:rsidRPr="005F6EAB">
        <w:rPr>
          <w:rFonts w:asciiTheme="majorHAnsi" w:hAnsiTheme="majorHAnsi"/>
          <w:sz w:val="21"/>
          <w:szCs w:val="21"/>
        </w:rPr>
        <w:t>ë</w:t>
      </w:r>
      <w:r w:rsidRPr="005F6EAB">
        <w:rPr>
          <w:rFonts w:asciiTheme="majorHAnsi" w:hAnsiTheme="majorHAnsi"/>
          <w:sz w:val="21"/>
          <w:szCs w:val="21"/>
        </w:rPr>
        <w:t xml:space="preserve"> performanc</w:t>
      </w:r>
      <w:r w:rsidR="00C87181" w:rsidRPr="005F6EAB">
        <w:rPr>
          <w:rFonts w:asciiTheme="majorHAnsi" w:hAnsiTheme="majorHAnsi"/>
          <w:sz w:val="21"/>
          <w:szCs w:val="21"/>
        </w:rPr>
        <w:t>ë</w:t>
      </w:r>
      <w:r w:rsidRPr="005F6EAB">
        <w:rPr>
          <w:rFonts w:asciiTheme="majorHAnsi" w:hAnsiTheme="majorHAnsi"/>
          <w:sz w:val="21"/>
          <w:szCs w:val="21"/>
        </w:rPr>
        <w:t>s n</w:t>
      </w:r>
      <w:r w:rsidR="00C87181" w:rsidRPr="005F6EAB">
        <w:rPr>
          <w:rFonts w:asciiTheme="majorHAnsi" w:hAnsiTheme="majorHAnsi"/>
          <w:sz w:val="21"/>
          <w:szCs w:val="21"/>
        </w:rPr>
        <w:t>ë</w:t>
      </w:r>
      <w:r w:rsidRPr="005F6EAB">
        <w:rPr>
          <w:rFonts w:asciiTheme="majorHAnsi" w:hAnsiTheme="majorHAnsi"/>
          <w:sz w:val="21"/>
          <w:szCs w:val="21"/>
        </w:rPr>
        <w:t xml:space="preserve"> rastet e mosp</w:t>
      </w:r>
      <w:r w:rsidR="00C87181" w:rsidRPr="005F6EAB">
        <w:rPr>
          <w:rFonts w:asciiTheme="majorHAnsi" w:hAnsiTheme="majorHAnsi"/>
          <w:sz w:val="21"/>
          <w:szCs w:val="21"/>
        </w:rPr>
        <w:t>ë</w:t>
      </w:r>
      <w:r w:rsidRPr="005F6EAB">
        <w:rPr>
          <w:rFonts w:asciiTheme="majorHAnsi" w:hAnsiTheme="majorHAnsi"/>
          <w:sz w:val="21"/>
          <w:szCs w:val="21"/>
        </w:rPr>
        <w:t>rmbushjes s</w:t>
      </w:r>
      <w:r w:rsidR="00C87181" w:rsidRPr="005F6EAB">
        <w:rPr>
          <w:rFonts w:asciiTheme="majorHAnsi" w:hAnsiTheme="majorHAnsi"/>
          <w:sz w:val="21"/>
          <w:szCs w:val="21"/>
        </w:rPr>
        <w:t>ë</w:t>
      </w:r>
      <w:r w:rsidRPr="005F6EAB">
        <w:rPr>
          <w:rFonts w:asciiTheme="majorHAnsi" w:hAnsiTheme="majorHAnsi"/>
          <w:sz w:val="21"/>
          <w:szCs w:val="21"/>
        </w:rPr>
        <w:t xml:space="preserve"> kritereve t</w:t>
      </w:r>
      <w:r w:rsidR="00C87181" w:rsidRPr="005F6EAB">
        <w:rPr>
          <w:rFonts w:asciiTheme="majorHAnsi" w:hAnsiTheme="majorHAnsi"/>
          <w:sz w:val="21"/>
          <w:szCs w:val="21"/>
        </w:rPr>
        <w:t>ë</w:t>
      </w:r>
      <w:r w:rsidRPr="005F6EAB">
        <w:rPr>
          <w:rFonts w:asciiTheme="majorHAnsi" w:hAnsiTheme="majorHAnsi"/>
          <w:sz w:val="21"/>
          <w:szCs w:val="21"/>
        </w:rPr>
        <w:t xml:space="preserve"> cil</w:t>
      </w:r>
      <w:r w:rsidR="00C87181" w:rsidRPr="005F6EAB">
        <w:rPr>
          <w:rFonts w:asciiTheme="majorHAnsi" w:hAnsiTheme="majorHAnsi"/>
          <w:sz w:val="21"/>
          <w:szCs w:val="21"/>
        </w:rPr>
        <w:t>ë</w:t>
      </w:r>
      <w:r w:rsidRPr="005F6EAB">
        <w:rPr>
          <w:rFonts w:asciiTheme="majorHAnsi" w:hAnsiTheme="majorHAnsi"/>
          <w:sz w:val="21"/>
          <w:szCs w:val="21"/>
        </w:rPr>
        <w:t>sis</w:t>
      </w:r>
      <w:r w:rsidR="00C87181" w:rsidRPr="005F6EAB">
        <w:rPr>
          <w:rFonts w:asciiTheme="majorHAnsi" w:hAnsiTheme="majorHAnsi"/>
          <w:sz w:val="21"/>
          <w:szCs w:val="21"/>
        </w:rPr>
        <w:t>ë</w:t>
      </w:r>
      <w:r w:rsidR="00761AD6" w:rsidRPr="005F6EAB">
        <w:rPr>
          <w:rFonts w:asciiTheme="majorHAnsi" w:hAnsiTheme="majorHAnsi"/>
          <w:sz w:val="21"/>
          <w:szCs w:val="21"/>
        </w:rPr>
        <w:t xml:space="preserve"> (neni 21 i Rregullores p</w:t>
      </w:r>
      <w:r w:rsidR="00C87181" w:rsidRPr="005F6EAB">
        <w:rPr>
          <w:rFonts w:asciiTheme="majorHAnsi" w:hAnsiTheme="majorHAnsi"/>
          <w:sz w:val="21"/>
          <w:szCs w:val="21"/>
        </w:rPr>
        <w:t>ë</w:t>
      </w:r>
      <w:r w:rsidR="00761AD6" w:rsidRPr="005F6EAB">
        <w:rPr>
          <w:rFonts w:asciiTheme="majorHAnsi" w:hAnsiTheme="majorHAnsi"/>
          <w:sz w:val="21"/>
          <w:szCs w:val="21"/>
        </w:rPr>
        <w:t>r SMPK)</w:t>
      </w:r>
      <w:r w:rsidRPr="005F6EAB">
        <w:rPr>
          <w:rFonts w:asciiTheme="majorHAnsi" w:hAnsiTheme="majorHAnsi"/>
          <w:sz w:val="21"/>
          <w:szCs w:val="21"/>
        </w:rPr>
        <w:t xml:space="preserve"> </w:t>
      </w:r>
      <w:r w:rsidR="00353FC1" w:rsidRPr="005F6EAB">
        <w:rPr>
          <w:rFonts w:asciiTheme="majorHAnsi" w:hAnsiTheme="majorHAnsi"/>
          <w:sz w:val="21"/>
          <w:szCs w:val="21"/>
        </w:rPr>
        <w:t xml:space="preserve">konform </w:t>
      </w:r>
      <w:r w:rsidRPr="005F6EAB">
        <w:rPr>
          <w:rFonts w:asciiTheme="majorHAnsi" w:hAnsiTheme="majorHAnsi"/>
          <w:sz w:val="21"/>
          <w:szCs w:val="21"/>
        </w:rPr>
        <w:t>Metodologjis</w:t>
      </w:r>
      <w:r w:rsidR="00C87181" w:rsidRPr="005F6EAB">
        <w:rPr>
          <w:rFonts w:asciiTheme="majorHAnsi" w:hAnsiTheme="majorHAnsi"/>
          <w:sz w:val="21"/>
          <w:szCs w:val="21"/>
        </w:rPr>
        <w:t>ë</w:t>
      </w:r>
      <w:r w:rsidRPr="005F6EAB">
        <w:rPr>
          <w:rFonts w:asciiTheme="majorHAnsi" w:hAnsiTheme="majorHAnsi"/>
          <w:sz w:val="21"/>
          <w:szCs w:val="21"/>
        </w:rPr>
        <w:t xml:space="preserve"> p</w:t>
      </w:r>
      <w:r w:rsidR="00C87181" w:rsidRPr="005F6EAB">
        <w:rPr>
          <w:rFonts w:asciiTheme="majorHAnsi" w:hAnsiTheme="majorHAnsi"/>
          <w:sz w:val="21"/>
          <w:szCs w:val="21"/>
        </w:rPr>
        <w:t>ë</w:t>
      </w:r>
      <w:r w:rsidRPr="005F6EAB">
        <w:rPr>
          <w:rFonts w:asciiTheme="majorHAnsi" w:hAnsiTheme="majorHAnsi"/>
          <w:sz w:val="21"/>
          <w:szCs w:val="21"/>
        </w:rPr>
        <w:t>rkat</w:t>
      </w:r>
      <w:r w:rsidR="00C87181" w:rsidRPr="005F6EAB">
        <w:rPr>
          <w:rFonts w:asciiTheme="majorHAnsi" w:hAnsiTheme="majorHAnsi"/>
          <w:sz w:val="21"/>
          <w:szCs w:val="21"/>
        </w:rPr>
        <w:t>ë</w:t>
      </w:r>
      <w:r w:rsidRPr="005F6EAB">
        <w:rPr>
          <w:rFonts w:asciiTheme="majorHAnsi" w:hAnsiTheme="majorHAnsi"/>
          <w:sz w:val="21"/>
          <w:szCs w:val="21"/>
        </w:rPr>
        <w:t>se;</w:t>
      </w:r>
    </w:p>
    <w:p w14:paraId="550B2BBD" w14:textId="77777777" w:rsidR="00DC0362" w:rsidRDefault="00DC0362" w:rsidP="0052538C">
      <w:pPr>
        <w:spacing w:after="160" w:line="259" w:lineRule="auto"/>
        <w:contextualSpacing/>
        <w:jc w:val="both"/>
        <w:rPr>
          <w:rFonts w:asciiTheme="majorHAnsi" w:hAnsiTheme="majorHAnsi"/>
          <w:sz w:val="21"/>
          <w:szCs w:val="21"/>
        </w:rPr>
      </w:pPr>
    </w:p>
    <w:p w14:paraId="2899E56D" w14:textId="77777777" w:rsidR="00F430C2" w:rsidRPr="004D2E1C" w:rsidRDefault="00F430C2" w:rsidP="00F430C2">
      <w:pPr>
        <w:spacing w:before="60" w:line="264" w:lineRule="auto"/>
        <w:ind w:left="709" w:firstLine="11"/>
        <w:jc w:val="both"/>
        <w:rPr>
          <w:rFonts w:ascii="Arial" w:hAnsi="Arial"/>
          <w:sz w:val="6"/>
          <w:szCs w:val="21"/>
        </w:rPr>
        <w:sectPr w:rsidR="00F430C2" w:rsidRPr="004D2E1C" w:rsidSect="00C576E1">
          <w:footerReference w:type="default" r:id="rId14"/>
          <w:type w:val="continuous"/>
          <w:pgSz w:w="11909" w:h="16834" w:code="9"/>
          <w:pgMar w:top="1440" w:right="1483" w:bottom="1440" w:left="1440" w:header="1298" w:footer="773" w:gutter="0"/>
          <w:pgNumType w:start="3"/>
          <w:cols w:space="720"/>
          <w:docGrid w:linePitch="360"/>
        </w:sectPr>
      </w:pPr>
    </w:p>
    <w:p w14:paraId="3303526D" w14:textId="77777777" w:rsidR="003812B0" w:rsidRPr="004D2E1C" w:rsidRDefault="00CD79F5" w:rsidP="00B61FBF">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72" w:name="_Toc61062541"/>
      <w:bookmarkStart w:id="73" w:name="_Toc161855240"/>
      <w:bookmarkStart w:id="74" w:name="_Toc165912540"/>
      <w:bookmarkStart w:id="75" w:name="_Toc170004036"/>
      <w:bookmarkStart w:id="76" w:name="_Toc100390159"/>
      <w:r w:rsidRPr="004D2E1C">
        <w:rPr>
          <w:rFonts w:asciiTheme="majorHAnsi" w:hAnsiTheme="majorHAnsi"/>
          <w:color w:val="FFFFFF" w:themeColor="background1"/>
          <w:sz w:val="32"/>
          <w:szCs w:val="32"/>
          <w:lang w:val="sq-AL"/>
        </w:rPr>
        <w:lastRenderedPageBreak/>
        <w:t>Shtojcat</w:t>
      </w:r>
      <w:bookmarkEnd w:id="72"/>
    </w:p>
    <w:p w14:paraId="217DF28C" w14:textId="77777777" w:rsidR="001C524B" w:rsidRPr="004D2E1C" w:rsidRDefault="001C524B">
      <w:pPr>
        <w:rPr>
          <w:b/>
          <w:sz w:val="28"/>
        </w:rPr>
      </w:pPr>
    </w:p>
    <w:p w14:paraId="77CE9B41" w14:textId="77777777" w:rsidR="0028202A" w:rsidRPr="004D2E1C" w:rsidRDefault="0028202A" w:rsidP="00FC0017">
      <w:pPr>
        <w:pStyle w:val="Heading1"/>
        <w:rPr>
          <w:lang w:val="sq-AL"/>
        </w:rPr>
        <w:sectPr w:rsidR="0028202A" w:rsidRPr="004D2E1C" w:rsidSect="00C576E1">
          <w:pgSz w:w="11900" w:h="16840"/>
          <w:pgMar w:top="1440" w:right="1483" w:bottom="1440" w:left="1440" w:header="708" w:footer="708" w:gutter="0"/>
          <w:cols w:space="708"/>
          <w:docGrid w:linePitch="360"/>
        </w:sectPr>
      </w:pPr>
    </w:p>
    <w:p w14:paraId="4C2707DF" w14:textId="4C313612" w:rsidR="004824FF" w:rsidRPr="004D2E1C" w:rsidRDefault="004824FF" w:rsidP="004824FF">
      <w:pPr>
        <w:pStyle w:val="Heading1"/>
        <w:shd w:val="clear" w:color="auto" w:fill="D55635"/>
        <w:tabs>
          <w:tab w:val="left" w:pos="540"/>
        </w:tabs>
        <w:rPr>
          <w:rFonts w:asciiTheme="majorHAnsi" w:hAnsiTheme="majorHAnsi"/>
          <w:color w:val="FFFFFF" w:themeColor="background1"/>
          <w:sz w:val="32"/>
          <w:szCs w:val="32"/>
          <w:lang w:val="sq-AL"/>
        </w:rPr>
      </w:pPr>
      <w:bookmarkStart w:id="77" w:name="_Toc31029014"/>
      <w:bookmarkStart w:id="78" w:name="_Toc31194812"/>
      <w:bookmarkStart w:id="79" w:name="_Toc61062542"/>
      <w:r w:rsidRPr="004D2E1C">
        <w:rPr>
          <w:rFonts w:asciiTheme="majorHAnsi" w:hAnsiTheme="majorHAnsi"/>
          <w:color w:val="FFFFFF" w:themeColor="background1"/>
          <w:sz w:val="32"/>
          <w:szCs w:val="32"/>
          <w:lang w:val="sq-AL"/>
        </w:rPr>
        <w:lastRenderedPageBreak/>
        <w:t>Shtojca 1: Udhëzues</w:t>
      </w:r>
      <w:r w:rsidR="00D105FA">
        <w:rPr>
          <w:rFonts w:asciiTheme="majorHAnsi" w:hAnsiTheme="majorHAnsi"/>
          <w:color w:val="FFFFFF" w:themeColor="background1"/>
          <w:sz w:val="32"/>
          <w:szCs w:val="32"/>
          <w:lang w:val="sq-AL"/>
        </w:rPr>
        <w:t>i</w:t>
      </w:r>
      <w:r w:rsidRPr="004D2E1C">
        <w:rPr>
          <w:rFonts w:asciiTheme="majorHAnsi" w:hAnsiTheme="majorHAnsi"/>
          <w:color w:val="FFFFFF" w:themeColor="background1"/>
          <w:sz w:val="32"/>
          <w:szCs w:val="32"/>
          <w:lang w:val="sq-AL"/>
        </w:rPr>
        <w:t xml:space="preserve"> </w:t>
      </w:r>
      <w:r w:rsidR="00D105FA">
        <w:rPr>
          <w:rFonts w:asciiTheme="majorHAnsi" w:hAnsiTheme="majorHAnsi"/>
          <w:color w:val="FFFFFF" w:themeColor="background1"/>
          <w:sz w:val="32"/>
          <w:szCs w:val="32"/>
          <w:lang w:val="sq-AL"/>
        </w:rPr>
        <w:t>p</w:t>
      </w:r>
      <w:r w:rsidR="00D105FA" w:rsidRPr="004D2E1C">
        <w:rPr>
          <w:rFonts w:asciiTheme="majorHAnsi" w:hAnsiTheme="majorHAnsi"/>
          <w:color w:val="FFFFFF" w:themeColor="background1"/>
          <w:sz w:val="32"/>
          <w:szCs w:val="32"/>
          <w:lang w:val="sq-AL"/>
        </w:rPr>
        <w:t>ë</w:t>
      </w:r>
      <w:r w:rsidR="00D105FA">
        <w:rPr>
          <w:rFonts w:asciiTheme="majorHAnsi" w:hAnsiTheme="majorHAnsi"/>
          <w:color w:val="FFFFFF" w:themeColor="background1"/>
          <w:sz w:val="32"/>
          <w:szCs w:val="32"/>
          <w:lang w:val="sq-AL"/>
        </w:rPr>
        <w:t>r vler</w:t>
      </w:r>
      <w:r w:rsidR="00D105FA" w:rsidRPr="004D2E1C">
        <w:rPr>
          <w:rFonts w:asciiTheme="majorHAnsi" w:hAnsiTheme="majorHAnsi"/>
          <w:color w:val="FFFFFF" w:themeColor="background1"/>
          <w:sz w:val="32"/>
          <w:szCs w:val="32"/>
          <w:lang w:val="sq-AL"/>
        </w:rPr>
        <w:t>ë</w:t>
      </w:r>
      <w:r w:rsidR="00D105FA">
        <w:rPr>
          <w:rFonts w:asciiTheme="majorHAnsi" w:hAnsiTheme="majorHAnsi"/>
          <w:color w:val="FFFFFF" w:themeColor="background1"/>
          <w:sz w:val="32"/>
          <w:szCs w:val="32"/>
          <w:lang w:val="sq-AL"/>
        </w:rPr>
        <w:t xml:space="preserve">sim </w:t>
      </w:r>
      <w:r w:rsidRPr="004D2E1C">
        <w:rPr>
          <w:rFonts w:asciiTheme="majorHAnsi" w:hAnsiTheme="majorHAnsi"/>
          <w:color w:val="FFFFFF" w:themeColor="background1"/>
          <w:sz w:val="32"/>
          <w:szCs w:val="32"/>
          <w:lang w:val="sq-AL"/>
        </w:rPr>
        <w:t xml:space="preserve">– </w:t>
      </w:r>
      <w:r w:rsidR="009934EE">
        <w:rPr>
          <w:rFonts w:asciiTheme="majorHAnsi" w:hAnsiTheme="majorHAnsi"/>
          <w:color w:val="FFFFFF" w:themeColor="background1"/>
          <w:sz w:val="32"/>
          <w:szCs w:val="32"/>
          <w:lang w:val="sq-AL"/>
        </w:rPr>
        <w:t>K</w:t>
      </w:r>
      <w:r w:rsidRPr="004D2E1C">
        <w:rPr>
          <w:rFonts w:asciiTheme="majorHAnsi" w:hAnsiTheme="majorHAnsi"/>
          <w:color w:val="FFFFFF" w:themeColor="background1"/>
          <w:sz w:val="32"/>
          <w:szCs w:val="32"/>
          <w:lang w:val="sq-AL"/>
        </w:rPr>
        <w:t>ushtet minimale</w:t>
      </w:r>
      <w:bookmarkEnd w:id="77"/>
      <w:bookmarkEnd w:id="78"/>
      <w:bookmarkEnd w:id="79"/>
      <w:r w:rsidRPr="004D2E1C">
        <w:rPr>
          <w:rFonts w:asciiTheme="majorHAnsi" w:hAnsiTheme="majorHAnsi"/>
          <w:color w:val="FFFFFF" w:themeColor="background1"/>
          <w:sz w:val="32"/>
          <w:szCs w:val="32"/>
          <w:lang w:val="sq-AL"/>
        </w:rPr>
        <w:t xml:space="preserve"> </w:t>
      </w:r>
    </w:p>
    <w:p w14:paraId="1065C836" w14:textId="77777777" w:rsidR="004824FF" w:rsidRPr="004D2E1C" w:rsidRDefault="004824FF" w:rsidP="004824FF">
      <w:pPr>
        <w:rPr>
          <w:sz w:val="4"/>
          <w:szCs w:val="4"/>
        </w:rPr>
      </w:pPr>
    </w:p>
    <w:tbl>
      <w:tblPr>
        <w:tblStyle w:val="TableGrid"/>
        <w:tblW w:w="14034" w:type="dxa"/>
        <w:tblInd w:w="108" w:type="dxa"/>
        <w:tblLook w:val="04A0" w:firstRow="1" w:lastRow="0" w:firstColumn="1" w:lastColumn="0" w:noHBand="0" w:noVBand="1"/>
      </w:tblPr>
      <w:tblGrid>
        <w:gridCol w:w="417"/>
        <w:gridCol w:w="2215"/>
        <w:gridCol w:w="2075"/>
        <w:gridCol w:w="4216"/>
        <w:gridCol w:w="1590"/>
        <w:gridCol w:w="3521"/>
      </w:tblGrid>
      <w:tr w:rsidR="001D11BE" w:rsidRPr="004D2E1C" w14:paraId="1C852D5A" w14:textId="77777777" w:rsidTr="004A4100">
        <w:tc>
          <w:tcPr>
            <w:tcW w:w="417" w:type="dxa"/>
            <w:tcBorders>
              <w:bottom w:val="single" w:sz="4" w:space="0" w:color="auto"/>
            </w:tcBorders>
            <w:shd w:val="clear" w:color="auto" w:fill="D9D9D9" w:themeFill="background1" w:themeFillShade="D9"/>
            <w:vAlign w:val="center"/>
          </w:tcPr>
          <w:p w14:paraId="2BBE7D0F" w14:textId="77777777" w:rsidR="004824FF" w:rsidRPr="00380D79" w:rsidRDefault="004824FF" w:rsidP="004824FF">
            <w:pPr>
              <w:rPr>
                <w:rFonts w:asciiTheme="majorHAnsi" w:hAnsiTheme="majorHAnsi"/>
                <w:sz w:val="18"/>
                <w:szCs w:val="18"/>
              </w:rPr>
            </w:pPr>
            <w:r w:rsidRPr="00380D79">
              <w:rPr>
                <w:rFonts w:asciiTheme="majorHAnsi" w:hAnsiTheme="majorHAnsi"/>
                <w:b/>
                <w:bCs/>
                <w:color w:val="000000"/>
                <w:sz w:val="18"/>
                <w:szCs w:val="18"/>
              </w:rPr>
              <w:t>#</w:t>
            </w:r>
          </w:p>
        </w:tc>
        <w:tc>
          <w:tcPr>
            <w:tcW w:w="2215" w:type="dxa"/>
            <w:tcBorders>
              <w:bottom w:val="single" w:sz="4" w:space="0" w:color="auto"/>
            </w:tcBorders>
            <w:shd w:val="clear" w:color="auto" w:fill="D9D9D9" w:themeFill="background1" w:themeFillShade="D9"/>
            <w:vAlign w:val="center"/>
          </w:tcPr>
          <w:p w14:paraId="45D08031"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Kusht</w:t>
            </w:r>
            <w:r w:rsidR="009F63F3" w:rsidRPr="00380D79">
              <w:rPr>
                <w:rFonts w:asciiTheme="majorHAnsi" w:hAnsiTheme="majorHAnsi"/>
                <w:b/>
                <w:bCs/>
                <w:color w:val="000000"/>
                <w:sz w:val="18"/>
                <w:szCs w:val="18"/>
              </w:rPr>
              <w:t>i</w:t>
            </w:r>
            <w:r w:rsidRPr="00380D79">
              <w:rPr>
                <w:rFonts w:asciiTheme="majorHAnsi" w:hAnsiTheme="majorHAnsi"/>
                <w:b/>
                <w:bCs/>
                <w:color w:val="000000"/>
                <w:sz w:val="18"/>
                <w:szCs w:val="18"/>
              </w:rPr>
              <w:t xml:space="preserve">  minimal</w:t>
            </w:r>
          </w:p>
        </w:tc>
        <w:tc>
          <w:tcPr>
            <w:tcW w:w="2075" w:type="dxa"/>
            <w:tcBorders>
              <w:bottom w:val="single" w:sz="4" w:space="0" w:color="auto"/>
            </w:tcBorders>
            <w:shd w:val="clear" w:color="auto" w:fill="D9D9D9" w:themeFill="background1" w:themeFillShade="D9"/>
            <w:vAlign w:val="center"/>
          </w:tcPr>
          <w:p w14:paraId="6AD2A62C"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Përkufizimi i kusht</w:t>
            </w:r>
            <w:r w:rsidR="00443289" w:rsidRPr="00380D79">
              <w:rPr>
                <w:rFonts w:asciiTheme="majorHAnsi" w:hAnsiTheme="majorHAnsi"/>
                <w:b/>
                <w:bCs/>
                <w:color w:val="000000"/>
                <w:sz w:val="18"/>
                <w:szCs w:val="18"/>
              </w:rPr>
              <w:t>it</w:t>
            </w:r>
            <w:r w:rsidRPr="00380D79">
              <w:rPr>
                <w:rFonts w:asciiTheme="majorHAnsi" w:hAnsiTheme="majorHAnsi"/>
                <w:b/>
                <w:bCs/>
                <w:color w:val="000000"/>
                <w:sz w:val="18"/>
                <w:szCs w:val="18"/>
              </w:rPr>
              <w:t xml:space="preserve"> minimal</w:t>
            </w:r>
          </w:p>
        </w:tc>
        <w:tc>
          <w:tcPr>
            <w:tcW w:w="4216" w:type="dxa"/>
            <w:tcBorders>
              <w:bottom w:val="single" w:sz="4" w:space="0" w:color="auto"/>
            </w:tcBorders>
            <w:shd w:val="clear" w:color="auto" w:fill="D9D9D9" w:themeFill="background1" w:themeFillShade="D9"/>
            <w:vAlign w:val="center"/>
          </w:tcPr>
          <w:p w14:paraId="2E3DE60A"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Baza ligjore</w:t>
            </w:r>
          </w:p>
        </w:tc>
        <w:tc>
          <w:tcPr>
            <w:tcW w:w="1590" w:type="dxa"/>
            <w:tcBorders>
              <w:bottom w:val="single" w:sz="4" w:space="0" w:color="auto"/>
            </w:tcBorders>
            <w:shd w:val="clear" w:color="auto" w:fill="D9D9D9" w:themeFill="background1" w:themeFillShade="D9"/>
            <w:vAlign w:val="center"/>
          </w:tcPr>
          <w:p w14:paraId="17AED172"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Burimi i të dhënave</w:t>
            </w:r>
          </w:p>
        </w:tc>
        <w:tc>
          <w:tcPr>
            <w:tcW w:w="3521" w:type="dxa"/>
            <w:tcBorders>
              <w:bottom w:val="single" w:sz="4" w:space="0" w:color="auto"/>
            </w:tcBorders>
            <w:shd w:val="clear" w:color="auto" w:fill="D9D9D9" w:themeFill="background1" w:themeFillShade="D9"/>
            <w:vAlign w:val="center"/>
          </w:tcPr>
          <w:p w14:paraId="28A5C4A7" w14:textId="77777777" w:rsidR="004824FF" w:rsidRPr="00380D79" w:rsidRDefault="004824FF" w:rsidP="00224FCC">
            <w:pPr>
              <w:jc w:val="center"/>
              <w:rPr>
                <w:rFonts w:asciiTheme="majorHAnsi" w:hAnsiTheme="majorHAnsi"/>
                <w:b/>
                <w:bCs/>
                <w:color w:val="000000"/>
                <w:sz w:val="18"/>
                <w:szCs w:val="18"/>
              </w:rPr>
            </w:pPr>
            <w:r w:rsidRPr="00380D79">
              <w:rPr>
                <w:rFonts w:asciiTheme="majorHAnsi" w:hAnsiTheme="majorHAnsi"/>
                <w:b/>
                <w:bCs/>
                <w:color w:val="000000"/>
                <w:sz w:val="18"/>
                <w:szCs w:val="18"/>
              </w:rPr>
              <w:t>Kriteri</w:t>
            </w:r>
          </w:p>
          <w:p w14:paraId="7A760405" w14:textId="77777777" w:rsidR="004824FF" w:rsidRPr="00380D79" w:rsidRDefault="004824FF" w:rsidP="00CD160A">
            <w:pPr>
              <w:jc w:val="center"/>
              <w:rPr>
                <w:rFonts w:asciiTheme="majorHAnsi" w:hAnsiTheme="majorHAnsi"/>
                <w:sz w:val="18"/>
                <w:szCs w:val="18"/>
              </w:rPr>
            </w:pPr>
            <w:r w:rsidRPr="00380D79">
              <w:rPr>
                <w:rFonts w:asciiTheme="majorHAnsi" w:hAnsiTheme="majorHAnsi"/>
                <w:b/>
                <w:bCs/>
                <w:color w:val="000000"/>
                <w:sz w:val="18"/>
                <w:szCs w:val="18"/>
              </w:rPr>
              <w:t>Kom</w:t>
            </w:r>
            <w:r w:rsidR="00C7591F" w:rsidRPr="00380D79">
              <w:rPr>
                <w:rFonts w:asciiTheme="majorHAnsi" w:hAnsiTheme="majorHAnsi"/>
                <w:b/>
                <w:bCs/>
                <w:color w:val="000000"/>
                <w:sz w:val="18"/>
                <w:szCs w:val="18"/>
              </w:rPr>
              <w:t>una</w:t>
            </w:r>
            <w:r w:rsidRPr="00380D79">
              <w:rPr>
                <w:rFonts w:asciiTheme="majorHAnsi" w:hAnsiTheme="majorHAnsi"/>
                <w:b/>
                <w:bCs/>
                <w:color w:val="000000"/>
                <w:sz w:val="18"/>
                <w:szCs w:val="18"/>
              </w:rPr>
              <w:t xml:space="preserve"> i ka përmbushur / nuk i ka përmbushur</w:t>
            </w:r>
          </w:p>
        </w:tc>
      </w:tr>
      <w:tr w:rsidR="001D11BE" w:rsidRPr="004D2E1C" w14:paraId="48554859" w14:textId="77777777" w:rsidTr="004A4100">
        <w:tc>
          <w:tcPr>
            <w:tcW w:w="417" w:type="dxa"/>
            <w:tcBorders>
              <w:bottom w:val="single" w:sz="4" w:space="0" w:color="auto"/>
            </w:tcBorders>
            <w:shd w:val="clear" w:color="auto" w:fill="C2D69B" w:themeFill="accent3" w:themeFillTint="99"/>
            <w:vAlign w:val="center"/>
          </w:tcPr>
          <w:p w14:paraId="3C29A126" w14:textId="77777777" w:rsidR="002B4FB2" w:rsidRPr="00380D79" w:rsidRDefault="002B4FB2" w:rsidP="002B4FB2">
            <w:pPr>
              <w:rPr>
                <w:rFonts w:asciiTheme="majorHAnsi" w:hAnsiTheme="majorHAnsi"/>
                <w:b/>
                <w:bCs/>
                <w:color w:val="000000"/>
                <w:sz w:val="18"/>
                <w:szCs w:val="18"/>
              </w:rPr>
            </w:pPr>
            <w:r w:rsidRPr="00380D79">
              <w:rPr>
                <w:rFonts w:asciiTheme="majorHAnsi" w:hAnsiTheme="majorHAnsi" w:cs="Calibri"/>
                <w:color w:val="000000"/>
                <w:sz w:val="18"/>
                <w:szCs w:val="18"/>
              </w:rPr>
              <w:t>1</w:t>
            </w:r>
          </w:p>
        </w:tc>
        <w:tc>
          <w:tcPr>
            <w:tcW w:w="2215" w:type="dxa"/>
            <w:tcBorders>
              <w:bottom w:val="single" w:sz="4" w:space="0" w:color="auto"/>
            </w:tcBorders>
            <w:shd w:val="clear" w:color="auto" w:fill="C2D69B" w:themeFill="accent3" w:themeFillTint="99"/>
            <w:vAlign w:val="center"/>
          </w:tcPr>
          <w:p w14:paraId="24180546" w14:textId="77777777" w:rsidR="003C6F3D" w:rsidRPr="00380D79" w:rsidRDefault="00A3740C" w:rsidP="00D812D8">
            <w:pPr>
              <w:rPr>
                <w:rFonts w:asciiTheme="majorHAnsi" w:hAnsiTheme="majorHAnsi"/>
                <w:sz w:val="18"/>
                <w:szCs w:val="18"/>
              </w:rPr>
            </w:pPr>
            <w:r w:rsidRPr="00380D79">
              <w:rPr>
                <w:rFonts w:asciiTheme="majorHAnsi" w:hAnsiTheme="majorHAnsi"/>
                <w:sz w:val="18"/>
                <w:szCs w:val="18"/>
              </w:rPr>
              <w:t>Komunat duhet të kenë raportuar të dhënat në SMPK sipas afatit</w:t>
            </w:r>
            <w:r w:rsidRPr="00380D79">
              <w:rPr>
                <w:rFonts w:asciiTheme="majorHAnsi" w:hAnsiTheme="majorHAnsi"/>
                <w:b/>
                <w:sz w:val="18"/>
                <w:szCs w:val="18"/>
              </w:rPr>
              <w:t xml:space="preserve"> </w:t>
            </w:r>
            <w:r w:rsidRPr="00380D79">
              <w:rPr>
                <w:rFonts w:asciiTheme="majorHAnsi" w:hAnsiTheme="majorHAnsi"/>
                <w:sz w:val="18"/>
                <w:szCs w:val="18"/>
              </w:rPr>
              <w:t>të përcaktuar</w:t>
            </w:r>
            <w:r w:rsidR="003C6F3D" w:rsidRPr="00380D79">
              <w:rPr>
                <w:rFonts w:asciiTheme="majorHAnsi" w:hAnsiTheme="majorHAnsi"/>
                <w:sz w:val="18"/>
                <w:szCs w:val="18"/>
              </w:rPr>
              <w:t>;</w:t>
            </w:r>
          </w:p>
          <w:p w14:paraId="488F196F" w14:textId="77777777" w:rsidR="002B4FB2" w:rsidRPr="00380D79" w:rsidRDefault="002B4FB2" w:rsidP="005B155F">
            <w:pPr>
              <w:rPr>
                <w:rFonts w:asciiTheme="majorHAnsi" w:hAnsiTheme="majorHAnsi"/>
                <w:b/>
                <w:bCs/>
                <w:color w:val="000000"/>
                <w:sz w:val="18"/>
                <w:szCs w:val="18"/>
              </w:rPr>
            </w:pPr>
          </w:p>
        </w:tc>
        <w:tc>
          <w:tcPr>
            <w:tcW w:w="2075" w:type="dxa"/>
            <w:tcBorders>
              <w:bottom w:val="single" w:sz="4" w:space="0" w:color="auto"/>
            </w:tcBorders>
            <w:shd w:val="clear" w:color="auto" w:fill="C2D69B" w:themeFill="accent3" w:themeFillTint="99"/>
            <w:vAlign w:val="center"/>
          </w:tcPr>
          <w:p w14:paraId="34CF8A59" w14:textId="77777777" w:rsidR="00937E8B" w:rsidRPr="00380D79" w:rsidRDefault="00937E8B" w:rsidP="00B25DF6">
            <w:pPr>
              <w:rPr>
                <w:rFonts w:asciiTheme="majorHAnsi" w:hAnsiTheme="majorHAnsi"/>
                <w:b/>
                <w:bCs/>
                <w:color w:val="000000"/>
                <w:sz w:val="18"/>
                <w:szCs w:val="18"/>
              </w:rPr>
            </w:pPr>
            <w:r w:rsidRPr="00380D79">
              <w:rPr>
                <w:rFonts w:asciiTheme="majorHAnsi" w:hAnsiTheme="majorHAnsi" w:cs="Calibri"/>
                <w:color w:val="000000"/>
                <w:sz w:val="18"/>
                <w:szCs w:val="18"/>
              </w:rPr>
              <w:t>Komunat duhet të kenë rapor</w:t>
            </w:r>
            <w:r w:rsidR="004C414D" w:rsidRPr="00380D79">
              <w:rPr>
                <w:rFonts w:asciiTheme="majorHAnsi" w:hAnsiTheme="majorHAnsi" w:cs="Calibri"/>
                <w:color w:val="000000"/>
                <w:sz w:val="18"/>
                <w:szCs w:val="18"/>
              </w:rPr>
              <w:t>tuar per performancën e tyre në</w:t>
            </w:r>
            <w:r w:rsidRPr="00380D79">
              <w:rPr>
                <w:rFonts w:asciiTheme="majorHAnsi" w:hAnsiTheme="majorHAnsi" w:cs="Calibri"/>
                <w:color w:val="000000"/>
                <w:sz w:val="18"/>
                <w:szCs w:val="18"/>
              </w:rPr>
              <w:t xml:space="preserve"> SMPK sipas afatit t</w:t>
            </w:r>
            <w:r w:rsidR="001B4DC8">
              <w:rPr>
                <w:rFonts w:asciiTheme="majorHAnsi" w:hAnsiTheme="majorHAnsi" w:cs="Calibri"/>
                <w:color w:val="000000"/>
                <w:sz w:val="18"/>
                <w:szCs w:val="18"/>
              </w:rPr>
              <w:t>ë</w:t>
            </w:r>
            <w:r w:rsidRPr="00380D79">
              <w:rPr>
                <w:rFonts w:asciiTheme="majorHAnsi" w:hAnsiTheme="majorHAnsi" w:cs="Calibri"/>
                <w:color w:val="000000"/>
                <w:sz w:val="18"/>
                <w:szCs w:val="18"/>
              </w:rPr>
              <w:t xml:space="preserve"> p</w:t>
            </w:r>
            <w:r w:rsidR="00C421FD" w:rsidRPr="00380D79">
              <w:rPr>
                <w:rFonts w:asciiTheme="majorHAnsi" w:hAnsiTheme="majorHAnsi" w:cs="Calibri"/>
                <w:color w:val="000000"/>
                <w:sz w:val="18"/>
                <w:szCs w:val="18"/>
              </w:rPr>
              <w:t>ë</w:t>
            </w:r>
            <w:r w:rsidRPr="00380D79">
              <w:rPr>
                <w:rFonts w:asciiTheme="majorHAnsi" w:hAnsiTheme="majorHAnsi" w:cs="Calibri"/>
                <w:color w:val="000000"/>
                <w:sz w:val="18"/>
                <w:szCs w:val="18"/>
              </w:rPr>
              <w:t>rcaktuar</w:t>
            </w:r>
            <w:r w:rsidR="003C6F3D" w:rsidRPr="00380D79">
              <w:rPr>
                <w:rFonts w:asciiTheme="majorHAnsi" w:hAnsiTheme="majorHAnsi" w:cs="Calibri"/>
                <w:color w:val="000000"/>
                <w:sz w:val="18"/>
                <w:szCs w:val="18"/>
              </w:rPr>
              <w:t xml:space="preserve"> në Rregulloren p</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r performanc</w:t>
            </w:r>
            <w:r w:rsidR="00C87181" w:rsidRPr="00380D79">
              <w:rPr>
                <w:rFonts w:asciiTheme="majorHAnsi" w:hAnsiTheme="majorHAnsi" w:cs="Calibri"/>
                <w:color w:val="000000"/>
                <w:sz w:val="18"/>
                <w:szCs w:val="18"/>
              </w:rPr>
              <w:t>ë</w:t>
            </w:r>
            <w:r w:rsidR="00A3740C" w:rsidRPr="00380D79">
              <w:rPr>
                <w:rFonts w:asciiTheme="majorHAnsi" w:hAnsiTheme="majorHAnsi" w:cs="Calibri"/>
                <w:color w:val="000000"/>
                <w:sz w:val="18"/>
                <w:szCs w:val="18"/>
              </w:rPr>
              <w:t xml:space="preserve"> </w:t>
            </w:r>
          </w:p>
        </w:tc>
        <w:tc>
          <w:tcPr>
            <w:tcW w:w="4216" w:type="dxa"/>
            <w:tcBorders>
              <w:bottom w:val="single" w:sz="4" w:space="0" w:color="auto"/>
            </w:tcBorders>
            <w:shd w:val="clear" w:color="auto" w:fill="C2D69B" w:themeFill="accent3" w:themeFillTint="99"/>
            <w:vAlign w:val="center"/>
          </w:tcPr>
          <w:p w14:paraId="18FB35B3" w14:textId="1EF038CC" w:rsidR="002B4FB2" w:rsidRPr="00380D79" w:rsidRDefault="002B4FB2" w:rsidP="003C6F3D">
            <w:pPr>
              <w:rPr>
                <w:rFonts w:asciiTheme="majorHAnsi" w:hAnsiTheme="majorHAnsi"/>
                <w:b/>
                <w:bCs/>
                <w:color w:val="000000"/>
                <w:sz w:val="18"/>
                <w:szCs w:val="18"/>
              </w:rPr>
            </w:pPr>
            <w:r w:rsidRPr="00380D79">
              <w:rPr>
                <w:rFonts w:asciiTheme="majorHAnsi" w:hAnsiTheme="majorHAnsi" w:cs="Calibri"/>
                <w:color w:val="000000"/>
                <w:sz w:val="18"/>
                <w:szCs w:val="18"/>
              </w:rPr>
              <w:t>Rregullorja no.</w:t>
            </w:r>
            <w:r w:rsidR="003C6F3D" w:rsidRPr="00380D79">
              <w:rPr>
                <w:rFonts w:asciiTheme="majorHAnsi" w:hAnsiTheme="majorHAnsi" w:cs="Calibri"/>
                <w:color w:val="000000"/>
                <w:sz w:val="18"/>
                <w:szCs w:val="18"/>
              </w:rPr>
              <w:t>01</w:t>
            </w:r>
            <w:r w:rsidRPr="00380D79">
              <w:rPr>
                <w:rFonts w:asciiTheme="majorHAnsi" w:hAnsiTheme="majorHAnsi" w:cs="Calibri"/>
                <w:color w:val="000000"/>
                <w:sz w:val="18"/>
                <w:szCs w:val="18"/>
              </w:rPr>
              <w:t>/</w:t>
            </w:r>
            <w:r w:rsidR="003C6F3D" w:rsidRPr="00380D79">
              <w:rPr>
                <w:rFonts w:asciiTheme="majorHAnsi" w:hAnsiTheme="majorHAnsi" w:cs="Calibri"/>
                <w:color w:val="000000"/>
                <w:sz w:val="18"/>
                <w:szCs w:val="18"/>
              </w:rPr>
              <w:t>202</w:t>
            </w:r>
            <w:r w:rsidR="009B044C">
              <w:rPr>
                <w:rFonts w:asciiTheme="majorHAnsi" w:hAnsiTheme="majorHAnsi" w:cs="Calibri"/>
                <w:color w:val="000000"/>
                <w:sz w:val="18"/>
                <w:szCs w:val="18"/>
              </w:rPr>
              <w:t>0</w:t>
            </w:r>
            <w:r w:rsidR="003C6F3D" w:rsidRPr="00380D79">
              <w:rPr>
                <w:rFonts w:asciiTheme="majorHAnsi" w:hAnsiTheme="majorHAnsi" w:cs="Calibri"/>
                <w:color w:val="000000"/>
                <w:sz w:val="18"/>
                <w:szCs w:val="18"/>
              </w:rPr>
              <w:t xml:space="preserve"> </w:t>
            </w:r>
            <w:r w:rsidRPr="00380D79">
              <w:rPr>
                <w:rFonts w:asciiTheme="majorHAnsi" w:hAnsiTheme="majorHAnsi" w:cs="Calibri"/>
                <w:color w:val="000000"/>
                <w:sz w:val="18"/>
                <w:szCs w:val="18"/>
              </w:rPr>
              <w:t xml:space="preserve">për </w:t>
            </w:r>
            <w:r w:rsidR="001B4DC8">
              <w:rPr>
                <w:rFonts w:asciiTheme="majorHAnsi" w:hAnsiTheme="majorHAnsi" w:cs="Calibri"/>
                <w:color w:val="000000"/>
                <w:sz w:val="18"/>
                <w:szCs w:val="18"/>
              </w:rPr>
              <w:t>S</w:t>
            </w:r>
            <w:r w:rsidRPr="00380D79">
              <w:rPr>
                <w:rFonts w:asciiTheme="majorHAnsi" w:hAnsiTheme="majorHAnsi" w:cs="Calibri"/>
                <w:color w:val="000000"/>
                <w:sz w:val="18"/>
                <w:szCs w:val="18"/>
              </w:rPr>
              <w:t xml:space="preserve">istemin e </w:t>
            </w:r>
            <w:r w:rsidR="001B4DC8">
              <w:rPr>
                <w:rFonts w:asciiTheme="majorHAnsi" w:hAnsiTheme="majorHAnsi" w:cs="Calibri"/>
                <w:color w:val="000000"/>
                <w:sz w:val="18"/>
                <w:szCs w:val="18"/>
              </w:rPr>
              <w:t>M</w:t>
            </w:r>
            <w:r w:rsidRPr="00380D79">
              <w:rPr>
                <w:rFonts w:asciiTheme="majorHAnsi" w:hAnsiTheme="majorHAnsi" w:cs="Calibri"/>
                <w:color w:val="000000"/>
                <w:sz w:val="18"/>
                <w:szCs w:val="18"/>
              </w:rPr>
              <w:t xml:space="preserve">enaxhimit të </w:t>
            </w:r>
            <w:r w:rsidR="001B4DC8">
              <w:rPr>
                <w:rFonts w:asciiTheme="majorHAnsi" w:hAnsiTheme="majorHAnsi" w:cs="Calibri"/>
                <w:color w:val="000000"/>
                <w:sz w:val="18"/>
                <w:szCs w:val="18"/>
              </w:rPr>
              <w:t>P</w:t>
            </w:r>
            <w:r w:rsidRPr="00380D79">
              <w:rPr>
                <w:rFonts w:asciiTheme="majorHAnsi" w:hAnsiTheme="majorHAnsi" w:cs="Calibri"/>
                <w:color w:val="000000"/>
                <w:sz w:val="18"/>
                <w:szCs w:val="18"/>
              </w:rPr>
              <w:t xml:space="preserve">erfomancës </w:t>
            </w:r>
            <w:r w:rsidR="001B4DC8">
              <w:rPr>
                <w:rFonts w:asciiTheme="majorHAnsi" w:hAnsiTheme="majorHAnsi" w:cs="Calibri"/>
                <w:color w:val="000000"/>
                <w:sz w:val="18"/>
                <w:szCs w:val="18"/>
              </w:rPr>
              <w:t>K</w:t>
            </w:r>
            <w:r w:rsidRPr="00380D79">
              <w:rPr>
                <w:rFonts w:asciiTheme="majorHAnsi" w:hAnsiTheme="majorHAnsi" w:cs="Calibri"/>
                <w:color w:val="000000"/>
                <w:sz w:val="18"/>
                <w:szCs w:val="18"/>
              </w:rPr>
              <w:t>omunale</w:t>
            </w:r>
            <w:r w:rsidR="003C6F3D" w:rsidRPr="00380D79">
              <w:rPr>
                <w:rFonts w:asciiTheme="majorHAnsi" w:hAnsiTheme="majorHAnsi" w:cs="Calibri"/>
                <w:color w:val="000000"/>
                <w:sz w:val="18"/>
                <w:szCs w:val="18"/>
              </w:rPr>
              <w:t xml:space="preserve"> dhe Skem</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n e Grantit t</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 xml:space="preserve"> Bazuar n</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 xml:space="preserve"> Performanc</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 neni 13</w:t>
            </w:r>
          </w:p>
        </w:tc>
        <w:tc>
          <w:tcPr>
            <w:tcW w:w="1590" w:type="dxa"/>
            <w:tcBorders>
              <w:bottom w:val="single" w:sz="4" w:space="0" w:color="auto"/>
            </w:tcBorders>
            <w:shd w:val="clear" w:color="auto" w:fill="C2D69B" w:themeFill="accent3" w:themeFillTint="99"/>
            <w:vAlign w:val="center"/>
          </w:tcPr>
          <w:p w14:paraId="7847E4CC" w14:textId="00BFB185" w:rsidR="002B4FB2" w:rsidRPr="00380D79" w:rsidRDefault="65AA8D44" w:rsidP="07D96137">
            <w:pPr>
              <w:rPr>
                <w:rFonts w:asciiTheme="majorHAnsi" w:hAnsiTheme="majorHAnsi"/>
                <w:b/>
                <w:bCs/>
                <w:color w:val="000000"/>
                <w:sz w:val="18"/>
                <w:szCs w:val="18"/>
              </w:rPr>
            </w:pPr>
            <w:r w:rsidRPr="07D96137">
              <w:rPr>
                <w:rFonts w:asciiTheme="majorHAnsi" w:hAnsiTheme="majorHAnsi" w:cs="Calibri"/>
                <w:color w:val="000000" w:themeColor="text1"/>
                <w:sz w:val="18"/>
                <w:szCs w:val="18"/>
              </w:rPr>
              <w:t>Raporti i SMPK</w:t>
            </w:r>
            <w:r w:rsidR="003C6F3D" w:rsidRPr="07D96137">
              <w:rPr>
                <w:rFonts w:asciiTheme="majorHAnsi" w:hAnsiTheme="majorHAnsi" w:cs="Calibri"/>
                <w:color w:val="000000" w:themeColor="text1"/>
                <w:sz w:val="18"/>
                <w:szCs w:val="18"/>
              </w:rPr>
              <w:t>-s</w:t>
            </w:r>
            <w:r w:rsidR="00C87181" w:rsidRPr="07D96137">
              <w:rPr>
                <w:rFonts w:asciiTheme="majorHAnsi" w:hAnsiTheme="majorHAnsi" w:cs="Calibri"/>
                <w:color w:val="000000" w:themeColor="text1"/>
                <w:sz w:val="18"/>
                <w:szCs w:val="18"/>
              </w:rPr>
              <w:t>ë</w:t>
            </w:r>
            <w:r w:rsidR="003C6F3D" w:rsidRPr="07D96137">
              <w:rPr>
                <w:rFonts w:asciiTheme="majorHAnsi" w:hAnsiTheme="majorHAnsi" w:cs="Calibri"/>
                <w:color w:val="000000" w:themeColor="text1"/>
                <w:sz w:val="18"/>
                <w:szCs w:val="18"/>
              </w:rPr>
              <w:t xml:space="preserve"> 20</w:t>
            </w:r>
            <w:r w:rsidR="00BB2987">
              <w:rPr>
                <w:rFonts w:asciiTheme="majorHAnsi" w:hAnsiTheme="majorHAnsi" w:cs="Calibri"/>
                <w:color w:val="000000" w:themeColor="text1"/>
                <w:sz w:val="18"/>
                <w:szCs w:val="18"/>
              </w:rPr>
              <w:t>2</w:t>
            </w:r>
            <w:r w:rsidR="009B044C">
              <w:rPr>
                <w:rFonts w:asciiTheme="majorHAnsi" w:hAnsiTheme="majorHAnsi" w:cs="Calibri"/>
                <w:color w:val="000000" w:themeColor="text1"/>
                <w:sz w:val="18"/>
                <w:szCs w:val="18"/>
              </w:rPr>
              <w:t>1</w:t>
            </w:r>
            <w:r w:rsidRPr="07D96137">
              <w:rPr>
                <w:rFonts w:asciiTheme="majorHAnsi" w:hAnsiTheme="majorHAnsi" w:cs="Calibri"/>
                <w:color w:val="000000" w:themeColor="text1"/>
                <w:sz w:val="18"/>
                <w:szCs w:val="18"/>
              </w:rPr>
              <w:t xml:space="preserve">, </w:t>
            </w:r>
            <w:r w:rsidR="6F5FCC2A" w:rsidRPr="07D96137">
              <w:rPr>
                <w:rFonts w:asciiTheme="majorHAnsi" w:hAnsiTheme="majorHAnsi" w:cs="Calibri"/>
                <w:color w:val="000000" w:themeColor="text1"/>
                <w:sz w:val="18"/>
                <w:szCs w:val="18"/>
              </w:rPr>
              <w:t>MAPL</w:t>
            </w:r>
          </w:p>
        </w:tc>
        <w:tc>
          <w:tcPr>
            <w:tcW w:w="3521" w:type="dxa"/>
            <w:tcBorders>
              <w:bottom w:val="single" w:sz="4" w:space="0" w:color="auto"/>
            </w:tcBorders>
            <w:shd w:val="clear" w:color="auto" w:fill="C2D69B" w:themeFill="accent3" w:themeFillTint="99"/>
            <w:vAlign w:val="center"/>
          </w:tcPr>
          <w:p w14:paraId="79215EF7" w14:textId="77777777" w:rsidR="002B4FB2" w:rsidRPr="00380D79" w:rsidRDefault="002B4FB2" w:rsidP="002B4FB2">
            <w:pPr>
              <w:spacing w:before="60"/>
              <w:rPr>
                <w:rFonts w:asciiTheme="majorHAnsi" w:hAnsiTheme="majorHAnsi" w:cs="Calibri"/>
                <w:color w:val="000000"/>
                <w:sz w:val="18"/>
                <w:szCs w:val="18"/>
              </w:rPr>
            </w:pPr>
            <w:r w:rsidRPr="00792B62">
              <w:rPr>
                <w:rFonts w:asciiTheme="majorHAnsi" w:hAnsiTheme="majorHAnsi" w:cs="Calibri"/>
                <w:b/>
                <w:color w:val="000000"/>
                <w:sz w:val="18"/>
                <w:szCs w:val="18"/>
              </w:rPr>
              <w:t>Po</w:t>
            </w:r>
            <w:r w:rsidRPr="00380D79">
              <w:rPr>
                <w:rFonts w:asciiTheme="majorHAnsi" w:hAnsiTheme="majorHAnsi" w:cs="Calibri"/>
                <w:color w:val="000000"/>
                <w:sz w:val="18"/>
                <w:szCs w:val="18"/>
              </w:rPr>
              <w:t xml:space="preserve">, nëse komuna ka raportuar </w:t>
            </w:r>
            <w:r w:rsidR="00F46958" w:rsidRPr="00380D79">
              <w:rPr>
                <w:rFonts w:asciiTheme="majorHAnsi" w:hAnsiTheme="majorHAnsi" w:cs="Calibri"/>
                <w:color w:val="000000"/>
                <w:sz w:val="18"/>
                <w:szCs w:val="18"/>
              </w:rPr>
              <w:t>me kohë në</w:t>
            </w:r>
            <w:r w:rsidRPr="00380D79">
              <w:rPr>
                <w:rFonts w:asciiTheme="majorHAnsi" w:hAnsiTheme="majorHAnsi" w:cs="Calibri"/>
                <w:color w:val="000000"/>
                <w:sz w:val="18"/>
                <w:szCs w:val="18"/>
              </w:rPr>
              <w:t xml:space="preserve"> SMPK</w:t>
            </w:r>
          </w:p>
          <w:p w14:paraId="1045297D" w14:textId="77777777" w:rsidR="002B4FB2" w:rsidRPr="00380D79" w:rsidRDefault="002B4FB2" w:rsidP="00F46958">
            <w:pPr>
              <w:rPr>
                <w:rFonts w:asciiTheme="majorHAnsi" w:hAnsiTheme="majorHAnsi"/>
                <w:b/>
                <w:bCs/>
                <w:color w:val="000000"/>
                <w:sz w:val="18"/>
                <w:szCs w:val="18"/>
              </w:rPr>
            </w:pPr>
            <w:r w:rsidRPr="00792B62">
              <w:rPr>
                <w:rFonts w:asciiTheme="majorHAnsi" w:hAnsiTheme="majorHAnsi" w:cs="Calibri"/>
                <w:b/>
                <w:color w:val="000000"/>
                <w:sz w:val="18"/>
                <w:szCs w:val="18"/>
              </w:rPr>
              <w:t>Jo</w:t>
            </w:r>
            <w:r w:rsidRPr="00380D79">
              <w:rPr>
                <w:rFonts w:asciiTheme="majorHAnsi" w:hAnsiTheme="majorHAnsi" w:cs="Calibri"/>
                <w:color w:val="000000"/>
                <w:sz w:val="18"/>
                <w:szCs w:val="18"/>
              </w:rPr>
              <w:t xml:space="preserve">, Nëse komuna nuk ka raportuar </w:t>
            </w:r>
            <w:r w:rsidR="00F46958" w:rsidRPr="00380D79">
              <w:rPr>
                <w:rFonts w:asciiTheme="majorHAnsi" w:hAnsiTheme="majorHAnsi" w:cs="Calibri"/>
                <w:color w:val="000000"/>
                <w:sz w:val="18"/>
                <w:szCs w:val="18"/>
              </w:rPr>
              <w:t>me kohë</w:t>
            </w:r>
            <w:r w:rsidRPr="00380D79">
              <w:rPr>
                <w:rFonts w:asciiTheme="majorHAnsi" w:hAnsiTheme="majorHAnsi" w:cs="Calibri"/>
                <w:color w:val="000000"/>
                <w:sz w:val="18"/>
                <w:szCs w:val="18"/>
              </w:rPr>
              <w:t xml:space="preserve"> SMPK.</w:t>
            </w:r>
          </w:p>
        </w:tc>
      </w:tr>
      <w:tr w:rsidR="001D11BE" w:rsidRPr="004D2E1C" w14:paraId="62F0D1B4" w14:textId="77777777" w:rsidTr="003B5AB6">
        <w:tc>
          <w:tcPr>
            <w:tcW w:w="417" w:type="dxa"/>
            <w:tcBorders>
              <w:bottom w:val="single" w:sz="4" w:space="0" w:color="auto"/>
            </w:tcBorders>
            <w:shd w:val="clear" w:color="auto" w:fill="C2D69B" w:themeFill="accent3" w:themeFillTint="99"/>
            <w:vAlign w:val="center"/>
          </w:tcPr>
          <w:p w14:paraId="0AC5510E" w14:textId="77777777" w:rsidR="002B4FB2" w:rsidRPr="00380D79" w:rsidRDefault="002B4FB2" w:rsidP="002B4FB2">
            <w:pPr>
              <w:rPr>
                <w:rFonts w:asciiTheme="majorHAnsi" w:hAnsiTheme="majorHAnsi"/>
                <w:b/>
                <w:bCs/>
                <w:color w:val="000000"/>
                <w:sz w:val="18"/>
                <w:szCs w:val="18"/>
              </w:rPr>
            </w:pPr>
            <w:r w:rsidRPr="00380D79">
              <w:rPr>
                <w:rFonts w:asciiTheme="majorHAnsi" w:hAnsiTheme="majorHAnsi" w:cs="Calibri"/>
                <w:color w:val="000000"/>
                <w:sz w:val="18"/>
                <w:szCs w:val="18"/>
              </w:rPr>
              <w:t>2</w:t>
            </w:r>
          </w:p>
        </w:tc>
        <w:tc>
          <w:tcPr>
            <w:tcW w:w="2215" w:type="dxa"/>
            <w:tcBorders>
              <w:bottom w:val="single" w:sz="4" w:space="0" w:color="auto"/>
            </w:tcBorders>
            <w:shd w:val="clear" w:color="auto" w:fill="C2D69B" w:themeFill="accent3" w:themeFillTint="99"/>
            <w:vAlign w:val="center"/>
          </w:tcPr>
          <w:p w14:paraId="4EC34DF1" w14:textId="77777777" w:rsidR="002B4FB2" w:rsidRPr="00380D79" w:rsidRDefault="00A3740C" w:rsidP="009A454B">
            <w:pPr>
              <w:rPr>
                <w:rFonts w:asciiTheme="majorHAnsi" w:hAnsiTheme="majorHAnsi"/>
                <w:b/>
                <w:bCs/>
                <w:color w:val="000000"/>
                <w:sz w:val="18"/>
                <w:szCs w:val="18"/>
              </w:rPr>
            </w:pPr>
            <w:r w:rsidRPr="00380D79">
              <w:rPr>
                <w:rFonts w:asciiTheme="majorHAnsi" w:hAnsiTheme="majorHAnsi"/>
                <w:sz w:val="18"/>
                <w:szCs w:val="18"/>
              </w:rPr>
              <w:t>Komunat duhet të kenë respektuar obligimin ligjor për t’i rishqyrtuar aktet komunale të vlerësuara si të kundërligjshme nga autoriteti mbikëqyrës</w:t>
            </w:r>
            <w:r w:rsidRPr="00380D79" w:rsidDel="00A3740C">
              <w:rPr>
                <w:rFonts w:asciiTheme="majorHAnsi" w:hAnsiTheme="majorHAnsi"/>
                <w:sz w:val="18"/>
                <w:szCs w:val="18"/>
              </w:rPr>
              <w:t xml:space="preserve"> </w:t>
            </w:r>
          </w:p>
        </w:tc>
        <w:tc>
          <w:tcPr>
            <w:tcW w:w="2075" w:type="dxa"/>
            <w:tcBorders>
              <w:bottom w:val="single" w:sz="4" w:space="0" w:color="auto"/>
            </w:tcBorders>
            <w:shd w:val="clear" w:color="auto" w:fill="C2D69B" w:themeFill="accent3" w:themeFillTint="99"/>
            <w:vAlign w:val="center"/>
          </w:tcPr>
          <w:p w14:paraId="3591F7CF" w14:textId="7A3007D0" w:rsidR="0037157F" w:rsidRPr="00380D79" w:rsidRDefault="3DDE5DF4" w:rsidP="07D96137">
            <w:pPr>
              <w:rPr>
                <w:rFonts w:asciiTheme="majorHAnsi" w:hAnsiTheme="majorHAnsi" w:cs="Calibri"/>
                <w:color w:val="000000"/>
                <w:sz w:val="18"/>
                <w:szCs w:val="18"/>
              </w:rPr>
            </w:pPr>
            <w:r w:rsidRPr="07D96137">
              <w:rPr>
                <w:rFonts w:asciiTheme="majorHAnsi" w:hAnsiTheme="majorHAnsi" w:cs="Calibri"/>
                <w:color w:val="000000" w:themeColor="text1"/>
                <w:sz w:val="18"/>
                <w:szCs w:val="18"/>
              </w:rPr>
              <w:t xml:space="preserve">Komunat duhet t’i kenë rishqyrtuar të gjitha aktet komunale të vlerësuara si të kundërligjshme </w:t>
            </w:r>
            <w:r w:rsidR="10EDE7E5" w:rsidRPr="07D96137">
              <w:rPr>
                <w:rFonts w:asciiTheme="majorHAnsi" w:hAnsiTheme="majorHAnsi" w:cs="Calibri"/>
                <w:color w:val="000000" w:themeColor="text1"/>
                <w:sz w:val="18"/>
                <w:szCs w:val="18"/>
              </w:rPr>
              <w:t>n</w:t>
            </w:r>
            <w:r w:rsidR="00C87181" w:rsidRPr="07D96137">
              <w:rPr>
                <w:rFonts w:asciiTheme="majorHAnsi" w:hAnsiTheme="majorHAnsi" w:cs="Calibri"/>
                <w:color w:val="000000" w:themeColor="text1"/>
                <w:sz w:val="18"/>
                <w:szCs w:val="18"/>
              </w:rPr>
              <w:t>ë</w:t>
            </w:r>
            <w:r w:rsidR="10EDE7E5" w:rsidRPr="07D96137">
              <w:rPr>
                <w:rFonts w:asciiTheme="majorHAnsi" w:hAnsiTheme="majorHAnsi" w:cs="Calibri"/>
                <w:color w:val="000000" w:themeColor="text1"/>
                <w:sz w:val="18"/>
                <w:szCs w:val="18"/>
              </w:rPr>
              <w:t xml:space="preserve"> vitin 20</w:t>
            </w:r>
            <w:r w:rsidR="00BB2987">
              <w:rPr>
                <w:rFonts w:asciiTheme="majorHAnsi" w:hAnsiTheme="majorHAnsi" w:cs="Calibri"/>
                <w:color w:val="000000" w:themeColor="text1"/>
                <w:sz w:val="18"/>
                <w:szCs w:val="18"/>
              </w:rPr>
              <w:t>20</w:t>
            </w:r>
            <w:r w:rsidR="10EDE7E5" w:rsidRPr="07D96137">
              <w:rPr>
                <w:rFonts w:asciiTheme="majorHAnsi" w:hAnsiTheme="majorHAnsi" w:cs="Calibri"/>
                <w:color w:val="000000" w:themeColor="text1"/>
                <w:sz w:val="18"/>
                <w:szCs w:val="18"/>
              </w:rPr>
              <w:t xml:space="preserve"> </w:t>
            </w:r>
            <w:r w:rsidRPr="07D96137">
              <w:rPr>
                <w:rFonts w:asciiTheme="majorHAnsi" w:hAnsiTheme="majorHAnsi" w:cs="Calibri"/>
                <w:color w:val="000000" w:themeColor="text1"/>
                <w:sz w:val="18"/>
                <w:szCs w:val="18"/>
              </w:rPr>
              <w:t xml:space="preserve">nga </w:t>
            </w:r>
            <w:r w:rsidR="796A5E82" w:rsidRPr="07D96137">
              <w:rPr>
                <w:rFonts w:asciiTheme="majorHAnsi" w:hAnsiTheme="majorHAnsi" w:cs="Calibri"/>
                <w:color w:val="000000" w:themeColor="text1"/>
                <w:sz w:val="18"/>
                <w:szCs w:val="18"/>
              </w:rPr>
              <w:t xml:space="preserve">autoriteti </w:t>
            </w:r>
            <w:r w:rsidR="0037157F" w:rsidRPr="07D96137">
              <w:rPr>
                <w:rFonts w:asciiTheme="majorHAnsi" w:hAnsiTheme="majorHAnsi" w:cs="Calibri"/>
                <w:color w:val="000000" w:themeColor="text1"/>
                <w:sz w:val="18"/>
                <w:szCs w:val="18"/>
              </w:rPr>
              <w:t xml:space="preserve">mbikëqyrës. </w:t>
            </w:r>
            <w:r w:rsidR="00A3740C" w:rsidRPr="07D96137">
              <w:rPr>
                <w:rFonts w:asciiTheme="majorHAnsi" w:hAnsiTheme="majorHAnsi" w:cs="Calibri"/>
                <w:color w:val="000000" w:themeColor="text1"/>
                <w:sz w:val="18"/>
                <w:szCs w:val="18"/>
              </w:rPr>
              <w:t>Rishqyrtimi</w:t>
            </w:r>
            <w:r w:rsidR="0037157F" w:rsidRPr="07D96137">
              <w:rPr>
                <w:rFonts w:asciiTheme="majorHAnsi" w:hAnsiTheme="majorHAnsi" w:cs="Calibri"/>
                <w:color w:val="000000" w:themeColor="text1"/>
                <w:sz w:val="18"/>
                <w:szCs w:val="18"/>
              </w:rPr>
              <w:t xml:space="preserve">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 q</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llime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Grantit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Performanc</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s Komunale </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sht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kriter procedural, q</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nkupton obligimin e komun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w:t>
            </w:r>
            <w:r w:rsidR="751175A9" w:rsidRPr="07D96137">
              <w:rPr>
                <w:rFonts w:asciiTheme="majorHAnsi" w:hAnsiTheme="majorHAnsi" w:cs="Calibri"/>
                <w:color w:val="000000" w:themeColor="text1"/>
                <w:sz w:val="18"/>
                <w:szCs w:val="18"/>
              </w:rPr>
              <w:t>ri</w:t>
            </w:r>
            <w:r w:rsidR="0037157F" w:rsidRPr="07D96137">
              <w:rPr>
                <w:rFonts w:asciiTheme="majorHAnsi" w:hAnsiTheme="majorHAnsi" w:cs="Calibri"/>
                <w:color w:val="000000" w:themeColor="text1"/>
                <w:sz w:val="18"/>
                <w:szCs w:val="18"/>
              </w:rPr>
              <w:t>shqyrtuar 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Kuvendin e Komun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 aktin e vler</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suar si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kund</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rligjsh</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m nga autoriteti mbik</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qyr</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 pa presupozuar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rmbajtjen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rfundimtare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aktit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rishqyrtuar.</w:t>
            </w:r>
            <w:r w:rsidR="499DCEC0" w:rsidRPr="07D96137">
              <w:rPr>
                <w:rFonts w:asciiTheme="majorHAnsi" w:hAnsiTheme="majorHAnsi" w:cs="Calibri"/>
                <w:color w:val="000000" w:themeColor="text1"/>
                <w:sz w:val="18"/>
                <w:szCs w:val="18"/>
              </w:rPr>
              <w:t xml:space="preserve"> </w:t>
            </w:r>
          </w:p>
          <w:p w14:paraId="3BDC9133" w14:textId="77777777" w:rsidR="002B4FB2" w:rsidRPr="00380D79" w:rsidRDefault="002B4FB2" w:rsidP="0037157F">
            <w:pPr>
              <w:rPr>
                <w:rFonts w:asciiTheme="majorHAnsi" w:hAnsiTheme="majorHAnsi"/>
                <w:b/>
                <w:bCs/>
                <w:color w:val="000000"/>
                <w:sz w:val="18"/>
                <w:szCs w:val="18"/>
              </w:rPr>
            </w:pPr>
          </w:p>
        </w:tc>
        <w:tc>
          <w:tcPr>
            <w:tcW w:w="4216" w:type="dxa"/>
            <w:tcBorders>
              <w:bottom w:val="single" w:sz="4" w:space="0" w:color="auto"/>
            </w:tcBorders>
            <w:shd w:val="clear" w:color="auto" w:fill="C2D69B" w:themeFill="accent3" w:themeFillTint="99"/>
            <w:vAlign w:val="center"/>
          </w:tcPr>
          <w:p w14:paraId="17BB1291" w14:textId="010ABF1E" w:rsidR="002B4FB2" w:rsidRPr="00380D79" w:rsidRDefault="00ED18AA" w:rsidP="005B155F">
            <w:pPr>
              <w:rPr>
                <w:rFonts w:asciiTheme="majorHAnsi" w:hAnsiTheme="majorHAnsi"/>
                <w:b/>
                <w:bCs/>
                <w:color w:val="000000"/>
                <w:sz w:val="18"/>
                <w:szCs w:val="18"/>
              </w:rPr>
            </w:pPr>
            <w:r w:rsidRPr="00380D79">
              <w:rPr>
                <w:rFonts w:asciiTheme="majorHAnsi" w:hAnsiTheme="majorHAnsi" w:cs="Calibri"/>
                <w:color w:val="000000"/>
                <w:sz w:val="18"/>
                <w:szCs w:val="18"/>
              </w:rPr>
              <w:t>Ligji nr.03/L-040 p</w:t>
            </w:r>
            <w:r w:rsidR="000041DD">
              <w:rPr>
                <w:rFonts w:asciiTheme="majorHAnsi" w:hAnsiTheme="majorHAnsi" w:cs="Calibri"/>
                <w:color w:val="000000"/>
                <w:sz w:val="18"/>
                <w:szCs w:val="18"/>
              </w:rPr>
              <w:t>ë</w:t>
            </w:r>
            <w:r w:rsidRPr="00380D79">
              <w:rPr>
                <w:rFonts w:asciiTheme="majorHAnsi" w:hAnsiTheme="majorHAnsi" w:cs="Calibri"/>
                <w:color w:val="000000"/>
                <w:sz w:val="18"/>
                <w:szCs w:val="18"/>
              </w:rPr>
              <w:t>r Vet</w:t>
            </w:r>
            <w:r w:rsidR="00C87181" w:rsidRPr="00380D79">
              <w:rPr>
                <w:rFonts w:asciiTheme="majorHAnsi" w:hAnsiTheme="majorHAnsi" w:cs="Calibri"/>
                <w:color w:val="000000"/>
                <w:sz w:val="18"/>
                <w:szCs w:val="18"/>
              </w:rPr>
              <w:t>ë</w:t>
            </w:r>
            <w:r w:rsidRPr="00380D79">
              <w:rPr>
                <w:rFonts w:asciiTheme="majorHAnsi" w:hAnsiTheme="majorHAnsi" w:cs="Calibri"/>
                <w:color w:val="000000"/>
                <w:sz w:val="18"/>
                <w:szCs w:val="18"/>
              </w:rPr>
              <w:t>qeverisje Lokale</w:t>
            </w:r>
          </w:p>
        </w:tc>
        <w:tc>
          <w:tcPr>
            <w:tcW w:w="1590" w:type="dxa"/>
            <w:tcBorders>
              <w:bottom w:val="single" w:sz="4" w:space="0" w:color="auto"/>
            </w:tcBorders>
            <w:shd w:val="clear" w:color="auto" w:fill="C2D69B" w:themeFill="accent3" w:themeFillTint="99"/>
            <w:vAlign w:val="center"/>
          </w:tcPr>
          <w:p w14:paraId="7EC411A0" w14:textId="77777777" w:rsidR="002B4FB2" w:rsidRPr="00AC2A11" w:rsidRDefault="002B4FB2" w:rsidP="001D245D">
            <w:pPr>
              <w:rPr>
                <w:rFonts w:asciiTheme="majorHAnsi" w:hAnsiTheme="majorHAnsi" w:cs="Calibri"/>
                <w:color w:val="000000" w:themeColor="text1"/>
                <w:sz w:val="18"/>
                <w:szCs w:val="18"/>
              </w:rPr>
            </w:pPr>
          </w:p>
          <w:p w14:paraId="42E515DF" w14:textId="77777777" w:rsidR="001D11BE" w:rsidRPr="00AC2A11" w:rsidRDefault="001D11BE" w:rsidP="001D245D">
            <w:pPr>
              <w:rPr>
                <w:rFonts w:asciiTheme="majorHAnsi" w:hAnsiTheme="majorHAnsi" w:cs="Calibri"/>
                <w:color w:val="000000" w:themeColor="text1"/>
                <w:sz w:val="18"/>
                <w:szCs w:val="18"/>
              </w:rPr>
            </w:pPr>
          </w:p>
          <w:p w14:paraId="6984D178" w14:textId="0EB7E427" w:rsidR="001D11BE" w:rsidRPr="00AC2A11" w:rsidRDefault="00AC2A11">
            <w:pPr>
              <w:rPr>
                <w:rFonts w:asciiTheme="majorHAnsi" w:hAnsiTheme="majorHAnsi" w:cs="Calibri"/>
                <w:color w:val="000000" w:themeColor="text1"/>
                <w:sz w:val="18"/>
                <w:szCs w:val="18"/>
              </w:rPr>
            </w:pPr>
            <w:r w:rsidRPr="00AC2A11">
              <w:rPr>
                <w:rFonts w:asciiTheme="majorHAnsi" w:hAnsiTheme="majorHAnsi" w:cs="Calibri"/>
                <w:color w:val="000000" w:themeColor="text1"/>
                <w:sz w:val="18"/>
                <w:szCs w:val="18"/>
              </w:rPr>
              <w:t>Raporti i funksionimit të komunave të Kosovës për vitin 202</w:t>
            </w:r>
            <w:r w:rsidR="009B044C">
              <w:rPr>
                <w:rFonts w:asciiTheme="majorHAnsi" w:hAnsiTheme="majorHAnsi" w:cs="Calibri"/>
                <w:color w:val="000000" w:themeColor="text1"/>
                <w:sz w:val="18"/>
                <w:szCs w:val="18"/>
              </w:rPr>
              <w:t>1</w:t>
            </w:r>
            <w:r w:rsidRPr="00AC2A11">
              <w:rPr>
                <w:rFonts w:asciiTheme="majorHAnsi" w:hAnsiTheme="majorHAnsi" w:cs="Calibri"/>
                <w:color w:val="000000" w:themeColor="text1"/>
                <w:sz w:val="18"/>
                <w:szCs w:val="18"/>
              </w:rPr>
              <w:t xml:space="preserve">, i publikuar nga MAPL </w:t>
            </w:r>
            <w:r w:rsidR="00416ED3">
              <w:rPr>
                <w:rFonts w:asciiTheme="majorHAnsi" w:hAnsiTheme="majorHAnsi" w:cs="Calibri"/>
                <w:color w:val="000000" w:themeColor="text1"/>
                <w:sz w:val="18"/>
                <w:szCs w:val="18"/>
              </w:rPr>
              <w:t>dhe Raporti per vlerësimin e ligjshmërisë së akteve të kuvendeve komunale 2021</w:t>
            </w:r>
          </w:p>
        </w:tc>
        <w:tc>
          <w:tcPr>
            <w:tcW w:w="3521" w:type="dxa"/>
            <w:tcBorders>
              <w:bottom w:val="single" w:sz="4" w:space="0" w:color="auto"/>
            </w:tcBorders>
            <w:shd w:val="clear" w:color="auto" w:fill="C2D69B" w:themeFill="accent3" w:themeFillTint="99"/>
            <w:vAlign w:val="center"/>
          </w:tcPr>
          <w:p w14:paraId="2764D10C" w14:textId="50FE1DC9" w:rsidR="002B4FB2" w:rsidRPr="00380D79" w:rsidRDefault="002B4FB2" w:rsidP="002B4FB2">
            <w:pPr>
              <w:spacing w:before="60"/>
              <w:rPr>
                <w:rFonts w:asciiTheme="majorHAnsi" w:hAnsiTheme="majorHAnsi" w:cs="Calibri"/>
                <w:color w:val="000000"/>
                <w:sz w:val="18"/>
                <w:szCs w:val="18"/>
              </w:rPr>
            </w:pPr>
            <w:r w:rsidRPr="00792B62">
              <w:rPr>
                <w:rFonts w:asciiTheme="majorHAnsi" w:hAnsiTheme="majorHAnsi" w:cs="Calibri"/>
                <w:b/>
                <w:color w:val="000000"/>
                <w:sz w:val="18"/>
                <w:szCs w:val="18"/>
              </w:rPr>
              <w:t>Po</w:t>
            </w:r>
            <w:r w:rsidRPr="00380D79">
              <w:rPr>
                <w:rFonts w:asciiTheme="majorHAnsi" w:hAnsiTheme="majorHAnsi" w:cs="Calibri"/>
                <w:color w:val="000000"/>
                <w:sz w:val="18"/>
                <w:szCs w:val="18"/>
              </w:rPr>
              <w:t>, nëse komuna ka kryer rishqyrtimin e akteve ligjore nga kuvendi komunal</w:t>
            </w:r>
            <w:r w:rsidR="00BE07CB" w:rsidRPr="00380D79">
              <w:rPr>
                <w:rFonts w:asciiTheme="majorHAnsi" w:hAnsiTheme="majorHAnsi" w:cs="Calibri"/>
                <w:color w:val="000000"/>
                <w:sz w:val="18"/>
                <w:szCs w:val="18"/>
              </w:rPr>
              <w:t xml:space="preserve"> </w:t>
            </w:r>
          </w:p>
          <w:p w14:paraId="61B474C7" w14:textId="15A62093" w:rsidR="002B4FB2" w:rsidRPr="00380D79" w:rsidRDefault="002B4FB2" w:rsidP="00363711">
            <w:pPr>
              <w:rPr>
                <w:rFonts w:asciiTheme="majorHAnsi" w:hAnsiTheme="majorHAnsi"/>
                <w:b/>
                <w:bCs/>
                <w:color w:val="000000"/>
                <w:sz w:val="18"/>
                <w:szCs w:val="18"/>
              </w:rPr>
            </w:pPr>
            <w:r w:rsidRPr="00792B62">
              <w:rPr>
                <w:rFonts w:asciiTheme="majorHAnsi" w:hAnsiTheme="majorHAnsi" w:cs="Calibri"/>
                <w:b/>
                <w:color w:val="000000"/>
                <w:sz w:val="18"/>
                <w:szCs w:val="18"/>
              </w:rPr>
              <w:t>Jo</w:t>
            </w:r>
            <w:r w:rsidRPr="00380D79">
              <w:rPr>
                <w:rFonts w:asciiTheme="majorHAnsi" w:hAnsiTheme="majorHAnsi" w:cs="Calibri"/>
                <w:color w:val="000000"/>
                <w:sz w:val="18"/>
                <w:szCs w:val="18"/>
              </w:rPr>
              <w:t>, nëse komuna nuk ka kryer rishqyrtimin e akteve ligjore nga kuvendi komunal</w:t>
            </w:r>
            <w:r w:rsidR="00566179" w:rsidRPr="00380D79">
              <w:rPr>
                <w:rFonts w:asciiTheme="majorHAnsi" w:hAnsiTheme="majorHAnsi" w:cs="Calibri"/>
                <w:color w:val="000000"/>
                <w:sz w:val="18"/>
                <w:szCs w:val="18"/>
              </w:rPr>
              <w:t xml:space="preserve"> </w:t>
            </w:r>
          </w:p>
        </w:tc>
      </w:tr>
      <w:tr w:rsidR="001D11BE" w:rsidRPr="004D2E1C" w14:paraId="0745EB44" w14:textId="77777777" w:rsidTr="004A4100">
        <w:tc>
          <w:tcPr>
            <w:tcW w:w="417" w:type="dxa"/>
            <w:shd w:val="clear" w:color="auto" w:fill="C2D69B" w:themeFill="accent3" w:themeFillTint="99"/>
            <w:vAlign w:val="center"/>
          </w:tcPr>
          <w:p w14:paraId="4BA9D74F" w14:textId="77777777" w:rsidR="004824FF" w:rsidRPr="00380D79" w:rsidRDefault="009E77FA" w:rsidP="004824FF">
            <w:pPr>
              <w:rPr>
                <w:rFonts w:asciiTheme="majorHAnsi" w:hAnsiTheme="majorHAnsi"/>
                <w:sz w:val="18"/>
                <w:szCs w:val="18"/>
              </w:rPr>
            </w:pPr>
            <w:r w:rsidRPr="00380D79">
              <w:rPr>
                <w:rFonts w:asciiTheme="majorHAnsi" w:hAnsiTheme="majorHAnsi" w:cs="Calibri"/>
                <w:color w:val="000000"/>
                <w:sz w:val="18"/>
                <w:szCs w:val="18"/>
              </w:rPr>
              <w:t>3</w:t>
            </w:r>
          </w:p>
        </w:tc>
        <w:tc>
          <w:tcPr>
            <w:tcW w:w="2215" w:type="dxa"/>
            <w:shd w:val="clear" w:color="auto" w:fill="C2D69B" w:themeFill="accent3" w:themeFillTint="99"/>
            <w:vAlign w:val="center"/>
          </w:tcPr>
          <w:p w14:paraId="4DB5C146" w14:textId="77777777" w:rsidR="008524E9" w:rsidRPr="00380D79" w:rsidRDefault="00A05BAE" w:rsidP="008524E9">
            <w:pPr>
              <w:rPr>
                <w:rFonts w:asciiTheme="majorHAnsi" w:hAnsiTheme="majorHAnsi"/>
                <w:sz w:val="18"/>
                <w:szCs w:val="18"/>
              </w:rPr>
            </w:pPr>
            <w:r w:rsidRPr="00A05BAE">
              <w:rPr>
                <w:rFonts w:asciiTheme="majorHAnsi" w:hAnsiTheme="majorHAnsi"/>
                <w:sz w:val="18"/>
                <w:szCs w:val="18"/>
              </w:rPr>
              <w:t>Opinioni i auditimit duhet të jetë të paktën i pamodifikuar me theksim të çështjes;</w:t>
            </w:r>
          </w:p>
        </w:tc>
        <w:tc>
          <w:tcPr>
            <w:tcW w:w="2075" w:type="dxa"/>
            <w:shd w:val="clear" w:color="auto" w:fill="C2D69B" w:themeFill="accent3" w:themeFillTint="99"/>
            <w:vAlign w:val="center"/>
          </w:tcPr>
          <w:p w14:paraId="50C47086" w14:textId="77777777" w:rsidR="004824FF" w:rsidRPr="00380D79" w:rsidRDefault="004824FF" w:rsidP="00CF1A66">
            <w:pPr>
              <w:rPr>
                <w:rFonts w:asciiTheme="majorHAnsi" w:hAnsiTheme="majorHAnsi" w:cs="Calibri"/>
                <w:i/>
                <w:color w:val="000000"/>
                <w:sz w:val="18"/>
                <w:szCs w:val="18"/>
              </w:rPr>
            </w:pPr>
            <w:r w:rsidRPr="07D96137">
              <w:rPr>
                <w:rFonts w:asciiTheme="majorHAnsi" w:hAnsiTheme="majorHAnsi" w:cs="Calibri"/>
                <w:color w:val="000000"/>
                <w:sz w:val="18"/>
                <w:szCs w:val="18"/>
              </w:rPr>
              <w:t xml:space="preserve">Opinioni vjetor i auditimit së paku i </w:t>
            </w:r>
            <w:r w:rsidRPr="07D96137">
              <w:rPr>
                <w:rFonts w:asciiTheme="majorHAnsi" w:hAnsiTheme="majorHAnsi" w:cs="Calibri"/>
                <w:i/>
                <w:iCs/>
                <w:color w:val="000000"/>
                <w:sz w:val="18"/>
                <w:szCs w:val="18"/>
              </w:rPr>
              <w:t>'Pamodofikuar me theksim të çështjes</w:t>
            </w:r>
            <w:r w:rsidRPr="07D96137">
              <w:rPr>
                <w:rFonts w:asciiTheme="majorHAnsi" w:hAnsiTheme="majorHAnsi" w:cs="Calibri"/>
                <w:i/>
                <w:iCs/>
                <w:color w:val="000000"/>
                <w:sz w:val="18"/>
                <w:szCs w:val="18"/>
                <w:vertAlign w:val="superscript"/>
              </w:rPr>
              <w:footnoteReference w:id="11"/>
            </w:r>
          </w:p>
        </w:tc>
        <w:tc>
          <w:tcPr>
            <w:tcW w:w="4216" w:type="dxa"/>
            <w:shd w:val="clear" w:color="auto" w:fill="C2D69B" w:themeFill="accent3" w:themeFillTint="99"/>
            <w:vAlign w:val="center"/>
          </w:tcPr>
          <w:p w14:paraId="1B1D9335" w14:textId="77777777" w:rsidR="004824FF" w:rsidRPr="00380D79" w:rsidRDefault="004824FF" w:rsidP="009A3BEC">
            <w:pPr>
              <w:numPr>
                <w:ilvl w:val="0"/>
                <w:numId w:val="13"/>
              </w:numPr>
              <w:ind w:left="256" w:hanging="256"/>
              <w:rPr>
                <w:rFonts w:asciiTheme="majorHAnsi" w:hAnsiTheme="majorHAnsi" w:cs="Calibri"/>
                <w:color w:val="000000"/>
                <w:sz w:val="18"/>
                <w:szCs w:val="18"/>
              </w:rPr>
            </w:pPr>
            <w:r w:rsidRPr="00380D79">
              <w:rPr>
                <w:rFonts w:asciiTheme="majorHAnsi" w:hAnsiTheme="majorHAnsi" w:cs="Calibri"/>
                <w:color w:val="000000"/>
                <w:sz w:val="18"/>
                <w:szCs w:val="18"/>
              </w:rPr>
              <w:t>Ligji nr.03/L-048 për Menaxhimin e financave publike dhe përgjegjësitë (LMFPP)</w:t>
            </w:r>
          </w:p>
          <w:p w14:paraId="58A51984" w14:textId="77777777" w:rsidR="004824FF" w:rsidRPr="00380D79" w:rsidRDefault="004824FF" w:rsidP="003B5AB6">
            <w:pPr>
              <w:numPr>
                <w:ilvl w:val="0"/>
                <w:numId w:val="13"/>
              </w:numPr>
              <w:ind w:left="292" w:hanging="292"/>
              <w:rPr>
                <w:rFonts w:asciiTheme="majorHAnsi" w:hAnsiTheme="majorHAnsi" w:cs="Calibri"/>
                <w:color w:val="000000"/>
                <w:sz w:val="18"/>
                <w:szCs w:val="18"/>
              </w:rPr>
            </w:pPr>
            <w:r w:rsidRPr="00380D79">
              <w:rPr>
                <w:rFonts w:asciiTheme="majorHAnsi" w:hAnsiTheme="majorHAnsi" w:cs="Calibri"/>
                <w:color w:val="000000"/>
                <w:sz w:val="18"/>
                <w:szCs w:val="18"/>
              </w:rPr>
              <w:t xml:space="preserve">Rregullorja nr.01/2017 për raportimin vjetor financiar nga organizatat buxhetore e nxjerrë nga </w:t>
            </w:r>
            <w:r w:rsidRPr="00380D79">
              <w:rPr>
                <w:rFonts w:asciiTheme="majorHAnsi" w:hAnsiTheme="majorHAnsi" w:cs="Calibri"/>
                <w:color w:val="000000"/>
                <w:sz w:val="18"/>
                <w:szCs w:val="18"/>
              </w:rPr>
              <w:lastRenderedPageBreak/>
              <w:t>MF-ja</w:t>
            </w:r>
            <w:r w:rsidR="00FC0383" w:rsidRPr="00380D79">
              <w:rPr>
                <w:rFonts w:asciiTheme="majorHAnsi" w:hAnsiTheme="majorHAnsi" w:cs="Calibri"/>
                <w:color w:val="000000"/>
                <w:sz w:val="18"/>
                <w:szCs w:val="18"/>
              </w:rPr>
              <w:t>.</w:t>
            </w:r>
            <w:r w:rsidRPr="00380D79">
              <w:rPr>
                <w:sz w:val="18"/>
                <w:szCs w:val="18"/>
              </w:rPr>
              <w:t xml:space="preserve"> </w:t>
            </w:r>
            <w:r w:rsidRPr="00380D79">
              <w:rPr>
                <w:rFonts w:asciiTheme="majorHAnsi" w:hAnsiTheme="majorHAnsi" w:cs="Calibri"/>
                <w:color w:val="000000"/>
                <w:sz w:val="18"/>
                <w:szCs w:val="18"/>
              </w:rPr>
              <w:t>Standardet Ndërkombëtare të Kontabilitetit për Sektorin Publik</w:t>
            </w:r>
          </w:p>
        </w:tc>
        <w:tc>
          <w:tcPr>
            <w:tcW w:w="1590" w:type="dxa"/>
            <w:shd w:val="clear" w:color="auto" w:fill="C2D69B" w:themeFill="accent3" w:themeFillTint="99"/>
            <w:vAlign w:val="center"/>
          </w:tcPr>
          <w:p w14:paraId="50D0BECF" w14:textId="4F43054A" w:rsidR="004824FF" w:rsidRPr="00380D79" w:rsidRDefault="004824FF" w:rsidP="00B25DF6">
            <w:pPr>
              <w:rPr>
                <w:rFonts w:asciiTheme="majorHAnsi" w:hAnsiTheme="majorHAnsi"/>
                <w:sz w:val="18"/>
                <w:szCs w:val="18"/>
              </w:rPr>
            </w:pPr>
            <w:r w:rsidRPr="00380D79">
              <w:rPr>
                <w:rFonts w:asciiTheme="majorHAnsi" w:hAnsiTheme="majorHAnsi" w:cs="Calibri"/>
                <w:color w:val="000000"/>
                <w:sz w:val="18"/>
                <w:szCs w:val="18"/>
              </w:rPr>
              <w:lastRenderedPageBreak/>
              <w:t xml:space="preserve">Raportet </w:t>
            </w:r>
            <w:r w:rsidR="00964C21" w:rsidRPr="00380D79">
              <w:rPr>
                <w:rFonts w:asciiTheme="majorHAnsi" w:hAnsiTheme="majorHAnsi" w:cs="Calibri"/>
                <w:color w:val="000000"/>
                <w:sz w:val="18"/>
                <w:szCs w:val="18"/>
              </w:rPr>
              <w:t>individuale të</w:t>
            </w:r>
            <w:r w:rsidR="009B044C">
              <w:rPr>
                <w:rFonts w:asciiTheme="majorHAnsi" w:hAnsiTheme="majorHAnsi" w:cs="Calibri"/>
                <w:color w:val="000000"/>
                <w:sz w:val="18"/>
                <w:szCs w:val="18"/>
              </w:rPr>
              <w:t xml:space="preserve"> auditimit të</w:t>
            </w:r>
            <w:r w:rsidR="00964C21" w:rsidRPr="00380D79">
              <w:rPr>
                <w:rFonts w:asciiTheme="majorHAnsi" w:hAnsiTheme="majorHAnsi" w:cs="Calibri"/>
                <w:color w:val="000000"/>
                <w:sz w:val="18"/>
                <w:szCs w:val="18"/>
              </w:rPr>
              <w:t xml:space="preserve"> rreg</w:t>
            </w:r>
            <w:r w:rsidR="001B4DC8">
              <w:rPr>
                <w:rFonts w:asciiTheme="majorHAnsi" w:hAnsiTheme="majorHAnsi" w:cs="Calibri"/>
                <w:color w:val="000000"/>
                <w:sz w:val="18"/>
                <w:szCs w:val="18"/>
              </w:rPr>
              <w:t>u</w:t>
            </w:r>
            <w:r w:rsidR="00964C21" w:rsidRPr="00380D79">
              <w:rPr>
                <w:rFonts w:asciiTheme="majorHAnsi" w:hAnsiTheme="majorHAnsi" w:cs="Calibri"/>
                <w:color w:val="000000"/>
                <w:sz w:val="18"/>
                <w:szCs w:val="18"/>
              </w:rPr>
              <w:t xml:space="preserve">llsisë </w:t>
            </w:r>
            <w:r w:rsidR="00B94AE1">
              <w:rPr>
                <w:rFonts w:asciiTheme="majorHAnsi" w:hAnsiTheme="majorHAnsi" w:cs="Calibri"/>
                <w:color w:val="000000"/>
                <w:sz w:val="18"/>
                <w:szCs w:val="18"/>
              </w:rPr>
              <w:t xml:space="preserve">për </w:t>
            </w:r>
            <w:r w:rsidR="00B94AE1">
              <w:rPr>
                <w:rFonts w:asciiTheme="majorHAnsi" w:hAnsiTheme="majorHAnsi" w:cs="Calibri"/>
                <w:color w:val="000000"/>
                <w:sz w:val="18"/>
                <w:szCs w:val="18"/>
              </w:rPr>
              <w:lastRenderedPageBreak/>
              <w:t xml:space="preserve">vitin 2021, </w:t>
            </w:r>
            <w:r w:rsidR="00964C21" w:rsidRPr="00380D79">
              <w:rPr>
                <w:rFonts w:asciiTheme="majorHAnsi" w:hAnsiTheme="majorHAnsi" w:cs="Calibri"/>
                <w:color w:val="000000"/>
                <w:sz w:val="18"/>
                <w:szCs w:val="18"/>
              </w:rPr>
              <w:t xml:space="preserve">të publikuara nga </w:t>
            </w:r>
            <w:r w:rsidRPr="00380D79">
              <w:rPr>
                <w:rFonts w:asciiTheme="majorHAnsi" w:hAnsiTheme="majorHAnsi" w:cs="Calibri"/>
                <w:color w:val="000000"/>
                <w:sz w:val="18"/>
                <w:szCs w:val="18"/>
              </w:rPr>
              <w:t>ZKA</w:t>
            </w:r>
          </w:p>
        </w:tc>
        <w:tc>
          <w:tcPr>
            <w:tcW w:w="3521" w:type="dxa"/>
            <w:shd w:val="clear" w:color="auto" w:fill="C2D69B" w:themeFill="accent3" w:themeFillTint="99"/>
            <w:vAlign w:val="center"/>
          </w:tcPr>
          <w:p w14:paraId="7334ED94" w14:textId="77777777" w:rsidR="004824FF" w:rsidRPr="00380D79" w:rsidRDefault="004824FF" w:rsidP="004824FF">
            <w:pPr>
              <w:rPr>
                <w:rFonts w:asciiTheme="majorHAnsi" w:hAnsiTheme="majorHAnsi" w:cs="Calibri"/>
                <w:i/>
                <w:color w:val="000000"/>
                <w:sz w:val="18"/>
                <w:szCs w:val="18"/>
              </w:rPr>
            </w:pPr>
            <w:r w:rsidRPr="00380D79">
              <w:rPr>
                <w:rFonts w:asciiTheme="majorHAnsi" w:hAnsiTheme="majorHAnsi" w:cs="Calibri"/>
                <w:b/>
                <w:color w:val="000000"/>
                <w:sz w:val="18"/>
                <w:szCs w:val="18"/>
              </w:rPr>
              <w:lastRenderedPageBreak/>
              <w:t>Po</w:t>
            </w:r>
            <w:r w:rsidRPr="00380D79">
              <w:rPr>
                <w:rFonts w:asciiTheme="majorHAnsi" w:hAnsiTheme="majorHAnsi" w:cs="Calibri"/>
                <w:color w:val="000000"/>
                <w:sz w:val="18"/>
                <w:szCs w:val="18"/>
              </w:rPr>
              <w:t xml:space="preserve">, nëse komuna </w:t>
            </w:r>
            <w:r w:rsidR="00565E15" w:rsidRPr="00380D79">
              <w:rPr>
                <w:rFonts w:asciiTheme="majorHAnsi" w:hAnsiTheme="majorHAnsi" w:cs="Calibri"/>
                <w:color w:val="000000"/>
                <w:sz w:val="18"/>
                <w:szCs w:val="18"/>
              </w:rPr>
              <w:t>merr</w:t>
            </w:r>
            <w:r w:rsidRPr="00380D79">
              <w:rPr>
                <w:rFonts w:asciiTheme="majorHAnsi" w:hAnsiTheme="majorHAnsi" w:cs="Calibri"/>
                <w:color w:val="000000"/>
                <w:sz w:val="18"/>
                <w:szCs w:val="18"/>
              </w:rPr>
              <w:t xml:space="preserve"> </w:t>
            </w:r>
            <w:r w:rsidR="001474D9" w:rsidRPr="00380D79">
              <w:rPr>
                <w:rFonts w:asciiTheme="majorHAnsi" w:hAnsiTheme="majorHAnsi" w:cs="Calibri"/>
                <w:i/>
                <w:color w:val="000000"/>
                <w:sz w:val="18"/>
                <w:szCs w:val="18"/>
              </w:rPr>
              <w:t>O</w:t>
            </w:r>
            <w:r w:rsidRPr="00380D79">
              <w:rPr>
                <w:rFonts w:asciiTheme="majorHAnsi" w:hAnsiTheme="majorHAnsi" w:cs="Calibri"/>
                <w:i/>
                <w:color w:val="000000"/>
                <w:sz w:val="18"/>
                <w:szCs w:val="18"/>
              </w:rPr>
              <w:t xml:space="preserve">pinion </w:t>
            </w:r>
            <w:r w:rsidR="00565E15" w:rsidRPr="00380D79">
              <w:rPr>
                <w:rFonts w:asciiTheme="majorHAnsi" w:hAnsiTheme="majorHAnsi" w:cs="Calibri"/>
                <w:i/>
                <w:color w:val="000000"/>
                <w:sz w:val="18"/>
                <w:szCs w:val="18"/>
              </w:rPr>
              <w:t>të</w:t>
            </w:r>
            <w:r w:rsidRPr="00380D79">
              <w:rPr>
                <w:rFonts w:asciiTheme="majorHAnsi" w:hAnsiTheme="majorHAnsi" w:cs="Calibri"/>
                <w:i/>
                <w:color w:val="000000"/>
                <w:sz w:val="18"/>
                <w:szCs w:val="18"/>
              </w:rPr>
              <w:t xml:space="preserve"> </w:t>
            </w:r>
            <w:r w:rsidR="00786C7C" w:rsidRPr="00380D79">
              <w:rPr>
                <w:rFonts w:asciiTheme="majorHAnsi" w:hAnsiTheme="majorHAnsi" w:cs="Calibri"/>
                <w:i/>
                <w:color w:val="000000"/>
                <w:sz w:val="18"/>
                <w:szCs w:val="18"/>
              </w:rPr>
              <w:t>p</w:t>
            </w:r>
            <w:r w:rsidR="00565E15" w:rsidRPr="00380D79">
              <w:rPr>
                <w:rFonts w:asciiTheme="majorHAnsi" w:hAnsiTheme="majorHAnsi" w:cs="Calibri"/>
                <w:i/>
                <w:color w:val="000000"/>
                <w:sz w:val="18"/>
                <w:szCs w:val="18"/>
              </w:rPr>
              <w:t>am</w:t>
            </w:r>
            <w:r w:rsidRPr="00380D79">
              <w:rPr>
                <w:rFonts w:asciiTheme="majorHAnsi" w:hAnsiTheme="majorHAnsi" w:cs="Calibri"/>
                <w:i/>
                <w:color w:val="000000"/>
                <w:sz w:val="18"/>
                <w:szCs w:val="18"/>
              </w:rPr>
              <w:t xml:space="preserve">odifikuar ose </w:t>
            </w:r>
            <w:r w:rsidR="00565E15" w:rsidRPr="00380D79">
              <w:rPr>
                <w:rFonts w:asciiTheme="majorHAnsi" w:hAnsiTheme="majorHAnsi" w:cs="Calibri"/>
                <w:i/>
                <w:color w:val="000000"/>
                <w:sz w:val="18"/>
                <w:szCs w:val="18"/>
              </w:rPr>
              <w:t>O</w:t>
            </w:r>
            <w:r w:rsidRPr="00380D79">
              <w:rPr>
                <w:rFonts w:asciiTheme="majorHAnsi" w:hAnsiTheme="majorHAnsi" w:cs="Calibri"/>
                <w:i/>
                <w:color w:val="000000"/>
                <w:sz w:val="18"/>
                <w:szCs w:val="18"/>
              </w:rPr>
              <w:t xml:space="preserve">pinion të </w:t>
            </w:r>
            <w:r w:rsidR="00327C86" w:rsidRPr="00380D79">
              <w:rPr>
                <w:rFonts w:asciiTheme="majorHAnsi" w:hAnsiTheme="majorHAnsi" w:cs="Calibri"/>
                <w:i/>
                <w:color w:val="000000"/>
                <w:sz w:val="18"/>
                <w:szCs w:val="18"/>
              </w:rPr>
              <w:t>P</w:t>
            </w:r>
            <w:r w:rsidR="00565E15" w:rsidRPr="00380D79">
              <w:rPr>
                <w:rFonts w:asciiTheme="majorHAnsi" w:hAnsiTheme="majorHAnsi" w:cs="Calibri"/>
                <w:i/>
                <w:color w:val="000000"/>
                <w:sz w:val="18"/>
                <w:szCs w:val="18"/>
              </w:rPr>
              <w:t>a</w:t>
            </w:r>
            <w:r w:rsidRPr="00380D79">
              <w:rPr>
                <w:rFonts w:asciiTheme="majorHAnsi" w:hAnsiTheme="majorHAnsi" w:cs="Calibri"/>
                <w:i/>
                <w:color w:val="000000"/>
                <w:sz w:val="18"/>
                <w:szCs w:val="18"/>
              </w:rPr>
              <w:t>modifikuar me theks</w:t>
            </w:r>
            <w:r w:rsidR="00565E15" w:rsidRPr="00380D79">
              <w:rPr>
                <w:rFonts w:asciiTheme="majorHAnsi" w:hAnsiTheme="majorHAnsi" w:cs="Calibri"/>
                <w:i/>
                <w:color w:val="000000"/>
                <w:sz w:val="18"/>
                <w:szCs w:val="18"/>
              </w:rPr>
              <w:t>im t</w:t>
            </w:r>
            <w:r w:rsidRPr="00380D79">
              <w:rPr>
                <w:rFonts w:asciiTheme="majorHAnsi" w:hAnsiTheme="majorHAnsi" w:cs="Calibri"/>
                <w:i/>
                <w:color w:val="000000"/>
                <w:sz w:val="18"/>
                <w:szCs w:val="18"/>
              </w:rPr>
              <w:t>ë çështje</w:t>
            </w:r>
            <w:r w:rsidR="00565E15" w:rsidRPr="00380D79">
              <w:rPr>
                <w:rFonts w:asciiTheme="majorHAnsi" w:hAnsiTheme="majorHAnsi" w:cs="Calibri"/>
                <w:color w:val="000000"/>
                <w:sz w:val="18"/>
                <w:szCs w:val="18"/>
              </w:rPr>
              <w:t>s</w:t>
            </w:r>
            <w:r w:rsidRPr="00380D79">
              <w:rPr>
                <w:rFonts w:asciiTheme="majorHAnsi" w:hAnsiTheme="majorHAnsi" w:cs="Calibri"/>
                <w:i/>
                <w:color w:val="000000"/>
                <w:sz w:val="18"/>
                <w:szCs w:val="18"/>
              </w:rPr>
              <w:t>;</w:t>
            </w:r>
          </w:p>
          <w:p w14:paraId="508B3390" w14:textId="77777777" w:rsidR="004824FF" w:rsidRPr="00380D79" w:rsidRDefault="004824FF" w:rsidP="009D047B">
            <w:pPr>
              <w:rPr>
                <w:rFonts w:asciiTheme="majorHAnsi" w:hAnsiTheme="majorHAnsi"/>
                <w:sz w:val="18"/>
                <w:szCs w:val="18"/>
              </w:rPr>
            </w:pPr>
            <w:r w:rsidRPr="00380D79">
              <w:rPr>
                <w:rFonts w:asciiTheme="majorHAnsi" w:hAnsiTheme="majorHAnsi" w:cs="Calibri"/>
                <w:b/>
                <w:color w:val="000000"/>
                <w:sz w:val="18"/>
                <w:szCs w:val="18"/>
              </w:rPr>
              <w:lastRenderedPageBreak/>
              <w:t>Jo</w:t>
            </w:r>
            <w:r w:rsidRPr="00380D79">
              <w:rPr>
                <w:rFonts w:asciiTheme="majorHAnsi" w:hAnsiTheme="majorHAnsi" w:cs="Calibri"/>
                <w:color w:val="000000"/>
                <w:sz w:val="18"/>
                <w:szCs w:val="18"/>
              </w:rPr>
              <w:t xml:space="preserve">, nëse komuna </w:t>
            </w:r>
            <w:r w:rsidR="00565E15" w:rsidRPr="00380D79">
              <w:rPr>
                <w:rFonts w:asciiTheme="majorHAnsi" w:hAnsiTheme="majorHAnsi" w:cs="Calibri"/>
                <w:color w:val="000000"/>
                <w:sz w:val="18"/>
                <w:szCs w:val="18"/>
              </w:rPr>
              <w:t xml:space="preserve">merr </w:t>
            </w:r>
            <w:r w:rsidR="00565E15" w:rsidRPr="00380D79">
              <w:rPr>
                <w:rFonts w:asciiTheme="majorHAnsi" w:hAnsiTheme="majorHAnsi" w:cs="Calibri"/>
                <w:i/>
                <w:color w:val="000000"/>
                <w:sz w:val="18"/>
                <w:szCs w:val="18"/>
              </w:rPr>
              <w:t>O</w:t>
            </w:r>
            <w:r w:rsidRPr="00380D79">
              <w:rPr>
                <w:rFonts w:asciiTheme="majorHAnsi" w:hAnsiTheme="majorHAnsi" w:cs="Calibri"/>
                <w:i/>
                <w:color w:val="000000"/>
                <w:sz w:val="18"/>
                <w:szCs w:val="18"/>
              </w:rPr>
              <w:t xml:space="preserve">pinion </w:t>
            </w:r>
            <w:r w:rsidR="00565E15" w:rsidRPr="00380D79">
              <w:rPr>
                <w:rFonts w:asciiTheme="majorHAnsi" w:hAnsiTheme="majorHAnsi" w:cs="Calibri"/>
                <w:i/>
                <w:color w:val="000000"/>
                <w:sz w:val="18"/>
                <w:szCs w:val="18"/>
              </w:rPr>
              <w:t xml:space="preserve">të </w:t>
            </w:r>
            <w:r w:rsidR="00327C86" w:rsidRPr="00380D79">
              <w:rPr>
                <w:rFonts w:asciiTheme="majorHAnsi" w:hAnsiTheme="majorHAnsi" w:cs="Calibri"/>
                <w:i/>
                <w:color w:val="000000"/>
                <w:sz w:val="18"/>
                <w:szCs w:val="18"/>
              </w:rPr>
              <w:t>K</w:t>
            </w:r>
            <w:r w:rsidR="00565E15" w:rsidRPr="00380D79">
              <w:rPr>
                <w:rFonts w:asciiTheme="majorHAnsi" w:hAnsiTheme="majorHAnsi" w:cs="Calibri"/>
                <w:i/>
                <w:color w:val="000000"/>
                <w:sz w:val="18"/>
                <w:szCs w:val="18"/>
              </w:rPr>
              <w:t>ualifikuar</w:t>
            </w:r>
            <w:r w:rsidRPr="00380D79">
              <w:rPr>
                <w:rFonts w:asciiTheme="majorHAnsi" w:hAnsiTheme="majorHAnsi" w:cs="Calibri"/>
                <w:i/>
                <w:color w:val="000000"/>
                <w:sz w:val="18"/>
                <w:szCs w:val="18"/>
              </w:rPr>
              <w:t xml:space="preserve"> ose të </w:t>
            </w:r>
            <w:r w:rsidR="00327C86" w:rsidRPr="00380D79">
              <w:rPr>
                <w:rFonts w:asciiTheme="majorHAnsi" w:hAnsiTheme="majorHAnsi" w:cs="Calibri"/>
                <w:i/>
                <w:color w:val="000000"/>
                <w:sz w:val="18"/>
                <w:szCs w:val="18"/>
              </w:rPr>
              <w:t>K</w:t>
            </w:r>
            <w:r w:rsidRPr="00380D79">
              <w:rPr>
                <w:rFonts w:asciiTheme="majorHAnsi" w:hAnsiTheme="majorHAnsi" w:cs="Calibri"/>
                <w:i/>
                <w:color w:val="000000"/>
                <w:sz w:val="18"/>
                <w:szCs w:val="18"/>
              </w:rPr>
              <w:t xml:space="preserve">undërt, dhe nëse ZKA </w:t>
            </w:r>
            <w:r w:rsidR="00565E15" w:rsidRPr="00380D79">
              <w:rPr>
                <w:rFonts w:asciiTheme="majorHAnsi" w:hAnsiTheme="majorHAnsi" w:cs="Calibri"/>
                <w:i/>
                <w:color w:val="000000"/>
                <w:sz w:val="18"/>
                <w:szCs w:val="18"/>
              </w:rPr>
              <w:t xml:space="preserve">refuzon </w:t>
            </w:r>
            <w:r w:rsidR="009D047B" w:rsidRPr="00380D79">
              <w:rPr>
                <w:rFonts w:asciiTheme="majorHAnsi" w:hAnsiTheme="majorHAnsi" w:cs="Calibri"/>
                <w:i/>
                <w:color w:val="000000"/>
                <w:sz w:val="18"/>
                <w:szCs w:val="18"/>
              </w:rPr>
              <w:t>dh</w:t>
            </w:r>
            <w:r w:rsidR="00210D4C" w:rsidRPr="00380D79">
              <w:rPr>
                <w:rFonts w:asciiTheme="majorHAnsi" w:hAnsiTheme="majorHAnsi" w:cs="Calibri"/>
                <w:i/>
                <w:color w:val="000000"/>
                <w:sz w:val="18"/>
                <w:szCs w:val="18"/>
              </w:rPr>
              <w:t>ë</w:t>
            </w:r>
            <w:r w:rsidR="009D047B" w:rsidRPr="00380D79">
              <w:rPr>
                <w:rFonts w:asciiTheme="majorHAnsi" w:hAnsiTheme="majorHAnsi" w:cs="Calibri"/>
                <w:i/>
                <w:color w:val="000000"/>
                <w:sz w:val="18"/>
                <w:szCs w:val="18"/>
              </w:rPr>
              <w:t xml:space="preserve">nien e </w:t>
            </w:r>
            <w:r w:rsidRPr="00380D79">
              <w:rPr>
                <w:rFonts w:asciiTheme="majorHAnsi" w:hAnsiTheme="majorHAnsi" w:cs="Calibri"/>
                <w:i/>
                <w:color w:val="000000"/>
                <w:sz w:val="18"/>
                <w:szCs w:val="18"/>
              </w:rPr>
              <w:t>opinion</w:t>
            </w:r>
            <w:r w:rsidR="009D047B" w:rsidRPr="00380D79">
              <w:rPr>
                <w:rFonts w:asciiTheme="majorHAnsi" w:hAnsiTheme="majorHAnsi" w:cs="Calibri"/>
                <w:i/>
                <w:color w:val="000000"/>
                <w:sz w:val="18"/>
                <w:szCs w:val="18"/>
              </w:rPr>
              <w:t>it</w:t>
            </w:r>
          </w:p>
        </w:tc>
      </w:tr>
      <w:tr w:rsidR="001D11BE" w:rsidRPr="004D2E1C" w14:paraId="64274BA9" w14:textId="77777777" w:rsidTr="004A4100">
        <w:tc>
          <w:tcPr>
            <w:tcW w:w="417" w:type="dxa"/>
            <w:shd w:val="clear" w:color="auto" w:fill="C2D69B" w:themeFill="accent3" w:themeFillTint="99"/>
            <w:vAlign w:val="center"/>
          </w:tcPr>
          <w:p w14:paraId="205F3BEA" w14:textId="77777777" w:rsidR="004824FF" w:rsidRPr="00380D79" w:rsidRDefault="009E77FA" w:rsidP="004824FF">
            <w:pPr>
              <w:rPr>
                <w:rFonts w:asciiTheme="majorHAnsi" w:hAnsiTheme="majorHAnsi"/>
                <w:sz w:val="18"/>
                <w:szCs w:val="18"/>
              </w:rPr>
            </w:pPr>
            <w:r w:rsidRPr="00380D79">
              <w:rPr>
                <w:rFonts w:asciiTheme="majorHAnsi" w:hAnsiTheme="majorHAnsi" w:cs="Calibri"/>
                <w:color w:val="000000"/>
                <w:sz w:val="18"/>
                <w:szCs w:val="18"/>
              </w:rPr>
              <w:lastRenderedPageBreak/>
              <w:t>4</w:t>
            </w:r>
          </w:p>
        </w:tc>
        <w:tc>
          <w:tcPr>
            <w:tcW w:w="2215" w:type="dxa"/>
            <w:shd w:val="clear" w:color="auto" w:fill="C2D69B" w:themeFill="accent3" w:themeFillTint="99"/>
            <w:vAlign w:val="center"/>
          </w:tcPr>
          <w:p w14:paraId="008A39EE" w14:textId="77777777" w:rsidR="004824FF" w:rsidRPr="00380D79" w:rsidRDefault="008524E9" w:rsidP="00BE10C2">
            <w:pPr>
              <w:rPr>
                <w:rFonts w:asciiTheme="majorHAnsi" w:hAnsiTheme="majorHAnsi"/>
                <w:sz w:val="18"/>
                <w:szCs w:val="18"/>
              </w:rPr>
            </w:pPr>
            <w:r w:rsidRPr="00380D79">
              <w:rPr>
                <w:rFonts w:asciiTheme="majorHAnsi" w:hAnsiTheme="majorHAnsi"/>
                <w:sz w:val="18"/>
                <w:szCs w:val="18"/>
              </w:rPr>
              <w:t>Komunat duhet të kenë shpenzuar 75% ose më tepër të buxhetit final për investime kapitale</w:t>
            </w:r>
          </w:p>
        </w:tc>
        <w:tc>
          <w:tcPr>
            <w:tcW w:w="2075" w:type="dxa"/>
            <w:shd w:val="clear" w:color="auto" w:fill="C2D69B" w:themeFill="accent3" w:themeFillTint="99"/>
            <w:vAlign w:val="center"/>
          </w:tcPr>
          <w:p w14:paraId="51DD2299" w14:textId="77777777" w:rsidR="004824FF" w:rsidRPr="00380D79" w:rsidRDefault="004824FF" w:rsidP="004E1CC4">
            <w:pPr>
              <w:rPr>
                <w:rFonts w:asciiTheme="majorHAnsi" w:hAnsiTheme="majorHAnsi"/>
                <w:sz w:val="18"/>
                <w:szCs w:val="18"/>
              </w:rPr>
            </w:pPr>
            <w:r w:rsidRPr="00380D79">
              <w:rPr>
                <w:rFonts w:asciiTheme="majorHAnsi" w:hAnsiTheme="majorHAnsi"/>
                <w:color w:val="000000"/>
                <w:sz w:val="18"/>
                <w:szCs w:val="18"/>
              </w:rPr>
              <w:t xml:space="preserve">Të paktën 75% e buxhetit </w:t>
            </w:r>
            <w:r w:rsidR="00B31A49" w:rsidRPr="00380D79">
              <w:rPr>
                <w:rFonts w:asciiTheme="majorHAnsi" w:hAnsiTheme="majorHAnsi"/>
                <w:color w:val="000000"/>
                <w:sz w:val="18"/>
                <w:szCs w:val="18"/>
              </w:rPr>
              <w:t xml:space="preserve">final </w:t>
            </w:r>
            <w:r w:rsidRPr="00380D79">
              <w:rPr>
                <w:rFonts w:asciiTheme="majorHAnsi" w:hAnsiTheme="majorHAnsi"/>
                <w:color w:val="000000"/>
                <w:sz w:val="18"/>
                <w:szCs w:val="18"/>
              </w:rPr>
              <w:t xml:space="preserve">për investime kapitale </w:t>
            </w:r>
            <w:r w:rsidR="00345320" w:rsidRPr="00380D79">
              <w:rPr>
                <w:rFonts w:asciiTheme="majorHAnsi" w:hAnsiTheme="majorHAnsi"/>
                <w:color w:val="000000"/>
                <w:sz w:val="18"/>
                <w:szCs w:val="18"/>
              </w:rPr>
              <w:t xml:space="preserve">i </w:t>
            </w:r>
            <w:r w:rsidRPr="00380D79">
              <w:rPr>
                <w:rFonts w:asciiTheme="majorHAnsi" w:hAnsiTheme="majorHAnsi"/>
                <w:color w:val="000000"/>
                <w:sz w:val="18"/>
                <w:szCs w:val="18"/>
              </w:rPr>
              <w:t>shpenzuar</w:t>
            </w:r>
            <w:r w:rsidRPr="00380D79">
              <w:rPr>
                <w:rFonts w:asciiTheme="majorHAnsi" w:hAnsiTheme="majorHAnsi" w:cs="Calibri"/>
                <w:color w:val="000000"/>
                <w:sz w:val="18"/>
                <w:szCs w:val="18"/>
              </w:rPr>
              <w:t xml:space="preserve"> </w:t>
            </w:r>
          </w:p>
        </w:tc>
        <w:tc>
          <w:tcPr>
            <w:tcW w:w="4216" w:type="dxa"/>
            <w:shd w:val="clear" w:color="auto" w:fill="C2D69B" w:themeFill="accent3" w:themeFillTint="99"/>
            <w:vAlign w:val="center"/>
          </w:tcPr>
          <w:p w14:paraId="2B8517D5" w14:textId="77777777" w:rsidR="004824FF" w:rsidRPr="00380D79" w:rsidRDefault="004824FF" w:rsidP="009A3BEC">
            <w:pPr>
              <w:numPr>
                <w:ilvl w:val="0"/>
                <w:numId w:val="14"/>
              </w:numPr>
              <w:ind w:left="256" w:hanging="256"/>
              <w:rPr>
                <w:rFonts w:asciiTheme="majorHAnsi" w:hAnsiTheme="majorHAnsi"/>
                <w:sz w:val="18"/>
                <w:szCs w:val="18"/>
              </w:rPr>
            </w:pPr>
            <w:r w:rsidRPr="00380D79">
              <w:rPr>
                <w:rFonts w:asciiTheme="majorHAnsi" w:hAnsiTheme="majorHAnsi" w:cs="Calibri"/>
                <w:color w:val="000000"/>
                <w:sz w:val="18"/>
                <w:szCs w:val="18"/>
              </w:rPr>
              <w:t xml:space="preserve">Rregulli financiar nr.01-2013 i LMFPP-së për shpenzimet e parasë publike </w:t>
            </w:r>
          </w:p>
        </w:tc>
        <w:tc>
          <w:tcPr>
            <w:tcW w:w="1590" w:type="dxa"/>
            <w:shd w:val="clear" w:color="auto" w:fill="C2D69B" w:themeFill="accent3" w:themeFillTint="99"/>
            <w:vAlign w:val="center"/>
          </w:tcPr>
          <w:p w14:paraId="2BF019ED" w14:textId="1AC8AF21" w:rsidR="004824FF" w:rsidRPr="00380D79" w:rsidRDefault="00AE6DB7">
            <w:pPr>
              <w:rPr>
                <w:rFonts w:asciiTheme="majorHAnsi" w:hAnsiTheme="majorHAnsi" w:cs="Calibri"/>
                <w:color w:val="000000" w:themeColor="text1"/>
                <w:sz w:val="18"/>
                <w:szCs w:val="18"/>
              </w:rPr>
            </w:pPr>
            <w:r w:rsidRPr="04CF5ACA">
              <w:rPr>
                <w:rFonts w:asciiTheme="majorHAnsi" w:hAnsiTheme="majorHAnsi" w:cs="Calibri"/>
                <w:color w:val="000000" w:themeColor="text1"/>
                <w:sz w:val="18"/>
                <w:szCs w:val="18"/>
              </w:rPr>
              <w:t xml:space="preserve">Raportet individuale të </w:t>
            </w:r>
            <w:r w:rsidR="009B044C">
              <w:rPr>
                <w:rFonts w:asciiTheme="majorHAnsi" w:hAnsiTheme="majorHAnsi" w:cs="Calibri"/>
                <w:color w:val="000000" w:themeColor="text1"/>
                <w:sz w:val="18"/>
                <w:szCs w:val="18"/>
              </w:rPr>
              <w:t>auditimit t</w:t>
            </w:r>
            <w:r w:rsidR="009B044C" w:rsidRPr="04CF5ACA">
              <w:rPr>
                <w:rFonts w:asciiTheme="majorHAnsi" w:hAnsiTheme="majorHAnsi" w:cs="Calibri"/>
                <w:color w:val="000000" w:themeColor="text1"/>
                <w:sz w:val="18"/>
                <w:szCs w:val="18"/>
              </w:rPr>
              <w:t>ë</w:t>
            </w:r>
            <w:r w:rsidR="00B94AE1">
              <w:rPr>
                <w:rFonts w:ascii="MingLiU-ExtB" w:eastAsia="MingLiU-ExtB" w:hAnsi="MingLiU-ExtB" w:cs="MingLiU-ExtB" w:hint="eastAsia"/>
                <w:color w:val="000000" w:themeColor="text1"/>
                <w:sz w:val="18"/>
                <w:szCs w:val="18"/>
              </w:rPr>
              <w:t xml:space="preserve"> </w:t>
            </w:r>
            <w:r w:rsidRPr="04CF5ACA">
              <w:rPr>
                <w:rFonts w:asciiTheme="majorHAnsi" w:hAnsiTheme="majorHAnsi" w:cs="Calibri"/>
                <w:color w:val="000000" w:themeColor="text1"/>
                <w:sz w:val="18"/>
                <w:szCs w:val="18"/>
              </w:rPr>
              <w:t>rreg</w:t>
            </w:r>
            <w:r w:rsidR="000041DD">
              <w:rPr>
                <w:rFonts w:asciiTheme="majorHAnsi" w:hAnsiTheme="majorHAnsi" w:cs="Calibri"/>
                <w:color w:val="000000" w:themeColor="text1"/>
                <w:sz w:val="18"/>
                <w:szCs w:val="18"/>
              </w:rPr>
              <w:t>u</w:t>
            </w:r>
            <w:r w:rsidRPr="04CF5ACA">
              <w:rPr>
                <w:rFonts w:asciiTheme="majorHAnsi" w:hAnsiTheme="majorHAnsi" w:cs="Calibri"/>
                <w:color w:val="000000" w:themeColor="text1"/>
                <w:sz w:val="18"/>
                <w:szCs w:val="18"/>
              </w:rPr>
              <w:t xml:space="preserve">llsisë </w:t>
            </w:r>
            <w:r w:rsidR="00B94AE1">
              <w:rPr>
                <w:rFonts w:asciiTheme="majorHAnsi" w:hAnsiTheme="majorHAnsi" w:cs="Calibri"/>
                <w:color w:val="000000" w:themeColor="text1"/>
                <w:sz w:val="18"/>
                <w:szCs w:val="18"/>
              </w:rPr>
              <w:t xml:space="preserve">për vitin 2021, </w:t>
            </w:r>
            <w:r w:rsidRPr="04CF5ACA">
              <w:rPr>
                <w:rFonts w:asciiTheme="majorHAnsi" w:hAnsiTheme="majorHAnsi" w:cs="Calibri"/>
                <w:color w:val="000000" w:themeColor="text1"/>
                <w:sz w:val="18"/>
                <w:szCs w:val="18"/>
              </w:rPr>
              <w:t>të publikuara nga ZKA</w:t>
            </w:r>
            <w:r w:rsidR="6B631D96" w:rsidRPr="04CF5ACA">
              <w:rPr>
                <w:rFonts w:asciiTheme="majorHAnsi" w:hAnsiTheme="majorHAnsi" w:cs="Calibri"/>
                <w:color w:val="000000" w:themeColor="text1"/>
                <w:sz w:val="18"/>
                <w:szCs w:val="18"/>
              </w:rPr>
              <w:t xml:space="preserve"> </w:t>
            </w:r>
          </w:p>
        </w:tc>
        <w:tc>
          <w:tcPr>
            <w:tcW w:w="3521" w:type="dxa"/>
            <w:shd w:val="clear" w:color="auto" w:fill="C2D69B" w:themeFill="accent3" w:themeFillTint="99"/>
            <w:vAlign w:val="center"/>
          </w:tcPr>
          <w:p w14:paraId="351F60E1" w14:textId="4760E7EA" w:rsidR="004824FF" w:rsidRPr="00380D79" w:rsidRDefault="004824FF" w:rsidP="004824FF">
            <w:pPr>
              <w:rPr>
                <w:rFonts w:asciiTheme="majorHAnsi" w:hAnsiTheme="majorHAnsi" w:cs="Calibri"/>
                <w:color w:val="000000"/>
                <w:sz w:val="18"/>
                <w:szCs w:val="18"/>
              </w:rPr>
            </w:pPr>
            <w:r w:rsidRPr="00380D79">
              <w:rPr>
                <w:rFonts w:asciiTheme="majorHAnsi" w:hAnsiTheme="majorHAnsi" w:cs="Calibri"/>
                <w:b/>
                <w:color w:val="000000"/>
                <w:sz w:val="18"/>
                <w:szCs w:val="18"/>
              </w:rPr>
              <w:t>Po</w:t>
            </w:r>
            <w:r w:rsidRPr="00380D79">
              <w:rPr>
                <w:rFonts w:asciiTheme="majorHAnsi" w:hAnsiTheme="majorHAnsi" w:cs="Calibri"/>
                <w:color w:val="000000"/>
                <w:sz w:val="18"/>
                <w:szCs w:val="18"/>
              </w:rPr>
              <w:t xml:space="preserve">, </w:t>
            </w:r>
            <w:r w:rsidR="00565E15" w:rsidRPr="00380D79">
              <w:rPr>
                <w:rFonts w:asciiTheme="majorHAnsi" w:hAnsiTheme="majorHAnsi" w:cs="Calibri"/>
                <w:color w:val="000000"/>
                <w:sz w:val="18"/>
                <w:szCs w:val="18"/>
              </w:rPr>
              <w:t>në qoftë se komuna ka shpenzuar së paku 75% ose më tepër të buxhetit final për investime kapitale</w:t>
            </w:r>
            <w:r w:rsidRPr="00380D79">
              <w:rPr>
                <w:rFonts w:asciiTheme="majorHAnsi" w:hAnsiTheme="majorHAnsi" w:cs="Calibri"/>
                <w:color w:val="000000"/>
                <w:sz w:val="18"/>
                <w:szCs w:val="18"/>
              </w:rPr>
              <w:t xml:space="preserve"> </w:t>
            </w:r>
          </w:p>
          <w:p w14:paraId="0FD47208" w14:textId="6BADE461" w:rsidR="004824FF" w:rsidRPr="00380D79" w:rsidRDefault="004824FF">
            <w:pPr>
              <w:rPr>
                <w:rFonts w:asciiTheme="majorHAnsi" w:hAnsiTheme="majorHAnsi"/>
                <w:sz w:val="18"/>
                <w:szCs w:val="18"/>
              </w:rPr>
            </w:pPr>
            <w:r w:rsidRPr="00380D79">
              <w:rPr>
                <w:rFonts w:asciiTheme="majorHAnsi" w:hAnsiTheme="majorHAnsi" w:cs="Calibri"/>
                <w:b/>
                <w:color w:val="000000"/>
                <w:sz w:val="18"/>
                <w:szCs w:val="18"/>
              </w:rPr>
              <w:t>Jo</w:t>
            </w:r>
            <w:r w:rsidRPr="00380D79">
              <w:rPr>
                <w:rFonts w:asciiTheme="majorHAnsi" w:hAnsiTheme="majorHAnsi" w:cs="Calibri"/>
                <w:color w:val="000000"/>
                <w:sz w:val="18"/>
                <w:szCs w:val="18"/>
              </w:rPr>
              <w:t xml:space="preserve">, </w:t>
            </w:r>
            <w:r w:rsidR="00565E15" w:rsidRPr="00380D79">
              <w:rPr>
                <w:rFonts w:asciiTheme="majorHAnsi" w:hAnsiTheme="majorHAnsi" w:cs="Calibri"/>
                <w:color w:val="000000"/>
                <w:sz w:val="18"/>
                <w:szCs w:val="18"/>
              </w:rPr>
              <w:t>në qoftë se komuna ka shpenzuar më pak se 75% të buxhetit final për investime kapitale</w:t>
            </w:r>
            <w:r w:rsidR="00AE6DB7" w:rsidRPr="00380D79">
              <w:rPr>
                <w:rFonts w:asciiTheme="majorHAnsi" w:hAnsiTheme="majorHAnsi" w:cs="Calibri"/>
                <w:color w:val="000000"/>
                <w:sz w:val="18"/>
                <w:szCs w:val="18"/>
              </w:rPr>
              <w:t xml:space="preserve"> </w:t>
            </w:r>
          </w:p>
        </w:tc>
      </w:tr>
    </w:tbl>
    <w:p w14:paraId="431B6FF9" w14:textId="16F4268F" w:rsidR="004824FF" w:rsidRPr="004D2E1C" w:rsidRDefault="004824FF" w:rsidP="00565E15">
      <w:pPr>
        <w:pStyle w:val="Heading1"/>
        <w:shd w:val="clear" w:color="auto" w:fill="D55635"/>
        <w:tabs>
          <w:tab w:val="left" w:pos="540"/>
        </w:tabs>
        <w:rPr>
          <w:rFonts w:asciiTheme="majorHAnsi" w:hAnsiTheme="majorHAnsi"/>
          <w:color w:val="FFFFFF" w:themeColor="background1"/>
          <w:sz w:val="32"/>
          <w:szCs w:val="32"/>
          <w:lang w:val="sq-AL"/>
        </w:rPr>
      </w:pPr>
      <w:r w:rsidRPr="004D2E1C">
        <w:rPr>
          <w:lang w:val="sq-AL"/>
        </w:rPr>
        <w:br w:type="page"/>
      </w:r>
      <w:bookmarkStart w:id="80" w:name="_Toc31029015"/>
      <w:bookmarkStart w:id="81" w:name="_Toc31194813"/>
      <w:bookmarkStart w:id="82" w:name="_Toc61062543"/>
      <w:r w:rsidR="00565E15" w:rsidRPr="004D2E1C">
        <w:rPr>
          <w:rFonts w:asciiTheme="majorHAnsi" w:hAnsiTheme="majorHAnsi"/>
          <w:color w:val="FFFFFF" w:themeColor="background1"/>
          <w:sz w:val="32"/>
          <w:szCs w:val="32"/>
          <w:lang w:val="sq-AL"/>
        </w:rPr>
        <w:lastRenderedPageBreak/>
        <w:t>Sh</w:t>
      </w:r>
      <w:r w:rsidRPr="004D2E1C">
        <w:rPr>
          <w:rFonts w:asciiTheme="majorHAnsi" w:hAnsiTheme="majorHAnsi"/>
          <w:color w:val="FFFFFF" w:themeColor="background1"/>
          <w:sz w:val="32"/>
          <w:szCs w:val="32"/>
          <w:lang w:val="sq-AL"/>
        </w:rPr>
        <w:t>tojca 2: Udhëzues</w:t>
      </w:r>
      <w:r w:rsidR="008579F3">
        <w:rPr>
          <w:rFonts w:asciiTheme="majorHAnsi" w:hAnsiTheme="majorHAnsi"/>
          <w:color w:val="FFFFFF" w:themeColor="background1"/>
          <w:sz w:val="32"/>
          <w:szCs w:val="32"/>
          <w:lang w:val="sq-AL"/>
        </w:rPr>
        <w:t>i p</w:t>
      </w:r>
      <w:r w:rsidR="008579F3" w:rsidRPr="004D2E1C">
        <w:rPr>
          <w:rFonts w:asciiTheme="majorHAnsi" w:hAnsiTheme="majorHAnsi"/>
          <w:color w:val="FFFFFF" w:themeColor="background1"/>
          <w:sz w:val="32"/>
          <w:szCs w:val="32"/>
          <w:lang w:val="sq-AL"/>
        </w:rPr>
        <w:t>ë</w:t>
      </w:r>
      <w:r w:rsidR="008579F3">
        <w:rPr>
          <w:rFonts w:asciiTheme="majorHAnsi" w:hAnsiTheme="majorHAnsi"/>
          <w:color w:val="FFFFFF" w:themeColor="background1"/>
          <w:sz w:val="32"/>
          <w:szCs w:val="32"/>
          <w:lang w:val="sq-AL"/>
        </w:rPr>
        <w:t>r vler</w:t>
      </w:r>
      <w:r w:rsidR="008579F3" w:rsidRPr="004D2E1C">
        <w:rPr>
          <w:rFonts w:asciiTheme="majorHAnsi" w:hAnsiTheme="majorHAnsi"/>
          <w:color w:val="FFFFFF" w:themeColor="background1"/>
          <w:sz w:val="32"/>
          <w:szCs w:val="32"/>
          <w:lang w:val="sq-AL"/>
        </w:rPr>
        <w:t>ë</w:t>
      </w:r>
      <w:r w:rsidR="008579F3">
        <w:rPr>
          <w:rFonts w:asciiTheme="majorHAnsi" w:hAnsiTheme="majorHAnsi"/>
          <w:color w:val="FFFFFF" w:themeColor="background1"/>
          <w:sz w:val="32"/>
          <w:szCs w:val="32"/>
          <w:lang w:val="sq-AL"/>
        </w:rPr>
        <w:t>sim</w:t>
      </w:r>
      <w:r w:rsidRPr="004D2E1C">
        <w:rPr>
          <w:rFonts w:asciiTheme="majorHAnsi" w:hAnsiTheme="majorHAnsi"/>
          <w:color w:val="FFFFFF" w:themeColor="background1"/>
          <w:sz w:val="32"/>
          <w:szCs w:val="32"/>
          <w:lang w:val="sq-AL"/>
        </w:rPr>
        <w:t xml:space="preserve"> – </w:t>
      </w:r>
      <w:r w:rsidR="002E573C">
        <w:rPr>
          <w:rFonts w:asciiTheme="majorHAnsi" w:hAnsiTheme="majorHAnsi"/>
          <w:color w:val="FFFFFF" w:themeColor="background1"/>
          <w:sz w:val="32"/>
          <w:szCs w:val="32"/>
          <w:lang w:val="sq-AL"/>
        </w:rPr>
        <w:t>T</w:t>
      </w:r>
      <w:r w:rsidRPr="004D2E1C">
        <w:rPr>
          <w:rFonts w:asciiTheme="majorHAnsi" w:hAnsiTheme="majorHAnsi"/>
          <w:color w:val="FFFFFF" w:themeColor="background1"/>
          <w:sz w:val="32"/>
          <w:szCs w:val="32"/>
          <w:lang w:val="sq-AL"/>
        </w:rPr>
        <w:t>reguesit e performancës</w:t>
      </w:r>
      <w:bookmarkEnd w:id="80"/>
      <w:bookmarkEnd w:id="81"/>
      <w:bookmarkEnd w:id="82"/>
      <w:r w:rsidRPr="004D2E1C">
        <w:rPr>
          <w:rFonts w:asciiTheme="majorHAnsi" w:hAnsiTheme="majorHAnsi"/>
          <w:color w:val="FFFFFF" w:themeColor="background1"/>
          <w:sz w:val="32"/>
          <w:szCs w:val="32"/>
          <w:lang w:val="sq-AL"/>
        </w:rPr>
        <w:t xml:space="preserve"> </w:t>
      </w:r>
    </w:p>
    <w:p w14:paraId="0EA3750F" w14:textId="77777777" w:rsidR="004824FF" w:rsidRPr="004D2E1C" w:rsidRDefault="004824FF" w:rsidP="004824FF">
      <w:pPr>
        <w:rPr>
          <w:sz w:val="12"/>
          <w:szCs w:val="12"/>
        </w:rPr>
      </w:pPr>
    </w:p>
    <w:p w14:paraId="2FCE6C82" w14:textId="7FCD6971" w:rsidR="004824FF" w:rsidRPr="004D2E1C" w:rsidRDefault="004824FF" w:rsidP="004824FF">
      <w:pPr>
        <w:jc w:val="both"/>
        <w:rPr>
          <w:rFonts w:asciiTheme="majorHAnsi" w:hAnsiTheme="majorHAnsi"/>
          <w:sz w:val="21"/>
          <w:szCs w:val="21"/>
        </w:rPr>
      </w:pPr>
      <w:r w:rsidRPr="004D2E1C">
        <w:rPr>
          <w:rFonts w:asciiTheme="majorHAnsi" w:hAnsiTheme="majorHAnsi"/>
          <w:sz w:val="21"/>
          <w:szCs w:val="21"/>
        </w:rPr>
        <w:t xml:space="preserve">Tabela më poshtë </w:t>
      </w:r>
      <w:r w:rsidRPr="006C3E25">
        <w:rPr>
          <w:rFonts w:asciiTheme="majorHAnsi" w:hAnsiTheme="majorHAnsi"/>
          <w:sz w:val="21"/>
          <w:szCs w:val="21"/>
        </w:rPr>
        <w:t xml:space="preserve">paraqet </w:t>
      </w:r>
      <w:r w:rsidR="006C3E25" w:rsidRPr="006C3E25">
        <w:rPr>
          <w:rFonts w:asciiTheme="majorHAnsi" w:hAnsiTheme="majorHAnsi"/>
          <w:sz w:val="21"/>
          <w:szCs w:val="21"/>
        </w:rPr>
        <w:t>30</w:t>
      </w:r>
      <w:r w:rsidRPr="004D2E1C">
        <w:rPr>
          <w:rFonts w:asciiTheme="majorHAnsi" w:hAnsiTheme="majorHAnsi"/>
          <w:sz w:val="21"/>
          <w:szCs w:val="21"/>
        </w:rPr>
        <w:t xml:space="preserve"> treguesit e performancës. Mënyra se si maten treguesit nga SMP</w:t>
      </w:r>
      <w:r w:rsidR="005D73BA">
        <w:rPr>
          <w:rFonts w:asciiTheme="majorHAnsi" w:hAnsiTheme="majorHAnsi"/>
          <w:sz w:val="21"/>
          <w:szCs w:val="21"/>
        </w:rPr>
        <w:t>K</w:t>
      </w:r>
      <w:r w:rsidRPr="004D2E1C">
        <w:rPr>
          <w:rFonts w:asciiTheme="majorHAnsi" w:hAnsiTheme="majorHAnsi"/>
          <w:sz w:val="21"/>
          <w:szCs w:val="21"/>
        </w:rPr>
        <w:t>, është përshkruar në dokumentet e SMP</w:t>
      </w:r>
      <w:r w:rsidR="005D73BA">
        <w:rPr>
          <w:rFonts w:asciiTheme="majorHAnsi" w:hAnsiTheme="majorHAnsi"/>
          <w:sz w:val="21"/>
          <w:szCs w:val="21"/>
        </w:rPr>
        <w:t>K</w:t>
      </w:r>
      <w:r w:rsidRPr="004D2E1C">
        <w:rPr>
          <w:rFonts w:asciiTheme="majorHAnsi" w:hAnsiTheme="majorHAnsi"/>
          <w:sz w:val="21"/>
          <w:szCs w:val="21"/>
        </w:rPr>
        <w:t xml:space="preserve">-së. </w:t>
      </w:r>
      <w:r w:rsidR="00923C7A">
        <w:rPr>
          <w:rFonts w:asciiTheme="majorHAnsi" w:hAnsiTheme="majorHAnsi"/>
          <w:sz w:val="21"/>
          <w:szCs w:val="21"/>
        </w:rPr>
        <w:t>N</w:t>
      </w:r>
      <w:r w:rsidR="009376F7">
        <w:rPr>
          <w:rFonts w:asciiTheme="majorHAnsi" w:hAnsiTheme="majorHAnsi"/>
          <w:sz w:val="21"/>
          <w:szCs w:val="21"/>
        </w:rPr>
        <w:t>ë</w:t>
      </w:r>
      <w:r w:rsidR="00923C7A">
        <w:rPr>
          <w:rFonts w:asciiTheme="majorHAnsi" w:hAnsiTheme="majorHAnsi"/>
          <w:sz w:val="21"/>
          <w:szCs w:val="21"/>
        </w:rPr>
        <w:t xml:space="preserve"> tabelën më poshtë janë dhënë përkufiz</w:t>
      </w:r>
      <w:r w:rsidR="009376F7">
        <w:rPr>
          <w:rFonts w:asciiTheme="majorHAnsi" w:hAnsiTheme="majorHAnsi"/>
          <w:sz w:val="21"/>
          <w:szCs w:val="21"/>
        </w:rPr>
        <w:t>im</w:t>
      </w:r>
      <w:r w:rsidR="00923C7A">
        <w:rPr>
          <w:rFonts w:asciiTheme="majorHAnsi" w:hAnsiTheme="majorHAnsi"/>
          <w:sz w:val="21"/>
          <w:szCs w:val="21"/>
        </w:rPr>
        <w:t xml:space="preserve">et e shkurtëra se si </w:t>
      </w:r>
      <w:r w:rsidRPr="004D2E1C">
        <w:rPr>
          <w:rFonts w:asciiTheme="majorHAnsi" w:hAnsiTheme="majorHAnsi"/>
          <w:sz w:val="21"/>
          <w:szCs w:val="21"/>
        </w:rPr>
        <w:t>m</w:t>
      </w:r>
      <w:r w:rsidR="005D73BA">
        <w:rPr>
          <w:rFonts w:asciiTheme="majorHAnsi" w:hAnsiTheme="majorHAnsi"/>
          <w:sz w:val="21"/>
          <w:szCs w:val="21"/>
        </w:rPr>
        <w:t>aten treguesit</w:t>
      </w:r>
      <w:r w:rsidR="00923C7A">
        <w:rPr>
          <w:rFonts w:asciiTheme="majorHAnsi" w:hAnsiTheme="majorHAnsi"/>
          <w:sz w:val="21"/>
          <w:szCs w:val="21"/>
        </w:rPr>
        <w:t xml:space="preserve">. </w:t>
      </w:r>
      <w:r w:rsidRPr="004D2E1C">
        <w:rPr>
          <w:rFonts w:asciiTheme="majorHAnsi" w:hAnsiTheme="majorHAnsi"/>
          <w:sz w:val="21"/>
          <w:szCs w:val="21"/>
        </w:rPr>
        <w:t>Treguesi</w:t>
      </w:r>
      <w:r w:rsidR="00B94AE1">
        <w:rPr>
          <w:rFonts w:asciiTheme="majorHAnsi" w:hAnsiTheme="majorHAnsi"/>
          <w:sz w:val="21"/>
          <w:szCs w:val="21"/>
        </w:rPr>
        <w:t>t:</w:t>
      </w:r>
      <w:r w:rsidR="001B4DC8">
        <w:rPr>
          <w:rFonts w:asciiTheme="majorHAnsi" w:hAnsiTheme="majorHAnsi"/>
          <w:sz w:val="21"/>
          <w:szCs w:val="21"/>
        </w:rPr>
        <w:t xml:space="preserve"> </w:t>
      </w:r>
      <w:r w:rsidR="00B94AE1">
        <w:rPr>
          <w:rFonts w:asciiTheme="majorHAnsi" w:hAnsiTheme="majorHAnsi"/>
          <w:sz w:val="21"/>
          <w:szCs w:val="21"/>
        </w:rPr>
        <w:t xml:space="preserve">nr. 3, </w:t>
      </w:r>
      <w:r w:rsidR="000041DD">
        <w:rPr>
          <w:rFonts w:asciiTheme="majorHAnsi" w:hAnsiTheme="majorHAnsi"/>
          <w:sz w:val="21"/>
          <w:szCs w:val="21"/>
        </w:rPr>
        <w:t xml:space="preserve">nr. 19 dhe </w:t>
      </w:r>
      <w:r w:rsidR="00F57C3C">
        <w:rPr>
          <w:rFonts w:asciiTheme="majorHAnsi" w:hAnsiTheme="majorHAnsi"/>
          <w:sz w:val="21"/>
          <w:szCs w:val="21"/>
        </w:rPr>
        <w:t>nr</w:t>
      </w:r>
      <w:r w:rsidR="006B67DB">
        <w:rPr>
          <w:rFonts w:asciiTheme="majorHAnsi" w:hAnsiTheme="majorHAnsi"/>
          <w:sz w:val="21"/>
          <w:szCs w:val="21"/>
        </w:rPr>
        <w:t>.</w:t>
      </w:r>
      <w:r w:rsidR="00F57C3C">
        <w:rPr>
          <w:rFonts w:asciiTheme="majorHAnsi" w:hAnsiTheme="majorHAnsi"/>
          <w:sz w:val="21"/>
          <w:szCs w:val="21"/>
        </w:rPr>
        <w:t xml:space="preserve"> 27 nuk merret p</w:t>
      </w:r>
      <w:r w:rsidR="00C87181">
        <w:rPr>
          <w:rFonts w:asciiTheme="majorHAnsi" w:hAnsiTheme="majorHAnsi"/>
          <w:sz w:val="21"/>
          <w:szCs w:val="21"/>
        </w:rPr>
        <w:t>ë</w:t>
      </w:r>
      <w:r w:rsidR="00F57C3C">
        <w:rPr>
          <w:rFonts w:asciiTheme="majorHAnsi" w:hAnsiTheme="majorHAnsi"/>
          <w:sz w:val="21"/>
          <w:szCs w:val="21"/>
        </w:rPr>
        <w:t>r baz</w:t>
      </w:r>
      <w:r w:rsidR="00C87181">
        <w:rPr>
          <w:rFonts w:asciiTheme="majorHAnsi" w:hAnsiTheme="majorHAnsi"/>
          <w:sz w:val="21"/>
          <w:szCs w:val="21"/>
        </w:rPr>
        <w:t>ë</w:t>
      </w:r>
      <w:r w:rsidR="00F57C3C">
        <w:rPr>
          <w:rFonts w:asciiTheme="majorHAnsi" w:hAnsiTheme="majorHAnsi"/>
          <w:sz w:val="21"/>
          <w:szCs w:val="21"/>
        </w:rPr>
        <w:t xml:space="preserve"> n</w:t>
      </w:r>
      <w:r w:rsidR="00C87181">
        <w:rPr>
          <w:rFonts w:asciiTheme="majorHAnsi" w:hAnsiTheme="majorHAnsi"/>
          <w:sz w:val="21"/>
          <w:szCs w:val="21"/>
        </w:rPr>
        <w:t>ë</w:t>
      </w:r>
      <w:r w:rsidR="00F57C3C">
        <w:rPr>
          <w:rFonts w:asciiTheme="majorHAnsi" w:hAnsiTheme="majorHAnsi"/>
          <w:sz w:val="21"/>
          <w:szCs w:val="21"/>
        </w:rPr>
        <w:t xml:space="preserve"> vler</w:t>
      </w:r>
      <w:r w:rsidR="00C87181">
        <w:rPr>
          <w:rFonts w:asciiTheme="majorHAnsi" w:hAnsiTheme="majorHAnsi"/>
          <w:sz w:val="21"/>
          <w:szCs w:val="21"/>
        </w:rPr>
        <w:t>ë</w:t>
      </w:r>
      <w:r w:rsidR="00F57C3C">
        <w:rPr>
          <w:rFonts w:asciiTheme="majorHAnsi" w:hAnsiTheme="majorHAnsi"/>
          <w:sz w:val="21"/>
          <w:szCs w:val="21"/>
        </w:rPr>
        <w:t xml:space="preserve">simin </w:t>
      </w:r>
      <w:r w:rsidR="009F705A">
        <w:rPr>
          <w:rFonts w:asciiTheme="majorHAnsi" w:hAnsiTheme="majorHAnsi"/>
          <w:sz w:val="21"/>
          <w:szCs w:val="21"/>
        </w:rPr>
        <w:t>p</w:t>
      </w:r>
      <w:r w:rsidR="00494E44">
        <w:rPr>
          <w:rFonts w:asciiTheme="majorHAnsi" w:hAnsiTheme="majorHAnsi"/>
          <w:sz w:val="21"/>
          <w:szCs w:val="21"/>
        </w:rPr>
        <w:t>ë</w:t>
      </w:r>
      <w:r w:rsidR="009F705A">
        <w:rPr>
          <w:rFonts w:asciiTheme="majorHAnsi" w:hAnsiTheme="majorHAnsi"/>
          <w:sz w:val="21"/>
          <w:szCs w:val="21"/>
        </w:rPr>
        <w:t>r performanc</w:t>
      </w:r>
      <w:r w:rsidR="00494E44">
        <w:rPr>
          <w:rFonts w:asciiTheme="majorHAnsi" w:hAnsiTheme="majorHAnsi"/>
          <w:sz w:val="21"/>
          <w:szCs w:val="21"/>
        </w:rPr>
        <w:t>ë</w:t>
      </w:r>
      <w:r w:rsidR="009F705A">
        <w:rPr>
          <w:rFonts w:asciiTheme="majorHAnsi" w:hAnsiTheme="majorHAnsi"/>
          <w:sz w:val="21"/>
          <w:szCs w:val="21"/>
        </w:rPr>
        <w:t xml:space="preserve">n e vitit </w:t>
      </w:r>
      <w:r w:rsidR="009F705A" w:rsidRPr="04CF5ACA">
        <w:rPr>
          <w:rFonts w:asciiTheme="majorHAnsi" w:hAnsiTheme="majorHAnsi"/>
          <w:sz w:val="21"/>
          <w:szCs w:val="21"/>
        </w:rPr>
        <w:t>20</w:t>
      </w:r>
      <w:r w:rsidR="10B6C0E0" w:rsidRPr="04CF5ACA">
        <w:rPr>
          <w:rFonts w:asciiTheme="majorHAnsi" w:hAnsiTheme="majorHAnsi"/>
          <w:sz w:val="21"/>
          <w:szCs w:val="21"/>
        </w:rPr>
        <w:t>2</w:t>
      </w:r>
      <w:r w:rsidR="00B94AE1">
        <w:rPr>
          <w:rFonts w:asciiTheme="majorHAnsi" w:hAnsiTheme="majorHAnsi"/>
          <w:sz w:val="21"/>
          <w:szCs w:val="21"/>
        </w:rPr>
        <w:t>1</w:t>
      </w:r>
      <w:r w:rsidR="00C52823">
        <w:rPr>
          <w:rFonts w:asciiTheme="majorHAnsi" w:hAnsiTheme="majorHAnsi"/>
          <w:sz w:val="21"/>
          <w:szCs w:val="21"/>
        </w:rPr>
        <w:t xml:space="preserve"> të GPK p</w:t>
      </w:r>
      <w:r w:rsidR="00E04BE3">
        <w:rPr>
          <w:rFonts w:asciiTheme="majorHAnsi" w:hAnsiTheme="majorHAnsi"/>
          <w:sz w:val="21"/>
          <w:szCs w:val="21"/>
        </w:rPr>
        <w:t>ë</w:t>
      </w:r>
      <w:r w:rsidR="00C52823">
        <w:rPr>
          <w:rFonts w:asciiTheme="majorHAnsi" w:hAnsiTheme="majorHAnsi"/>
          <w:sz w:val="21"/>
          <w:szCs w:val="21"/>
        </w:rPr>
        <w:t>r vitin fiskal 202</w:t>
      </w:r>
      <w:r w:rsidR="00B94AE1">
        <w:rPr>
          <w:rFonts w:asciiTheme="majorHAnsi" w:hAnsiTheme="majorHAnsi"/>
          <w:sz w:val="21"/>
          <w:szCs w:val="21"/>
        </w:rPr>
        <w:t>3.</w:t>
      </w:r>
    </w:p>
    <w:p w14:paraId="1D258993" w14:textId="77777777" w:rsidR="004824FF" w:rsidRPr="004D2E1C" w:rsidRDefault="004824FF" w:rsidP="004824FF">
      <w:pPr>
        <w:jc w:val="both"/>
        <w:rPr>
          <w:sz w:val="10"/>
          <w:szCs w:val="10"/>
        </w:rPr>
      </w:pPr>
    </w:p>
    <w:p w14:paraId="441B97C8" w14:textId="77777777" w:rsidR="004824FF" w:rsidRPr="004D2E1C" w:rsidRDefault="004824FF" w:rsidP="004824FF">
      <w:pPr>
        <w:rPr>
          <w:sz w:val="12"/>
          <w:szCs w:val="12"/>
        </w:rPr>
      </w:pPr>
    </w:p>
    <w:tbl>
      <w:tblPr>
        <w:tblpPr w:leftFromText="180" w:rightFromText="180" w:vertAnchor="text" w:tblpXSpec="center" w:tblpY="1"/>
        <w:tblOverlap w:val="never"/>
        <w:tblW w:w="13140" w:type="dxa"/>
        <w:tblLayout w:type="fixed"/>
        <w:tblLook w:val="04A0" w:firstRow="1" w:lastRow="0" w:firstColumn="1" w:lastColumn="0" w:noHBand="0" w:noVBand="1"/>
      </w:tblPr>
      <w:tblGrid>
        <w:gridCol w:w="562"/>
        <w:gridCol w:w="5529"/>
        <w:gridCol w:w="7049"/>
      </w:tblGrid>
      <w:tr w:rsidR="00F82FD3" w:rsidRPr="0050117C" w14:paraId="12479B1A" w14:textId="77777777" w:rsidTr="07D96137">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19AA327" w14:textId="77777777" w:rsidR="00F82FD3" w:rsidRPr="001D245D" w:rsidRDefault="00F82FD3">
            <w:pPr>
              <w:spacing w:before="20" w:after="20"/>
              <w:contextualSpacing/>
              <w:rPr>
                <w:rFonts w:asciiTheme="majorHAnsi" w:hAnsiTheme="majorHAnsi" w:cstheme="majorHAnsi"/>
                <w:color w:val="000000"/>
                <w:sz w:val="19"/>
                <w:szCs w:val="19"/>
              </w:rPr>
            </w:pPr>
            <w:r w:rsidRPr="001D245D">
              <w:rPr>
                <w:rFonts w:asciiTheme="majorHAnsi" w:hAnsiTheme="majorHAnsi" w:cstheme="majorHAnsi"/>
                <w:color w:val="000000"/>
                <w:sz w:val="19"/>
                <w:szCs w:val="19"/>
              </w:rPr>
              <w:t>#</w:t>
            </w:r>
          </w:p>
        </w:tc>
        <w:tc>
          <w:tcPr>
            <w:tcW w:w="552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47204A8" w14:textId="77777777" w:rsidR="00F82FD3" w:rsidRPr="001D245D" w:rsidRDefault="00F82FD3">
            <w:pPr>
              <w:spacing w:before="20" w:after="20"/>
              <w:contextualSpacing/>
              <w:outlineLvl w:val="2"/>
              <w:rPr>
                <w:rFonts w:asciiTheme="majorHAnsi" w:hAnsiTheme="majorHAnsi" w:cstheme="majorHAnsi"/>
                <w:color w:val="000000"/>
                <w:sz w:val="19"/>
                <w:szCs w:val="19"/>
              </w:rPr>
            </w:pPr>
            <w:r w:rsidRPr="001D245D">
              <w:rPr>
                <w:rFonts w:asciiTheme="majorHAnsi" w:hAnsiTheme="majorHAnsi" w:cstheme="majorHAnsi"/>
                <w:color w:val="000000"/>
                <w:sz w:val="19"/>
                <w:szCs w:val="19"/>
              </w:rPr>
              <w:t>Treguesi</w:t>
            </w:r>
          </w:p>
        </w:tc>
        <w:tc>
          <w:tcPr>
            <w:tcW w:w="704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52973AE" w14:textId="77777777" w:rsidR="00F82FD3" w:rsidRPr="001D245D" w:rsidRDefault="00F82FD3">
            <w:pPr>
              <w:spacing w:before="20" w:after="20"/>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 xml:space="preserve">Përkufizimi i shkurtër </w:t>
            </w:r>
          </w:p>
        </w:tc>
      </w:tr>
      <w:tr w:rsidR="00A05BAE" w:rsidRPr="0050117C" w14:paraId="4529C67D" w14:textId="77777777" w:rsidTr="07D96137">
        <w:trPr>
          <w:trHeight w:val="300"/>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6015F375" w14:textId="77777777" w:rsidR="00A05BAE" w:rsidRPr="00A05BAE" w:rsidRDefault="00A05BAE">
            <w:pPr>
              <w:spacing w:before="20" w:after="20"/>
              <w:contextualSpacing/>
              <w:rPr>
                <w:rFonts w:asciiTheme="majorHAnsi" w:hAnsiTheme="majorHAnsi" w:cstheme="majorHAnsi"/>
                <w:b/>
                <w:color w:val="000000"/>
                <w:sz w:val="19"/>
                <w:szCs w:val="19"/>
              </w:rPr>
            </w:pPr>
            <w:r>
              <w:rPr>
                <w:rFonts w:asciiTheme="majorHAnsi" w:hAnsiTheme="majorHAnsi" w:cstheme="majorHAnsi"/>
                <w:b/>
                <w:color w:val="000000"/>
                <w:sz w:val="19"/>
                <w:szCs w:val="19"/>
              </w:rPr>
              <w:t>I . QEVERISJA DEMOKRATIKE</w:t>
            </w:r>
          </w:p>
        </w:tc>
      </w:tr>
      <w:tr w:rsidR="00A05BAE" w:rsidRPr="0050117C" w14:paraId="72C82958" w14:textId="77777777" w:rsidTr="07D96137">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EB09455" w14:textId="77777777" w:rsidR="00A05BAE" w:rsidRPr="00A05BAE" w:rsidRDefault="00A05BAE">
            <w:pPr>
              <w:spacing w:before="20" w:after="20"/>
              <w:contextualSpacing/>
              <w:rPr>
                <w:rFonts w:ascii="Calibri Light" w:hAnsi="Calibri Light" w:cs="Calibri Light"/>
                <w:b/>
                <w:color w:val="000000"/>
                <w:sz w:val="20"/>
                <w:szCs w:val="19"/>
              </w:rPr>
            </w:pPr>
            <w:r w:rsidRPr="00A05BAE">
              <w:rPr>
                <w:rFonts w:ascii="Calibri Light" w:hAnsi="Calibri Light" w:cs="Calibri Light"/>
                <w:b/>
                <w:sz w:val="20"/>
              </w:rPr>
              <w:t>I</w:t>
            </w:r>
          </w:p>
        </w:tc>
        <w:tc>
          <w:tcPr>
            <w:tcW w:w="12578" w:type="dxa"/>
            <w:gridSpan w:val="2"/>
            <w:tcBorders>
              <w:top w:val="single" w:sz="4" w:space="0" w:color="auto"/>
              <w:left w:val="nil"/>
              <w:bottom w:val="single" w:sz="4" w:space="0" w:color="auto"/>
              <w:right w:val="single" w:sz="4" w:space="0" w:color="auto"/>
            </w:tcBorders>
            <w:shd w:val="clear" w:color="auto" w:fill="A6A6A6" w:themeFill="background1" w:themeFillShade="A6"/>
          </w:tcPr>
          <w:p w14:paraId="07376270" w14:textId="77777777" w:rsidR="00A05BAE" w:rsidRPr="00A05BAE" w:rsidRDefault="00A05BAE">
            <w:pPr>
              <w:spacing w:before="20" w:after="20"/>
              <w:contextualSpacing/>
              <w:rPr>
                <w:rFonts w:ascii="Calibri Light" w:hAnsi="Calibri Light" w:cs="Calibri Light"/>
                <w:b/>
                <w:color w:val="000000"/>
                <w:sz w:val="20"/>
                <w:szCs w:val="19"/>
              </w:rPr>
            </w:pPr>
            <w:r w:rsidRPr="00A05BAE">
              <w:rPr>
                <w:rFonts w:ascii="Calibri Light" w:hAnsi="Calibri Light" w:cs="Calibri Light"/>
                <w:b/>
                <w:sz w:val="20"/>
              </w:rPr>
              <w:t>Roli i kuvendit komunal si organ mbikëqyrës</w:t>
            </w:r>
          </w:p>
        </w:tc>
      </w:tr>
      <w:tr w:rsidR="00F82FD3" w:rsidRPr="0050117C" w14:paraId="1E3D7F3C" w14:textId="77777777" w:rsidTr="07D96137">
        <w:trPr>
          <w:trHeight w:val="51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03E6F9D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w:t>
            </w:r>
          </w:p>
        </w:tc>
        <w:tc>
          <w:tcPr>
            <w:tcW w:w="5529" w:type="dxa"/>
            <w:tcBorders>
              <w:top w:val="nil"/>
              <w:left w:val="nil"/>
              <w:bottom w:val="single" w:sz="4" w:space="0" w:color="auto"/>
              <w:right w:val="single" w:sz="4" w:space="0" w:color="auto"/>
            </w:tcBorders>
            <w:shd w:val="clear" w:color="auto" w:fill="C2D69B" w:themeFill="accent3" w:themeFillTint="99"/>
            <w:vAlign w:val="center"/>
            <w:hideMark/>
          </w:tcPr>
          <w:p w14:paraId="4F0ADA02" w14:textId="77777777" w:rsidR="00F82FD3" w:rsidRPr="008A3223" w:rsidRDefault="00122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Miratimi me kohë i propozim buxhetit vjetor</w:t>
            </w:r>
            <w:r w:rsidRPr="008A3223">
              <w:rPr>
                <w:rFonts w:asciiTheme="majorHAnsi" w:hAnsiTheme="majorHAnsi" w:cstheme="majorHAnsi"/>
                <w:color w:val="000000" w:themeColor="text1"/>
              </w:rPr>
              <w:t xml:space="preserve"> </w:t>
            </w:r>
            <w:r w:rsidRPr="008A3223">
              <w:rPr>
                <w:rFonts w:asciiTheme="majorHAnsi" w:hAnsiTheme="majorHAnsi" w:cstheme="majorHAnsi"/>
                <w:color w:val="000000" w:themeColor="text1"/>
                <w:sz w:val="19"/>
                <w:szCs w:val="19"/>
              </w:rPr>
              <w:t>komunal</w:t>
            </w:r>
          </w:p>
        </w:tc>
        <w:tc>
          <w:tcPr>
            <w:tcW w:w="7049" w:type="dxa"/>
            <w:tcBorders>
              <w:top w:val="nil"/>
              <w:left w:val="nil"/>
              <w:bottom w:val="single" w:sz="4" w:space="0" w:color="auto"/>
              <w:right w:val="single" w:sz="4" w:space="0" w:color="auto"/>
            </w:tcBorders>
            <w:shd w:val="clear" w:color="auto" w:fill="C2D69B" w:themeFill="accent3" w:themeFillTint="99"/>
            <w:vAlign w:val="center"/>
            <w:hideMark/>
          </w:tcPr>
          <w:p w14:paraId="6E5A6E11" w14:textId="77777777" w:rsidR="00F82FD3"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nivelin e përmbushjes së detyrimit ligjor nga ana e organeve komunale për të hartuar dhe dorëzuar propozimin e buxhetit komunal për miratim, dhe miratimin e tij nga kuvendi komunal. Propozimi vjetor i buxhetit komunal për vitin n+1 duhet të dorëzohet në KK më 1 shtator, më së voni. Propozimi i buxhetit duhet të miratohet nga KK-ja dhe të dorëzohet në Ministrinë e Financave më 30 shtator, më së voni. Baza ligjore lidhur me hartimin dhe miratimin e propozimit vjetor të buxhetit është dhënë nga Ligji për Menaxhimin e Financave Publike dhe Përgjegjësitë. Matja e performancës së këtij treguesi bazohet në matjen e: i) dorëzimit me kohë të propozimit të buxhetit komunal në KK dhe ii) dorëzimit me kohë të propozimit të miratuar të buxhetit komunal në Ministrinë e Financave.</w:t>
            </w:r>
          </w:p>
        </w:tc>
      </w:tr>
      <w:tr w:rsidR="00F82FD3" w:rsidRPr="0050117C" w14:paraId="39275023" w14:textId="77777777" w:rsidTr="07D96137">
        <w:trPr>
          <w:trHeight w:val="494"/>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3846DA6B"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w:t>
            </w:r>
          </w:p>
        </w:tc>
        <w:tc>
          <w:tcPr>
            <w:tcW w:w="5529" w:type="dxa"/>
            <w:tcBorders>
              <w:top w:val="nil"/>
              <w:left w:val="nil"/>
              <w:bottom w:val="single" w:sz="4" w:space="0" w:color="auto"/>
              <w:right w:val="single" w:sz="4" w:space="0" w:color="auto"/>
            </w:tcBorders>
            <w:shd w:val="clear" w:color="auto" w:fill="C4D79B"/>
            <w:vAlign w:val="center"/>
            <w:hideMark/>
          </w:tcPr>
          <w:p w14:paraId="11360880"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Diskutim</w:t>
            </w:r>
            <w:r w:rsidR="00122C48" w:rsidRPr="008A3223">
              <w:rPr>
                <w:rFonts w:asciiTheme="majorHAnsi" w:hAnsiTheme="majorHAnsi" w:cstheme="majorHAnsi"/>
                <w:color w:val="000000" w:themeColor="text1"/>
                <w:sz w:val="19"/>
                <w:szCs w:val="19"/>
              </w:rPr>
              <w:t>e</w:t>
            </w:r>
            <w:r w:rsidRPr="008A3223">
              <w:rPr>
                <w:rFonts w:asciiTheme="majorHAnsi" w:hAnsiTheme="majorHAnsi" w:cstheme="majorHAnsi"/>
                <w:color w:val="000000" w:themeColor="text1"/>
                <w:sz w:val="19"/>
                <w:szCs w:val="19"/>
              </w:rPr>
              <w:t xml:space="preserve"> për raportet tremujore buxhetore nga Kuvendi Komunal</w:t>
            </w:r>
          </w:p>
        </w:tc>
        <w:tc>
          <w:tcPr>
            <w:tcW w:w="7049" w:type="dxa"/>
            <w:tcBorders>
              <w:top w:val="nil"/>
              <w:left w:val="nil"/>
              <w:bottom w:val="single" w:sz="4" w:space="0" w:color="auto"/>
              <w:right w:val="single" w:sz="4" w:space="0" w:color="auto"/>
            </w:tcBorders>
            <w:shd w:val="clear" w:color="auto" w:fill="C4D79B"/>
            <w:vAlign w:val="center"/>
          </w:tcPr>
          <w:p w14:paraId="60F0D0DE" w14:textId="77777777" w:rsidR="00D11982"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përmbushjen e detyrimit ligjor nga ana e autoriteteve komunale për t'i paraqitur dhe për t'i diskutuar raportet tremujore buxhetore në kuvendin komunal. Raportet buxhetore duhet të dorëzohen për diskutim çdo tre muaj në kuvendin komunal, d.m.th., raportet duhet të dorëzohen në kuvendin komunal nga kryetari i komunës.</w:t>
            </w:r>
          </w:p>
          <w:p w14:paraId="1189C199" w14:textId="77777777" w:rsidR="00D11982"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Baza ligjore për përgatitjen dhe paraqitjen e raporteve tremujore buxhetore në KK është dhënë në Ligjin për Menaxhimit të Financave Publike dhe Përgjegjësisë.</w:t>
            </w:r>
          </w:p>
          <w:p w14:paraId="6CD4C21A" w14:textId="77777777" w:rsidR="00F82FD3"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Matja e performancës së këtij treguesi bazohet në matjen e paraqitjes në kohë të raporteve tremujore (brenda 30 ditëve nga përfundimi i tremujorit) nga ana e kryetarit të </w:t>
            </w:r>
            <w:r w:rsidR="001B4DC8">
              <w:rPr>
                <w:rFonts w:asciiTheme="majorHAnsi" w:hAnsiTheme="majorHAnsi" w:cstheme="majorHAnsi"/>
                <w:color w:val="000000" w:themeColor="text1"/>
                <w:sz w:val="19"/>
                <w:szCs w:val="19"/>
              </w:rPr>
              <w:t>k</w:t>
            </w:r>
            <w:r w:rsidRPr="008A3223">
              <w:rPr>
                <w:rFonts w:asciiTheme="majorHAnsi" w:hAnsiTheme="majorHAnsi" w:cstheme="majorHAnsi"/>
                <w:color w:val="000000" w:themeColor="text1"/>
                <w:sz w:val="19"/>
                <w:szCs w:val="19"/>
              </w:rPr>
              <w:t>omunës para KK-së, për secilin tremujor; duke vëzhguar respektimin e datave: 31 janar, 30 prill, 31 korrik dhe 31 tetor të vitit fiskal të vlerësuar.</w:t>
            </w:r>
          </w:p>
        </w:tc>
      </w:tr>
      <w:tr w:rsidR="00F82FD3" w:rsidRPr="0050117C" w14:paraId="4F31500D" w14:textId="77777777" w:rsidTr="00CD55EA">
        <w:trPr>
          <w:trHeight w:val="653"/>
        </w:trPr>
        <w:tc>
          <w:tcPr>
            <w:tcW w:w="562" w:type="dxa"/>
            <w:tcBorders>
              <w:top w:val="nil"/>
              <w:left w:val="single" w:sz="4" w:space="0" w:color="auto"/>
              <w:bottom w:val="single" w:sz="4" w:space="0" w:color="auto"/>
              <w:right w:val="single" w:sz="4" w:space="0" w:color="auto"/>
            </w:tcBorders>
            <w:shd w:val="clear" w:color="auto" w:fill="FFC000"/>
            <w:noWrap/>
            <w:vAlign w:val="center"/>
            <w:hideMark/>
          </w:tcPr>
          <w:p w14:paraId="343A2FBF"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3</w:t>
            </w:r>
          </w:p>
        </w:tc>
        <w:tc>
          <w:tcPr>
            <w:tcW w:w="5529" w:type="dxa"/>
            <w:tcBorders>
              <w:top w:val="nil"/>
              <w:left w:val="nil"/>
              <w:bottom w:val="single" w:sz="4" w:space="0" w:color="auto"/>
              <w:right w:val="single" w:sz="4" w:space="0" w:color="auto"/>
            </w:tcBorders>
            <w:shd w:val="clear" w:color="auto" w:fill="FFC000"/>
            <w:vAlign w:val="center"/>
            <w:hideMark/>
          </w:tcPr>
          <w:p w14:paraId="374694D8"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Diskutimi për raportin e performancës komunale nga Kuvendi Komunal për vitin </w:t>
            </w:r>
            <w:r w:rsidR="00AE6DB7" w:rsidRPr="008A3223">
              <w:rPr>
                <w:rFonts w:asciiTheme="majorHAnsi" w:hAnsiTheme="majorHAnsi" w:cstheme="majorHAnsi"/>
                <w:color w:val="000000" w:themeColor="text1"/>
                <w:sz w:val="19"/>
                <w:szCs w:val="19"/>
              </w:rPr>
              <w:t>paraprak</w:t>
            </w:r>
          </w:p>
        </w:tc>
        <w:tc>
          <w:tcPr>
            <w:tcW w:w="7049" w:type="dxa"/>
            <w:tcBorders>
              <w:top w:val="nil"/>
              <w:left w:val="nil"/>
              <w:bottom w:val="single" w:sz="4" w:space="0" w:color="auto"/>
              <w:right w:val="single" w:sz="4" w:space="0" w:color="auto"/>
            </w:tcBorders>
            <w:shd w:val="clear" w:color="auto" w:fill="FFC000"/>
            <w:vAlign w:val="center"/>
            <w:hideMark/>
          </w:tcPr>
          <w:p w14:paraId="29C8EFDF"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përmbushjen e detyrimeve ligjore nga ana e komunës për t'i paraqitur dhe për t'i diskutuar rezultatet e performancës vjetore komunale nga Sistemi i Menaxhimit të Performancës Komunale (SMPK) në KK. Për qëllime vlerësimi, Raporti Komunal i </w:t>
            </w:r>
            <w:r w:rsidRPr="008A3223">
              <w:rPr>
                <w:rFonts w:asciiTheme="majorHAnsi" w:hAnsiTheme="majorHAnsi" w:cstheme="majorHAnsi"/>
                <w:color w:val="000000" w:themeColor="text1"/>
                <w:sz w:val="19"/>
                <w:szCs w:val="19"/>
              </w:rPr>
              <w:lastRenderedPageBreak/>
              <w:t>Performancës (viti n-1) duhet të jetë pikë e rendit të ditës në një nga mbledhjet e KK-së para qershorit (viti n).</w:t>
            </w:r>
          </w:p>
          <w:p w14:paraId="1CA709D7"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Përmes këtij treguesi, KK-ja është në gjendje të diskutojë çdo vit dhe ta mbajë ekzekutivin llogaridhënës për punën e komunës. Matja e performancës së këtij treguesi bazohet në matjen e paraqitjes në kohë të raportit, në mënyrë specifike kërkohet të dëshmohet si vërtetim se raporti i </w:t>
            </w:r>
            <w:r w:rsidR="002208C2" w:rsidRPr="008A3223">
              <w:rPr>
                <w:rFonts w:asciiTheme="majorHAnsi" w:hAnsiTheme="majorHAnsi" w:cstheme="majorHAnsi"/>
                <w:color w:val="000000" w:themeColor="text1"/>
                <w:sz w:val="19"/>
                <w:szCs w:val="19"/>
              </w:rPr>
              <w:t>SMPK-s</w:t>
            </w:r>
            <w:r w:rsidR="007B6F16" w:rsidRPr="008A3223">
              <w:rPr>
                <w:rFonts w:asciiTheme="majorHAnsi" w:hAnsiTheme="majorHAnsi" w:cstheme="majorHAnsi"/>
                <w:color w:val="000000" w:themeColor="text1"/>
                <w:sz w:val="19"/>
                <w:szCs w:val="19"/>
              </w:rPr>
              <w:t>ë</w:t>
            </w:r>
            <w:r w:rsidR="002208C2" w:rsidRPr="008A3223">
              <w:rPr>
                <w:rFonts w:asciiTheme="majorHAnsi" w:hAnsiTheme="majorHAnsi" w:cstheme="majorHAnsi"/>
                <w:color w:val="000000" w:themeColor="text1"/>
                <w:sz w:val="19"/>
                <w:szCs w:val="19"/>
              </w:rPr>
              <w:t xml:space="preserve"> </w:t>
            </w:r>
            <w:r w:rsidRPr="008A3223">
              <w:rPr>
                <w:rFonts w:asciiTheme="majorHAnsi" w:hAnsiTheme="majorHAnsi" w:cstheme="majorHAnsi"/>
                <w:color w:val="000000" w:themeColor="text1"/>
                <w:sz w:val="19"/>
                <w:szCs w:val="19"/>
              </w:rPr>
              <w:t>është përfshirë si nëntitull raportues në rendit e ditës së kuvendit komunal pas publikimit të raportit; me vitin kalendarik kur publikohet raporti.</w:t>
            </w:r>
          </w:p>
        </w:tc>
      </w:tr>
      <w:tr w:rsidR="00F82FD3" w:rsidRPr="0050117C" w14:paraId="468E17AB" w14:textId="77777777" w:rsidTr="07D96137">
        <w:trPr>
          <w:trHeight w:val="2348"/>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31D8DF7C"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4</w:t>
            </w:r>
          </w:p>
        </w:tc>
        <w:tc>
          <w:tcPr>
            <w:tcW w:w="5529" w:type="dxa"/>
            <w:tcBorders>
              <w:top w:val="nil"/>
              <w:left w:val="nil"/>
              <w:bottom w:val="single" w:sz="4" w:space="0" w:color="auto"/>
              <w:right w:val="single" w:sz="4" w:space="0" w:color="auto"/>
            </w:tcBorders>
            <w:shd w:val="clear" w:color="auto" w:fill="C4D79B"/>
            <w:vAlign w:val="center"/>
            <w:hideMark/>
          </w:tcPr>
          <w:p w14:paraId="68026CF0"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Diskutimi i raportit të auditorit të jashtëm dhe planit të veprimit për adresimin e rekomandimeve si dhe diskutimi i gjetjeve dhe rekomandimeve nga auditimi i brendshëm në Kuvendin Komunal</w:t>
            </w:r>
          </w:p>
        </w:tc>
        <w:tc>
          <w:tcPr>
            <w:tcW w:w="7049" w:type="dxa"/>
            <w:tcBorders>
              <w:top w:val="nil"/>
              <w:left w:val="nil"/>
              <w:bottom w:val="single" w:sz="4" w:space="0" w:color="auto"/>
              <w:right w:val="single" w:sz="4" w:space="0" w:color="auto"/>
            </w:tcBorders>
            <w:shd w:val="clear" w:color="auto" w:fill="C4D79B"/>
            <w:vAlign w:val="center"/>
            <w:hideMark/>
          </w:tcPr>
          <w:p w14:paraId="401A2BAC"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Për skemën e grantit, ky tregues grumbullon leximet nga dy tregues të SMP</w:t>
            </w:r>
            <w:r w:rsidR="006B67DB" w:rsidRPr="008A3223">
              <w:rPr>
                <w:rFonts w:asciiTheme="majorHAnsi" w:hAnsiTheme="majorHAnsi" w:cstheme="majorHAnsi"/>
                <w:color w:val="000000" w:themeColor="text1"/>
                <w:sz w:val="19"/>
                <w:szCs w:val="19"/>
              </w:rPr>
              <w:t>K</w:t>
            </w:r>
            <w:r w:rsidRPr="008A3223">
              <w:rPr>
                <w:rFonts w:asciiTheme="majorHAnsi" w:hAnsiTheme="majorHAnsi" w:cstheme="majorHAnsi"/>
                <w:color w:val="000000" w:themeColor="text1"/>
                <w:sz w:val="19"/>
                <w:szCs w:val="19"/>
              </w:rPr>
              <w:t>-së, gjegjësisht treguesi 3.2.4 dhe treguesi 3.2.5;</w:t>
            </w:r>
          </w:p>
          <w:p w14:paraId="470A4252"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3.2.4 mat performancën komunale në lidhje me përmbushjen e obligimit për të paraqitur Raportin Kombëtar të Auditimit para KK-së për diskutim, përfshirë edhe planin e veprimit. Baza ligjore për këtë paraqitje është dhënë në Ligjin për ZKA-në, duke ua vendosur detyrimin autoriteteve komunale që të raportojnë në KK për aktivitetet e planifikuara dhe të ekzekutuara në lidhje me gjetjet dhe rekomandimet e ZKA-së të specifikuara në Raportet e tyre Vjetore të Auditimit të Rregullsisë; Matja e performancës bazohet në kriteret e mëposhtme: i) diskutimi i raportit të ZKA-së në KK dhe ii) diskutimi i planit të veprimit për adresimin e rekomandimeve të ZKA-së; kërkohen dëshmi specifike për të konfirmuar plotësimin e kritereve brenda afatit të përcaktuar.</w:t>
            </w:r>
          </w:p>
          <w:p w14:paraId="6F9F1FA6"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3.2.5 mat performancën komunale në lidhje me </w:t>
            </w:r>
            <w:r w:rsidR="002208C2" w:rsidRPr="008A3223">
              <w:rPr>
                <w:rFonts w:asciiTheme="majorHAnsi" w:hAnsiTheme="majorHAnsi" w:cstheme="majorHAnsi"/>
                <w:color w:val="000000" w:themeColor="text1"/>
                <w:sz w:val="19"/>
                <w:szCs w:val="19"/>
              </w:rPr>
              <w:t>paraqitjen p</w:t>
            </w:r>
            <w:r w:rsidR="007B6F16" w:rsidRPr="008A3223">
              <w:rPr>
                <w:rFonts w:asciiTheme="majorHAnsi" w:hAnsiTheme="majorHAnsi" w:cstheme="majorHAnsi"/>
                <w:color w:val="000000" w:themeColor="text1"/>
                <w:sz w:val="19"/>
                <w:szCs w:val="19"/>
              </w:rPr>
              <w:t>ë</w:t>
            </w:r>
            <w:r w:rsidR="002208C2" w:rsidRPr="008A3223">
              <w:rPr>
                <w:rFonts w:asciiTheme="majorHAnsi" w:hAnsiTheme="majorHAnsi" w:cstheme="majorHAnsi"/>
                <w:color w:val="000000" w:themeColor="text1"/>
                <w:sz w:val="19"/>
                <w:szCs w:val="19"/>
              </w:rPr>
              <w:t>r diskutim t</w:t>
            </w:r>
            <w:r w:rsidR="007B6F16" w:rsidRPr="008A3223">
              <w:rPr>
                <w:rFonts w:asciiTheme="majorHAnsi" w:hAnsiTheme="majorHAnsi" w:cstheme="majorHAnsi"/>
                <w:color w:val="000000" w:themeColor="text1"/>
                <w:sz w:val="19"/>
                <w:szCs w:val="19"/>
              </w:rPr>
              <w:t>ë</w:t>
            </w:r>
            <w:r w:rsidR="002208C2" w:rsidRPr="008A3223">
              <w:rPr>
                <w:rFonts w:asciiTheme="majorHAnsi" w:hAnsiTheme="majorHAnsi" w:cstheme="majorHAnsi"/>
                <w:color w:val="000000" w:themeColor="text1"/>
                <w:sz w:val="19"/>
                <w:szCs w:val="19"/>
              </w:rPr>
              <w:t xml:space="preserve"> </w:t>
            </w:r>
            <w:r w:rsidR="00424AE6" w:rsidRPr="008A3223">
              <w:rPr>
                <w:rFonts w:asciiTheme="majorHAnsi" w:hAnsiTheme="majorHAnsi" w:cstheme="majorHAnsi"/>
                <w:color w:val="000000" w:themeColor="text1"/>
                <w:sz w:val="19"/>
                <w:szCs w:val="19"/>
              </w:rPr>
              <w:t>raportit</w:t>
            </w:r>
            <w:r w:rsidR="002208C2" w:rsidRPr="008A3223">
              <w:rPr>
                <w:rFonts w:asciiTheme="majorHAnsi" w:hAnsiTheme="majorHAnsi" w:cstheme="majorHAnsi"/>
                <w:color w:val="000000" w:themeColor="text1"/>
                <w:sz w:val="19"/>
                <w:szCs w:val="19"/>
              </w:rPr>
              <w:t xml:space="preserve"> </w:t>
            </w:r>
            <w:r w:rsidR="00424AE6" w:rsidRPr="008A3223">
              <w:rPr>
                <w:rFonts w:asciiTheme="majorHAnsi" w:hAnsiTheme="majorHAnsi" w:cstheme="majorHAnsi"/>
                <w:color w:val="000000" w:themeColor="text1"/>
                <w:sz w:val="19"/>
                <w:szCs w:val="19"/>
              </w:rPr>
              <w:t xml:space="preserve">të </w:t>
            </w:r>
            <w:r w:rsidRPr="008A3223">
              <w:rPr>
                <w:rFonts w:asciiTheme="majorHAnsi" w:hAnsiTheme="majorHAnsi" w:cstheme="majorHAnsi"/>
                <w:color w:val="000000" w:themeColor="text1"/>
                <w:sz w:val="19"/>
                <w:szCs w:val="19"/>
              </w:rPr>
              <w:t xml:space="preserve">Auditimit të Brendshëm para KK-së, përfshirë planin e veprimit në lidhje me gjetjet. Matja e performancës bazohet në kriteret e mëposhtme: i) diskutimi i raportit të Auditimit të Brendshëm në KK dhe ii) diskutimi i planit të veprimit për t'i adresuar rekomandimet e raportit të Auditimit të Brendshëm; kërkohen dëshmi specifike për të konfirmuar plotësimin e kritereve brenda afatit të përcaktuar.  </w:t>
            </w:r>
          </w:p>
        </w:tc>
      </w:tr>
      <w:tr w:rsidR="00F82FD3" w:rsidRPr="0050117C" w14:paraId="37EFFDBC" w14:textId="77777777" w:rsidTr="07D96137">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42ED868"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430ED18" w14:textId="77777777" w:rsidR="00F82FD3" w:rsidRPr="008A3223" w:rsidRDefault="00122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Mbledhje të Kuvendit Komunal me pjesëmarrje të kryetarit të komunës</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040466FF"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komunale në lidhje me detyrimin e kryetarëve të komunave për të raportuar në KK, duke matur pjesëmarrjen e kryetarëve të komunave në </w:t>
            </w:r>
            <w:r w:rsidR="006D374C" w:rsidRPr="008A3223">
              <w:rPr>
                <w:rFonts w:asciiTheme="majorHAnsi" w:hAnsiTheme="majorHAnsi" w:cstheme="majorHAnsi"/>
                <w:color w:val="000000" w:themeColor="text1"/>
                <w:sz w:val="19"/>
                <w:szCs w:val="19"/>
              </w:rPr>
              <w:t>mbledhjet e kuvendit t</w:t>
            </w:r>
            <w:r w:rsidR="00C87181" w:rsidRPr="008A3223">
              <w:rPr>
                <w:rFonts w:asciiTheme="majorHAnsi" w:hAnsiTheme="majorHAnsi" w:cstheme="majorHAnsi"/>
                <w:color w:val="000000" w:themeColor="text1"/>
                <w:sz w:val="19"/>
                <w:szCs w:val="19"/>
              </w:rPr>
              <w:t>ë</w:t>
            </w:r>
            <w:r w:rsidR="006D374C" w:rsidRPr="008A3223">
              <w:rPr>
                <w:rFonts w:asciiTheme="majorHAnsi" w:hAnsiTheme="majorHAnsi" w:cstheme="majorHAnsi"/>
                <w:color w:val="000000" w:themeColor="text1"/>
                <w:sz w:val="19"/>
                <w:szCs w:val="19"/>
              </w:rPr>
              <w:t xml:space="preserve"> komun</w:t>
            </w:r>
            <w:r w:rsidR="00C87181" w:rsidRPr="008A3223">
              <w:rPr>
                <w:rFonts w:asciiTheme="majorHAnsi" w:hAnsiTheme="majorHAnsi" w:cstheme="majorHAnsi"/>
                <w:color w:val="000000" w:themeColor="text1"/>
                <w:sz w:val="19"/>
                <w:szCs w:val="19"/>
              </w:rPr>
              <w:t>ë</w:t>
            </w:r>
            <w:r w:rsidR="006D374C" w:rsidRPr="008A3223">
              <w:rPr>
                <w:rFonts w:asciiTheme="majorHAnsi" w:hAnsiTheme="majorHAnsi" w:cstheme="majorHAnsi"/>
                <w:color w:val="000000" w:themeColor="text1"/>
                <w:sz w:val="19"/>
                <w:szCs w:val="19"/>
              </w:rPr>
              <w:t>s.</w:t>
            </w:r>
            <w:r w:rsidRPr="008A3223">
              <w:rPr>
                <w:rFonts w:asciiTheme="majorHAnsi" w:hAnsiTheme="majorHAnsi" w:cstheme="majorHAnsi"/>
                <w:color w:val="000000" w:themeColor="text1"/>
                <w:sz w:val="19"/>
                <w:szCs w:val="19"/>
              </w:rPr>
              <w:t xml:space="preserve"> Matja e performancës bazohet në dëshmitë që vërtetojnë praninë e kryetarit të komunës në seancat e punës të KK-së, konkretisht listat e pjesëmarrjes ose raportet e mbledhjeve të KK-së.</w:t>
            </w:r>
          </w:p>
        </w:tc>
      </w:tr>
      <w:tr w:rsidR="00D84936" w:rsidRPr="0050117C" w14:paraId="3AF63B60" w14:textId="77777777" w:rsidTr="07D96137">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CE5D883"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68AFCA71"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Pjesëmarrja, konsultimi i qytetarëve dhe gjithëpërfshirja</w:t>
            </w:r>
          </w:p>
        </w:tc>
      </w:tr>
      <w:tr w:rsidR="00F82FD3" w:rsidRPr="0050117C" w14:paraId="2EFF9A7E" w14:textId="77777777" w:rsidTr="07D96137">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C4D79B"/>
            <w:noWrap/>
            <w:vAlign w:val="center"/>
          </w:tcPr>
          <w:p w14:paraId="1350A20D"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6</w:t>
            </w:r>
          </w:p>
        </w:tc>
        <w:tc>
          <w:tcPr>
            <w:tcW w:w="5529" w:type="dxa"/>
            <w:tcBorders>
              <w:top w:val="single" w:sz="4" w:space="0" w:color="auto"/>
              <w:left w:val="nil"/>
              <w:bottom w:val="single" w:sz="4" w:space="0" w:color="auto"/>
              <w:right w:val="single" w:sz="4" w:space="0" w:color="auto"/>
            </w:tcBorders>
            <w:shd w:val="clear" w:color="auto" w:fill="C4D79B"/>
            <w:vAlign w:val="center"/>
          </w:tcPr>
          <w:p w14:paraId="17658DD7"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Pjesëmarrja e qytetarëve në </w:t>
            </w:r>
            <w:r w:rsidR="00122C48" w:rsidRPr="008A3223">
              <w:rPr>
                <w:rFonts w:asciiTheme="majorHAnsi" w:hAnsiTheme="majorHAnsi" w:cstheme="majorHAnsi"/>
                <w:color w:val="000000" w:themeColor="text1"/>
                <w:sz w:val="19"/>
                <w:szCs w:val="19"/>
              </w:rPr>
              <w:t>konsultime publike</w:t>
            </w:r>
            <w:r w:rsidRPr="008A3223">
              <w:rPr>
                <w:rFonts w:asciiTheme="majorHAnsi" w:hAnsiTheme="majorHAnsi" w:cstheme="majorHAnsi"/>
                <w:color w:val="000000" w:themeColor="text1"/>
                <w:sz w:val="19"/>
                <w:szCs w:val="19"/>
              </w:rPr>
              <w:t xml:space="preserve">, i disagreguar sipas gjinisë </w:t>
            </w:r>
          </w:p>
        </w:tc>
        <w:tc>
          <w:tcPr>
            <w:tcW w:w="7049" w:type="dxa"/>
            <w:tcBorders>
              <w:top w:val="single" w:sz="4" w:space="0" w:color="auto"/>
              <w:left w:val="nil"/>
              <w:bottom w:val="single" w:sz="4" w:space="0" w:color="auto"/>
              <w:right w:val="single" w:sz="4" w:space="0" w:color="auto"/>
            </w:tcBorders>
            <w:shd w:val="clear" w:color="auto" w:fill="C4D79B"/>
            <w:vAlign w:val="center"/>
          </w:tcPr>
          <w:p w14:paraId="2DFF1EAA"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Për skemën e grantit, ky tregues grumbullon leximet nga dy tregues të SMP</w:t>
            </w:r>
            <w:r w:rsidR="00424AE6" w:rsidRPr="008A3223">
              <w:rPr>
                <w:rFonts w:asciiTheme="majorHAnsi" w:hAnsiTheme="majorHAnsi" w:cstheme="majorHAnsi"/>
                <w:color w:val="000000" w:themeColor="text1"/>
                <w:sz w:val="19"/>
                <w:szCs w:val="19"/>
              </w:rPr>
              <w:t>K</w:t>
            </w:r>
            <w:r w:rsidRPr="008A3223">
              <w:rPr>
                <w:rFonts w:asciiTheme="majorHAnsi" w:hAnsiTheme="majorHAnsi" w:cstheme="majorHAnsi"/>
                <w:color w:val="000000" w:themeColor="text1"/>
                <w:sz w:val="19"/>
                <w:szCs w:val="19"/>
              </w:rPr>
              <w:t>-së, gjegjësisht treguesi 3.1.2 dhe treguesi 16.1.3;</w:t>
            </w:r>
          </w:p>
          <w:p w14:paraId="2F482405" w14:textId="77777777" w:rsidR="00424AE6"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3.1.2. mat nivelin e pjesëmarrjes së qytetarëve në të gjitha konsultimet publike komunale në raport me numrin e banorëve në komunë. </w:t>
            </w:r>
            <w:r w:rsidR="00424AE6" w:rsidRPr="008A3223">
              <w:rPr>
                <w:rFonts w:asciiTheme="majorHAnsi" w:hAnsiTheme="majorHAnsi" w:cstheme="majorHAnsi"/>
                <w:color w:val="000000" w:themeColor="text1"/>
                <w:sz w:val="19"/>
                <w:szCs w:val="19"/>
              </w:rPr>
              <w:t>Shkalla e pjes</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marrjes maksimale p</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r k</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 tregues konsiderohet 3% e numrit 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 banor</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ve 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 komun</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s p</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rkat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se. </w:t>
            </w:r>
            <w:r w:rsidRPr="008A3223">
              <w:rPr>
                <w:rFonts w:asciiTheme="majorHAnsi" w:hAnsiTheme="majorHAnsi" w:cstheme="majorHAnsi"/>
                <w:color w:val="000000" w:themeColor="text1"/>
                <w:sz w:val="19"/>
                <w:szCs w:val="19"/>
              </w:rPr>
              <w:t>Matja e performancës për këtë tregues merr në konsideratë si në vijim: të gjitha aktivitetet e konsultimit publik, përfshirë takimet publike, seancat dëgjimore të buxhetit dhe konsultimet për aktet komunale.</w:t>
            </w:r>
            <w:r w:rsidR="00424AE6" w:rsidRPr="008A3223" w:rsidDel="00424AE6">
              <w:rPr>
                <w:rFonts w:asciiTheme="majorHAnsi" w:hAnsiTheme="majorHAnsi" w:cstheme="majorHAnsi"/>
                <w:color w:val="000000" w:themeColor="text1"/>
                <w:sz w:val="19"/>
                <w:szCs w:val="19"/>
              </w:rPr>
              <w:t xml:space="preserve"> </w:t>
            </w:r>
          </w:p>
          <w:p w14:paraId="7D9A997F"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1</w:t>
            </w:r>
            <w:r w:rsidR="00122C48" w:rsidRPr="008A3223">
              <w:rPr>
                <w:rFonts w:asciiTheme="majorHAnsi" w:hAnsiTheme="majorHAnsi" w:cstheme="majorHAnsi"/>
                <w:color w:val="000000" w:themeColor="text1"/>
                <w:sz w:val="19"/>
                <w:szCs w:val="19"/>
              </w:rPr>
              <w:t>6</w:t>
            </w:r>
            <w:r w:rsidRPr="008A3223">
              <w:rPr>
                <w:rFonts w:asciiTheme="majorHAnsi" w:hAnsiTheme="majorHAnsi" w:cstheme="majorHAnsi"/>
                <w:color w:val="000000" w:themeColor="text1"/>
                <w:sz w:val="19"/>
                <w:szCs w:val="19"/>
              </w:rPr>
              <w:t>.1.3 mat pjesëmarrjen e grave në konsultimet publike si përqindje e të gjithë pjesëmarrësve në aktivitetet e konsultimit publik; Ky është një tregues i barazisë gjinore, i nxjerrë nga pjesëmarrja e përgjithshme e qytetarëve në konsultimet publike.</w:t>
            </w:r>
          </w:p>
        </w:tc>
      </w:tr>
      <w:tr w:rsidR="00F82FD3" w:rsidRPr="0050117C" w14:paraId="5D1E1BE8" w14:textId="77777777" w:rsidTr="07D96137">
        <w:trPr>
          <w:trHeight w:val="491"/>
        </w:trPr>
        <w:tc>
          <w:tcPr>
            <w:tcW w:w="562" w:type="dxa"/>
            <w:tcBorders>
              <w:top w:val="nil"/>
              <w:left w:val="single" w:sz="4" w:space="0" w:color="auto"/>
              <w:bottom w:val="single" w:sz="4" w:space="0" w:color="auto"/>
              <w:right w:val="single" w:sz="4" w:space="0" w:color="auto"/>
            </w:tcBorders>
            <w:shd w:val="clear" w:color="auto" w:fill="C4D79B"/>
            <w:noWrap/>
            <w:vAlign w:val="center"/>
          </w:tcPr>
          <w:p w14:paraId="1ED6A945"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7</w:t>
            </w:r>
          </w:p>
        </w:tc>
        <w:tc>
          <w:tcPr>
            <w:tcW w:w="5529" w:type="dxa"/>
            <w:tcBorders>
              <w:top w:val="nil"/>
              <w:left w:val="nil"/>
              <w:bottom w:val="single" w:sz="4" w:space="0" w:color="auto"/>
              <w:right w:val="single" w:sz="4" w:space="0" w:color="auto"/>
            </w:tcBorders>
            <w:shd w:val="clear" w:color="auto" w:fill="C4D79B"/>
            <w:vAlign w:val="center"/>
          </w:tcPr>
          <w:p w14:paraId="2C287936"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Aktet komunale dhe dokumentet e politikave lokale të konsultuara me publikun</w:t>
            </w:r>
          </w:p>
        </w:tc>
        <w:tc>
          <w:tcPr>
            <w:tcW w:w="7049" w:type="dxa"/>
            <w:tcBorders>
              <w:top w:val="nil"/>
              <w:left w:val="nil"/>
              <w:bottom w:val="single" w:sz="4" w:space="0" w:color="auto"/>
              <w:right w:val="single" w:sz="4" w:space="0" w:color="auto"/>
            </w:tcBorders>
            <w:shd w:val="clear" w:color="auto" w:fill="C4D79B"/>
            <w:vAlign w:val="center"/>
          </w:tcPr>
          <w:p w14:paraId="27BEC87D"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në lidhje me nivelin e përmbushjes së detyrimit nga ana e kuvendit komunal sa i përket konsultimit publik </w:t>
            </w:r>
            <w:r w:rsidR="00424AE6" w:rsidRPr="008A3223">
              <w:rPr>
                <w:rFonts w:asciiTheme="majorHAnsi" w:hAnsiTheme="majorHAnsi" w:cstheme="majorHAnsi"/>
                <w:color w:val="000000" w:themeColor="text1"/>
                <w:sz w:val="19"/>
                <w:szCs w:val="19"/>
              </w:rPr>
              <w:t xml:space="preserve">gjatë </w:t>
            </w:r>
            <w:r w:rsidRPr="008A3223">
              <w:rPr>
                <w:rFonts w:asciiTheme="majorHAnsi" w:hAnsiTheme="majorHAnsi" w:cstheme="majorHAnsi"/>
                <w:color w:val="000000" w:themeColor="text1"/>
                <w:sz w:val="19"/>
                <w:szCs w:val="19"/>
              </w:rPr>
              <w:t xml:space="preserve">hartimit të akteve të përgjithshme. Për qëllime të këtij treguesi, bazuar në përcaktimin në nenin 8 të Udhëzimit Administrativ 01/2015, publiku konsultohet për sa i përket akteve të përgjithshme të </w:t>
            </w:r>
            <w:r w:rsidR="00424AE6" w:rsidRPr="008A3223">
              <w:rPr>
                <w:rFonts w:asciiTheme="majorHAnsi" w:hAnsiTheme="majorHAnsi" w:cstheme="majorHAnsi"/>
                <w:color w:val="000000" w:themeColor="text1"/>
                <w:sz w:val="19"/>
                <w:szCs w:val="19"/>
              </w:rPr>
              <w:t xml:space="preserve">cilat miratohen </w:t>
            </w:r>
            <w:r w:rsidRPr="008A3223">
              <w:rPr>
                <w:rFonts w:asciiTheme="majorHAnsi" w:hAnsiTheme="majorHAnsi" w:cstheme="majorHAnsi"/>
                <w:color w:val="000000" w:themeColor="text1"/>
                <w:sz w:val="19"/>
                <w:szCs w:val="19"/>
              </w:rPr>
              <w:t xml:space="preserve">nga KK. Matja e performancës për këtë tregues bazohet në dëshmitë në vijim: (i) numri i akteve të përgjithshme dhe i dokumenteve të politikave të miratuara gjatë vitit, dhe (i) numri i akteve të përgjithshme dhe i dokumenteve të politikave të miratuara gjatë vitit, e të cilat kanë kaluar nëpër konsultimin publik. </w:t>
            </w:r>
          </w:p>
        </w:tc>
      </w:tr>
      <w:tr w:rsidR="00F82FD3" w:rsidRPr="0050117C" w14:paraId="1312B0BF" w14:textId="77777777" w:rsidTr="07D96137">
        <w:trPr>
          <w:trHeight w:val="563"/>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67216B78"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0824D2C8" w14:textId="77777777" w:rsidR="00F82FD3" w:rsidRPr="008A3223" w:rsidRDefault="00122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Dëgjime publike për K</w:t>
            </w:r>
            <w:r w:rsidR="002A1D77" w:rsidRPr="008A3223">
              <w:rPr>
                <w:rFonts w:asciiTheme="majorHAnsi" w:hAnsiTheme="majorHAnsi" w:cstheme="majorHAnsi"/>
                <w:color w:val="000000" w:themeColor="text1"/>
                <w:sz w:val="19"/>
                <w:szCs w:val="19"/>
              </w:rPr>
              <w:t xml:space="preserve">ornizën </w:t>
            </w:r>
            <w:r w:rsidRPr="008A3223">
              <w:rPr>
                <w:rFonts w:asciiTheme="majorHAnsi" w:hAnsiTheme="majorHAnsi" w:cstheme="majorHAnsi"/>
                <w:color w:val="000000" w:themeColor="text1"/>
                <w:sz w:val="19"/>
                <w:szCs w:val="19"/>
              </w:rPr>
              <w:t>A</w:t>
            </w:r>
            <w:r w:rsidR="002A1D77" w:rsidRPr="008A3223">
              <w:rPr>
                <w:rFonts w:asciiTheme="majorHAnsi" w:hAnsiTheme="majorHAnsi" w:cstheme="majorHAnsi"/>
                <w:color w:val="000000" w:themeColor="text1"/>
                <w:sz w:val="19"/>
                <w:szCs w:val="19"/>
              </w:rPr>
              <w:t xml:space="preserve">fatmesme </w:t>
            </w:r>
            <w:r w:rsidRPr="008A3223">
              <w:rPr>
                <w:rFonts w:asciiTheme="majorHAnsi" w:hAnsiTheme="majorHAnsi" w:cstheme="majorHAnsi"/>
                <w:color w:val="000000" w:themeColor="text1"/>
                <w:sz w:val="19"/>
                <w:szCs w:val="19"/>
              </w:rPr>
              <w:t>B</w:t>
            </w:r>
            <w:r w:rsidR="002A1D77" w:rsidRPr="008A3223">
              <w:rPr>
                <w:rFonts w:asciiTheme="majorHAnsi" w:hAnsiTheme="majorHAnsi" w:cstheme="majorHAnsi"/>
                <w:color w:val="000000" w:themeColor="text1"/>
                <w:sz w:val="19"/>
                <w:szCs w:val="19"/>
              </w:rPr>
              <w:t>uxhetore (KAB)</w:t>
            </w:r>
            <w:r w:rsidRPr="008A3223">
              <w:rPr>
                <w:rFonts w:asciiTheme="majorHAnsi" w:hAnsiTheme="majorHAnsi" w:cstheme="majorHAnsi"/>
                <w:color w:val="000000" w:themeColor="text1"/>
                <w:sz w:val="19"/>
                <w:szCs w:val="19"/>
              </w:rPr>
              <w:t xml:space="preserve"> dhe buxhet komunal</w:t>
            </w:r>
            <w:r w:rsidRPr="008A3223" w:rsidDel="00122C48">
              <w:rPr>
                <w:rFonts w:asciiTheme="majorHAnsi" w:hAnsiTheme="majorHAnsi" w:cstheme="majorHAnsi"/>
                <w:color w:val="000000" w:themeColor="text1"/>
                <w:sz w:val="19"/>
                <w:szCs w:val="19"/>
              </w:rPr>
              <w:t xml:space="preserve"> </w:t>
            </w:r>
            <w:r w:rsidR="00F82FD3" w:rsidRPr="008A3223">
              <w:rPr>
                <w:rFonts w:asciiTheme="majorHAnsi" w:hAnsiTheme="majorHAnsi" w:cstheme="majorHAnsi"/>
                <w:color w:val="000000" w:themeColor="text1"/>
                <w:sz w:val="19"/>
                <w:szCs w:val="19"/>
              </w:rPr>
              <w:t>(proporcionalisht ndaj # banorëve)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07B7039F" w14:textId="62D95143" w:rsidR="00F82FD3" w:rsidRPr="008A3223" w:rsidRDefault="45C2EE65" w:rsidP="07D96137">
            <w:pPr>
              <w:spacing w:before="100"/>
              <w:rPr>
                <w:rFonts w:asciiTheme="majorHAnsi" w:hAnsiTheme="majorHAnsi" w:cstheme="majorBidi"/>
                <w:color w:val="000000" w:themeColor="text1"/>
                <w:sz w:val="19"/>
                <w:szCs w:val="19"/>
              </w:rPr>
            </w:pPr>
            <w:r w:rsidRPr="07D96137">
              <w:rPr>
                <w:rFonts w:asciiTheme="majorHAnsi" w:hAnsiTheme="majorHAnsi" w:cstheme="majorBidi"/>
                <w:color w:val="000000" w:themeColor="text1"/>
                <w:sz w:val="19"/>
                <w:szCs w:val="19"/>
              </w:rPr>
              <w:t xml:space="preserve">Treguesi mat performancën e </w:t>
            </w:r>
            <w:r w:rsidR="37B82225" w:rsidRPr="07D96137">
              <w:rPr>
                <w:rFonts w:asciiTheme="majorHAnsi" w:hAnsiTheme="majorHAnsi" w:cstheme="majorBidi"/>
                <w:color w:val="000000" w:themeColor="text1"/>
                <w:sz w:val="19"/>
                <w:szCs w:val="19"/>
              </w:rPr>
              <w:t>komun</w:t>
            </w:r>
            <w:r w:rsidR="007B6F16" w:rsidRPr="07D96137">
              <w:rPr>
                <w:rFonts w:asciiTheme="majorHAnsi" w:hAnsiTheme="majorHAnsi" w:cstheme="majorBidi"/>
                <w:color w:val="000000" w:themeColor="text1"/>
                <w:sz w:val="19"/>
                <w:szCs w:val="19"/>
              </w:rPr>
              <w:t>ë</w:t>
            </w:r>
            <w:r w:rsidR="37B82225" w:rsidRPr="07D96137">
              <w:rPr>
                <w:rFonts w:asciiTheme="majorHAnsi" w:hAnsiTheme="majorHAnsi" w:cstheme="majorBidi"/>
                <w:color w:val="000000" w:themeColor="text1"/>
                <w:sz w:val="19"/>
                <w:szCs w:val="19"/>
              </w:rPr>
              <w:t xml:space="preserve">s </w:t>
            </w:r>
            <w:r w:rsidRPr="07D96137">
              <w:rPr>
                <w:rFonts w:asciiTheme="majorHAnsi" w:hAnsiTheme="majorHAnsi" w:cstheme="majorBidi"/>
                <w:color w:val="000000" w:themeColor="text1"/>
                <w:sz w:val="19"/>
                <w:szCs w:val="19"/>
              </w:rPr>
              <w:t>në organizimin e seancave dëgjimore për KAB-in dhe për buxhetin, duke përdorur numrin prej 10.000 banorëve si referencë për numrin e popullsisë së komunës, që nënkupton përcaktimin e numrit të seancave dëgjimore në raport me numrin e popullsisë. Për komunat me 10.000 banorë ose më pak, numri minimal i seancave dëgjimore caktohet në 2</w:t>
            </w:r>
            <w:r w:rsidR="37B82225" w:rsidRPr="07D96137">
              <w:rPr>
                <w:rFonts w:asciiTheme="majorHAnsi" w:hAnsiTheme="majorHAnsi" w:cstheme="majorBidi"/>
                <w:color w:val="000000" w:themeColor="text1"/>
                <w:sz w:val="19"/>
                <w:szCs w:val="19"/>
              </w:rPr>
              <w:t xml:space="preserve"> seanca</w:t>
            </w:r>
            <w:r w:rsidRPr="07D96137">
              <w:rPr>
                <w:rFonts w:asciiTheme="majorHAnsi" w:hAnsiTheme="majorHAnsi" w:cstheme="majorBidi"/>
                <w:color w:val="000000" w:themeColor="text1"/>
                <w:sz w:val="19"/>
                <w:szCs w:val="19"/>
              </w:rPr>
              <w:t>. Konteksti ligjor për këtë tregues është nxjerrë nga Ligji për Menaxhimin e Financave Publike dhe Përgjegjësitë</w:t>
            </w:r>
            <w:r w:rsidR="158535E3" w:rsidRPr="07D96137">
              <w:rPr>
                <w:rFonts w:asciiTheme="majorHAnsi" w:hAnsiTheme="majorHAnsi" w:cstheme="majorBidi"/>
                <w:color w:val="000000" w:themeColor="text1"/>
                <w:sz w:val="19"/>
                <w:szCs w:val="19"/>
              </w:rPr>
              <w:t>, Udh</w:t>
            </w:r>
            <w:r w:rsidR="007B6F16" w:rsidRPr="07D96137">
              <w:rPr>
                <w:rFonts w:asciiTheme="majorHAnsi" w:hAnsiTheme="majorHAnsi" w:cstheme="majorBidi"/>
                <w:color w:val="000000" w:themeColor="text1"/>
                <w:sz w:val="19"/>
                <w:szCs w:val="19"/>
              </w:rPr>
              <w:t>ë</w:t>
            </w:r>
            <w:r w:rsidR="158535E3" w:rsidRPr="07D96137">
              <w:rPr>
                <w:rFonts w:asciiTheme="majorHAnsi" w:hAnsiTheme="majorHAnsi" w:cstheme="majorBidi"/>
                <w:color w:val="000000" w:themeColor="text1"/>
                <w:sz w:val="19"/>
                <w:szCs w:val="19"/>
              </w:rPr>
              <w:t>zimi Administrativ p</w:t>
            </w:r>
            <w:r w:rsidR="007B6F16" w:rsidRPr="07D96137">
              <w:rPr>
                <w:rFonts w:asciiTheme="majorHAnsi" w:hAnsiTheme="majorHAnsi" w:cstheme="majorBidi"/>
                <w:color w:val="000000" w:themeColor="text1"/>
                <w:sz w:val="19"/>
                <w:szCs w:val="19"/>
              </w:rPr>
              <w:t>ë</w:t>
            </w:r>
            <w:r w:rsidR="158535E3" w:rsidRPr="07D96137">
              <w:rPr>
                <w:rFonts w:asciiTheme="majorHAnsi" w:hAnsiTheme="majorHAnsi" w:cstheme="majorBidi"/>
                <w:color w:val="000000" w:themeColor="text1"/>
                <w:sz w:val="19"/>
                <w:szCs w:val="19"/>
              </w:rPr>
              <w:t>r transparenc</w:t>
            </w:r>
            <w:r w:rsidR="007B6F16" w:rsidRPr="07D96137">
              <w:rPr>
                <w:rFonts w:asciiTheme="majorHAnsi" w:hAnsiTheme="majorHAnsi" w:cstheme="majorBidi"/>
                <w:color w:val="000000" w:themeColor="text1"/>
                <w:sz w:val="19"/>
                <w:szCs w:val="19"/>
              </w:rPr>
              <w:t>ë</w:t>
            </w:r>
            <w:r w:rsidR="158535E3" w:rsidRPr="07D96137">
              <w:rPr>
                <w:rFonts w:asciiTheme="majorHAnsi" w:hAnsiTheme="majorHAnsi" w:cstheme="majorBidi"/>
                <w:color w:val="000000" w:themeColor="text1"/>
                <w:sz w:val="19"/>
                <w:szCs w:val="19"/>
              </w:rPr>
              <w:t xml:space="preserve"> komunale, si</w:t>
            </w:r>
            <w:r w:rsidRPr="07D96137">
              <w:rPr>
                <w:rFonts w:asciiTheme="majorHAnsi" w:hAnsiTheme="majorHAnsi" w:cstheme="majorBidi"/>
                <w:color w:val="000000" w:themeColor="text1"/>
                <w:sz w:val="19"/>
                <w:szCs w:val="19"/>
              </w:rPr>
              <w:t xml:space="preserve"> dhe nga Udhëzimi Administrativ (</w:t>
            </w:r>
            <w:r w:rsidR="762347A2" w:rsidRPr="07D96137">
              <w:rPr>
                <w:rFonts w:asciiTheme="majorHAnsi" w:hAnsiTheme="majorHAnsi" w:cstheme="majorBidi"/>
                <w:color w:val="000000" w:themeColor="text1"/>
                <w:sz w:val="19"/>
                <w:szCs w:val="19"/>
              </w:rPr>
              <w:t>MAPL</w:t>
            </w:r>
            <w:r w:rsidRPr="07D96137">
              <w:rPr>
                <w:rFonts w:asciiTheme="majorHAnsi" w:hAnsiTheme="majorHAnsi" w:cstheme="majorBidi"/>
                <w:color w:val="000000" w:themeColor="text1"/>
                <w:sz w:val="19"/>
                <w:szCs w:val="19"/>
              </w:rPr>
              <w:t>) nr. 06/2018 për Standardet Minimale të Konsultimit Publik në Komuna. Matja e performancës për këtë tregues bazohet në dëshmitë dokumentuese për kriteret e mëposhtme: (ii) numri i konsultimeve publike për buxhetin vjetor komunal (ii) numri i konsultimeve publike për KAB-in; (iii) numri i banorëve në komunë.</w:t>
            </w:r>
          </w:p>
        </w:tc>
      </w:tr>
      <w:tr w:rsidR="00D84936" w:rsidRPr="0050117C" w14:paraId="38125CE0" w14:textId="77777777" w:rsidTr="07D96137">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4F135BE3"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34B8FEC3"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Transparenca, qasja në informata dhe integriteti</w:t>
            </w:r>
          </w:p>
        </w:tc>
      </w:tr>
      <w:tr w:rsidR="00F82FD3" w:rsidRPr="0050117C" w14:paraId="78EBD36A" w14:textId="77777777" w:rsidTr="07D96137">
        <w:trPr>
          <w:trHeight w:val="31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3381D5A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9</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16EDCD5F"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Mbledhjet e kuvendit të bëra publike dhe transmetuara drejtpërdrejtë online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BEC725B" w14:textId="460F63FC" w:rsidR="00F82FD3" w:rsidRPr="008A3223" w:rsidRDefault="45C2EE65" w:rsidP="07D96137">
            <w:pPr>
              <w:spacing w:before="60"/>
              <w:rPr>
                <w:rFonts w:asciiTheme="majorHAnsi" w:hAnsiTheme="majorHAnsi" w:cstheme="majorBidi"/>
                <w:color w:val="000000" w:themeColor="text1"/>
                <w:sz w:val="19"/>
                <w:szCs w:val="19"/>
              </w:rPr>
            </w:pPr>
            <w:r w:rsidRPr="07D96137">
              <w:rPr>
                <w:rFonts w:asciiTheme="majorHAnsi" w:hAnsiTheme="majorHAnsi" w:cstheme="majorBidi"/>
                <w:color w:val="000000" w:themeColor="text1"/>
                <w:sz w:val="19"/>
                <w:szCs w:val="19"/>
              </w:rPr>
              <w:t>Treguesi mat performancën e autoriteteve komunale në njoftimin me kohë të mbledhjeve të KK-së dhe në ofrimin e transmetimit të drejtpërdrejtë të mbledhjeve të KK-së dhe të komiteteve të saj. Transmetimi online konsiderohet gjithashtu transmetim për qëllimet e këtij treguesi, duke parashikuar që transmetimi online është në dispozicion në faqen zyrtare të komunës. Baza ligjore për këtë tregues është dhënë në Udhëzimin Administrativ (</w:t>
            </w:r>
            <w:r w:rsidR="7AA55E7C" w:rsidRPr="07D96137">
              <w:rPr>
                <w:rFonts w:asciiTheme="majorHAnsi" w:hAnsiTheme="majorHAnsi" w:cstheme="majorBidi"/>
                <w:color w:val="000000" w:themeColor="text1"/>
                <w:sz w:val="19"/>
                <w:szCs w:val="19"/>
              </w:rPr>
              <w:t>MAPL</w:t>
            </w:r>
            <w:r w:rsidRPr="07D96137">
              <w:rPr>
                <w:rFonts w:asciiTheme="majorHAnsi" w:hAnsiTheme="majorHAnsi" w:cstheme="majorBidi"/>
                <w:color w:val="000000" w:themeColor="text1"/>
                <w:sz w:val="19"/>
                <w:szCs w:val="19"/>
              </w:rPr>
              <w:t>) nr. 04/2018 për Transparencë në Komuna. Niveli i performancës së treguesit bazohet në dëshmitë dokumentuese në lidhje me kriteret e mëposhtme: (i) numri i mbledhjeve të KK-së; (ii) numri i njoftimeve për mbledhjet e KK-së; (iii) numri i mbledhjeve të KK-së që janë transmetuar drejtpërdrejt.</w:t>
            </w:r>
          </w:p>
        </w:tc>
      </w:tr>
      <w:tr w:rsidR="00F82FD3" w:rsidRPr="0050117C" w14:paraId="43C47250" w14:textId="77777777" w:rsidTr="07D96137">
        <w:trPr>
          <w:trHeight w:val="5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0A1A78DB"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10</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349B1A0A"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Përmbushja e kritereve të faqes zyrtare elektronike të komunës</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3D42B91D" w14:textId="577BA2EC" w:rsidR="00F82FD3" w:rsidRPr="008A3223" w:rsidRDefault="45C2EE65" w:rsidP="07D96137">
            <w:pPr>
              <w:rPr>
                <w:rFonts w:asciiTheme="majorHAnsi" w:hAnsiTheme="majorHAnsi" w:cstheme="majorBidi"/>
                <w:color w:val="000000" w:themeColor="text1"/>
                <w:sz w:val="19"/>
                <w:szCs w:val="19"/>
              </w:rPr>
            </w:pPr>
            <w:r w:rsidRPr="07D96137">
              <w:rPr>
                <w:rFonts w:asciiTheme="majorHAnsi" w:hAnsiTheme="majorHAnsi" w:cstheme="majorBidi"/>
                <w:color w:val="000000" w:themeColor="text1"/>
                <w:sz w:val="19"/>
                <w:szCs w:val="19"/>
              </w:rPr>
              <w:t>Treguesi mat nivelin e performancës së autoriteteve përgjegjëse komunale në menaxhimin e uebfaqes, duke siguruar përmbajtje të specifikuar dhe përditësime të rregullta. Kriteret për përmbajtjen e uebfaqes komunale janë dhënë në Udhëzimin Administrativ (MAP) nr. 01/2015, duke specifikuar përmbajtjen e domosdoshme (popullimin e uebfaqes) për uebfaqet e institucioneve publike, si dhe në Udhëzimin Administrativ (</w:t>
            </w:r>
            <w:r w:rsidR="0BB5F6B5" w:rsidRPr="07D96137">
              <w:rPr>
                <w:rFonts w:asciiTheme="majorHAnsi" w:hAnsiTheme="majorHAnsi" w:cstheme="majorBidi"/>
                <w:color w:val="000000" w:themeColor="text1"/>
                <w:sz w:val="19"/>
                <w:szCs w:val="19"/>
              </w:rPr>
              <w:t>MAPL</w:t>
            </w:r>
            <w:r w:rsidRPr="07D96137">
              <w:rPr>
                <w:rFonts w:asciiTheme="majorHAnsi" w:hAnsiTheme="majorHAnsi" w:cstheme="majorBidi"/>
                <w:color w:val="000000" w:themeColor="text1"/>
                <w:sz w:val="19"/>
                <w:szCs w:val="19"/>
              </w:rPr>
              <w:t>) nr. 04/2018; Për qëllimet e këtij treguesi, matja e peformancës i nënshtrohet dëshmive dokumentuese të plotësimit të një liste të përcaktuar me 8 kritere.</w:t>
            </w:r>
          </w:p>
        </w:tc>
      </w:tr>
      <w:tr w:rsidR="00F82FD3" w:rsidRPr="0050117C" w14:paraId="43B210F6" w14:textId="77777777" w:rsidTr="07D96137">
        <w:trPr>
          <w:trHeight w:val="26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62624CAA"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11</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023FB48"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Publikimi i dokumenteve të prokurimit publik të komunës</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2F6BFE15" w14:textId="77777777" w:rsidR="00D11982" w:rsidRPr="008A3223" w:rsidRDefault="00D11982">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lidhje me respektimin e rregulloreve të kërkuara për publikimin e dokumenteve të prokurimit publik, planit vjetor të prokurimit, raportit për zbatimin e planit të prokurimit në periudhën e paraparë, kontratave publike; </w:t>
            </w:r>
          </w:p>
          <w:p w14:paraId="5CFF2818" w14:textId="77777777" w:rsidR="00F82FD3" w:rsidRPr="008A3223" w:rsidRDefault="00D11982">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llogaritet duke dhënë pikë për pajtueshmëri me secilën nga 3 kategoritë (publikimi i dokumenteve). Ky është një tregues i rëndësishëm për transparencën, duke lejuar mbikëqyrjen publike dhe llogaridhënien në lidhje me menaxhimin e fondeve publike nga autoritetet komunale. Performanca e këtij treguesi bazohet në dëshmitë në dispozicion për të përcaktuar pajtueshmërinë në lidhje me: (i) publikimin e planit vjetor të prokurimit publik; (ii) publikimin e raportit për zbatimin e planit të prokurimit publik; (iii) publikimi i kontratave publike.</w:t>
            </w:r>
          </w:p>
        </w:tc>
      </w:tr>
      <w:tr w:rsidR="00F82FD3" w:rsidRPr="0050117C" w14:paraId="68C4146A" w14:textId="77777777" w:rsidTr="07D96137">
        <w:trPr>
          <w:trHeight w:val="42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21418AF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12</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6A7C8775" w14:textId="77777777" w:rsidR="00F82FD3" w:rsidRPr="008A3223" w:rsidRDefault="002052DC">
            <w:pPr>
              <w:contextualSpacing/>
              <w:outlineLvl w:val="2"/>
              <w:rPr>
                <w:rFonts w:asciiTheme="majorHAnsi" w:eastAsia="Calibr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Publikimi i raporteve për procese të konsultimeve publike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46658505" w14:textId="77777777" w:rsidR="00C472B6" w:rsidRPr="008A3223" w:rsidRDefault="00C472B6">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 e proceseve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konsultimeve publike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cilat pasohen me nj</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raport brenda afatit kohor ku listohen k</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rkesat e qytetar</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ve dhe grupeve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interesit si dhe sqarimet p</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 refuzimin e k</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rkesave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tyre, sipas U.A. p</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 standardet minimale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konsultimit publik.</w:t>
            </w:r>
          </w:p>
          <w:p w14:paraId="3FACF1C6" w14:textId="77777777" w:rsidR="00F82FD3" w:rsidRPr="008A3223" w:rsidRDefault="00D11982">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është i rëndësishëm për të monitoruar llogaridhënien e autoriteteve komunale ndaj zonës elektorale të tyre, duke ua mundësuar qytetarëve që t'i monitorojnë inputet </w:t>
            </w:r>
            <w:r w:rsidRPr="008A3223">
              <w:rPr>
                <w:rFonts w:asciiTheme="majorHAnsi" w:hAnsiTheme="majorHAnsi" w:cstheme="majorHAnsi"/>
                <w:color w:val="000000" w:themeColor="text1"/>
                <w:sz w:val="19"/>
                <w:szCs w:val="19"/>
              </w:rPr>
              <w:lastRenderedPageBreak/>
              <w:t>e tyre, dhe duke i mbajtur autoritetet komunale llogaridhënëse. Performanca e treguesit matet në dy kritere: (i) numri i konsultimeve publike gjatë vitit; dhe (ii) numri i konsultimeve publike kur raporti është ngarkuar në uebfaqen komunale brenda 30 ditëve.</w:t>
            </w:r>
          </w:p>
        </w:tc>
      </w:tr>
      <w:tr w:rsidR="00F82FD3" w:rsidRPr="0050117C" w14:paraId="50E766A6" w14:textId="77777777" w:rsidTr="07D96137">
        <w:trPr>
          <w:trHeight w:val="239"/>
        </w:trPr>
        <w:tc>
          <w:tcPr>
            <w:tcW w:w="562" w:type="dxa"/>
            <w:tcBorders>
              <w:top w:val="single" w:sz="4" w:space="0" w:color="auto"/>
              <w:left w:val="single" w:sz="4" w:space="0" w:color="auto"/>
              <w:right w:val="single" w:sz="4" w:space="0" w:color="auto"/>
            </w:tcBorders>
            <w:shd w:val="clear" w:color="auto" w:fill="C2D69B" w:themeFill="accent3" w:themeFillTint="99"/>
            <w:noWrap/>
            <w:vAlign w:val="center"/>
          </w:tcPr>
          <w:p w14:paraId="45501E65"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13</w:t>
            </w:r>
          </w:p>
        </w:tc>
        <w:tc>
          <w:tcPr>
            <w:tcW w:w="5529" w:type="dxa"/>
            <w:tcBorders>
              <w:top w:val="single" w:sz="4" w:space="0" w:color="auto"/>
              <w:left w:val="nil"/>
              <w:right w:val="single" w:sz="4" w:space="0" w:color="auto"/>
            </w:tcBorders>
            <w:shd w:val="clear" w:color="auto" w:fill="C2D69B" w:themeFill="accent3" w:themeFillTint="99"/>
            <w:vAlign w:val="center"/>
          </w:tcPr>
          <w:p w14:paraId="2DAAD425" w14:textId="77777777" w:rsidR="00F82FD3" w:rsidRPr="008A3223" w:rsidRDefault="002052DC">
            <w:pPr>
              <w:contextualSpacing/>
              <w:outlineLvl w:val="2"/>
              <w:rPr>
                <w:rFonts w:asciiTheme="majorHAnsi" w:eastAsia="Calibr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Raportimi i planit vjetor të planit të integritetit para kuvendit komunal</w:t>
            </w:r>
          </w:p>
        </w:tc>
        <w:tc>
          <w:tcPr>
            <w:tcW w:w="7049" w:type="dxa"/>
            <w:tcBorders>
              <w:top w:val="single" w:sz="4" w:space="0" w:color="auto"/>
              <w:left w:val="nil"/>
              <w:right w:val="single" w:sz="4" w:space="0" w:color="auto"/>
            </w:tcBorders>
            <w:shd w:val="clear" w:color="auto" w:fill="C2D69B" w:themeFill="accent3" w:themeFillTint="99"/>
            <w:vAlign w:val="center"/>
          </w:tcPr>
          <w:p w14:paraId="0D9965E9"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përmbushjen e detyrimit për të raportuar mbi zbatimin e planit të integritetit gjatë vitit të vlerësuar, duke siguruar në thelb transparencën dhe llogaridhënien për masat kundër korrupsionit të parapara me planin e integritetit, si instrument parandalues kundër korrupsionit. Performanca e këtij treguesi vlerësohet bazuar në dëshmitë që ofrojnë informata se raporti vjetor i zbatimit të Planit të Integritetit është paraqitur dhe është diskutuar nga KK-ja gjatë vitit deri më 31 dhjetor.</w:t>
            </w:r>
          </w:p>
        </w:tc>
      </w:tr>
      <w:tr w:rsidR="00D84936" w:rsidRPr="0050117C" w14:paraId="065A70E3" w14:textId="77777777" w:rsidTr="07D96137">
        <w:trPr>
          <w:trHeight w:val="239"/>
        </w:trPr>
        <w:tc>
          <w:tcPr>
            <w:tcW w:w="13140" w:type="dxa"/>
            <w:gridSpan w:val="3"/>
            <w:tcBorders>
              <w:top w:val="single" w:sz="4" w:space="0" w:color="auto"/>
              <w:left w:val="single" w:sz="4" w:space="0" w:color="auto"/>
              <w:right w:val="single" w:sz="4" w:space="0" w:color="auto"/>
            </w:tcBorders>
            <w:shd w:val="clear" w:color="auto" w:fill="548DD4" w:themeFill="text2" w:themeFillTint="99"/>
            <w:noWrap/>
            <w:vAlign w:val="center"/>
          </w:tcPr>
          <w:p w14:paraId="5859C153"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20"/>
                <w:szCs w:val="19"/>
              </w:rPr>
              <w:t>II. MENAXHIM KOMUNAL</w:t>
            </w:r>
          </w:p>
        </w:tc>
      </w:tr>
      <w:tr w:rsidR="00D84936" w:rsidRPr="0050117C" w14:paraId="151B0954" w14:textId="77777777" w:rsidTr="07D96137">
        <w:trPr>
          <w:trHeight w:val="239"/>
        </w:trPr>
        <w:tc>
          <w:tcPr>
            <w:tcW w:w="562" w:type="dxa"/>
            <w:tcBorders>
              <w:top w:val="single" w:sz="4" w:space="0" w:color="auto"/>
              <w:left w:val="single" w:sz="4" w:space="0" w:color="auto"/>
              <w:right w:val="single" w:sz="4" w:space="0" w:color="auto"/>
            </w:tcBorders>
            <w:shd w:val="clear" w:color="auto" w:fill="C6D9F1" w:themeFill="text2" w:themeFillTint="33"/>
            <w:noWrap/>
            <w:vAlign w:val="center"/>
          </w:tcPr>
          <w:p w14:paraId="56A95EE0"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IV</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3AA989DF"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Menaxhimi financiar</w:t>
            </w:r>
          </w:p>
        </w:tc>
      </w:tr>
      <w:tr w:rsidR="00F82FD3" w:rsidRPr="0050117C" w14:paraId="5403375A" w14:textId="77777777" w:rsidTr="07D96137">
        <w:trPr>
          <w:trHeight w:val="473"/>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941A2C6" w14:textId="77777777" w:rsidR="00F82FD3" w:rsidRPr="001D245D" w:rsidRDefault="00F82FD3">
            <w:pPr>
              <w:contextualSpacing/>
              <w:jc w:val="center"/>
              <w:rPr>
                <w:rFonts w:asciiTheme="majorHAnsi" w:hAnsiTheme="majorHAnsi" w:cstheme="majorHAnsi"/>
                <w:color w:val="000000"/>
                <w:sz w:val="19"/>
                <w:szCs w:val="19"/>
                <w:highlight w:val="yellow"/>
              </w:rPr>
            </w:pPr>
            <w:r w:rsidRPr="001D245D">
              <w:rPr>
                <w:rFonts w:asciiTheme="majorHAnsi" w:hAnsiTheme="majorHAnsi" w:cstheme="majorHAnsi"/>
                <w:color w:val="000000"/>
                <w:sz w:val="19"/>
                <w:szCs w:val="19"/>
              </w:rPr>
              <w:t>14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60E55CD" w14:textId="77777777" w:rsidR="002052DC"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Niveli i azhurnimit të regjistrit të tatimit në pronë</w:t>
            </w:r>
          </w:p>
          <w:p w14:paraId="1EFE8B71" w14:textId="77777777" w:rsidR="00F82FD3" w:rsidRPr="008A3223" w:rsidRDefault="00F82FD3">
            <w:pPr>
              <w:contextualSpacing/>
              <w:outlineLvl w:val="2"/>
              <w:rPr>
                <w:rFonts w:asciiTheme="majorHAnsi" w:hAnsiTheme="majorHAnsi" w:cstheme="majorHAnsi"/>
                <w:color w:val="000000" w:themeColor="text1"/>
                <w:sz w:val="19"/>
                <w:szCs w:val="19"/>
                <w:highlight w:val="yellow"/>
              </w:rPr>
            </w:pP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6382C2B" w14:textId="77777777" w:rsidR="00F82FD3" w:rsidRPr="008A3223" w:rsidRDefault="00D11982">
            <w:pPr>
              <w:spacing w:before="100"/>
              <w:rPr>
                <w:rFonts w:asciiTheme="majorHAnsi" w:hAnsiTheme="majorHAnsi" w:cstheme="majorHAnsi"/>
                <w:color w:val="000000" w:themeColor="text1"/>
                <w:sz w:val="19"/>
                <w:szCs w:val="19"/>
                <w:highlight w:val="yellow"/>
              </w:rPr>
            </w:pPr>
            <w:r w:rsidRPr="008A3223">
              <w:rPr>
                <w:rFonts w:asciiTheme="majorHAnsi" w:hAnsiTheme="majorHAnsi" w:cstheme="majorHAnsi"/>
                <w:color w:val="000000" w:themeColor="text1"/>
                <w:sz w:val="19"/>
                <w:szCs w:val="19"/>
              </w:rPr>
              <w:t>Treguesi mat performancën e autoriteteve komunale sa i përket zbatimit të detyrimit që lidhet me rivlerësimin e ndërtesave për qëllime të tatimit në pronë brenda vitit kalendarik. Rivlerësimi i ndërtesave për qëllime të tatimit në pronë i referohet detyrimit për t'i identifikuar dhe regjistruar ndryshimet në ndërtesat ekzistuese, në mënyrë që të mundësohet faturimi i tatimit në pronë siç kërkohet me ligj, dhe duhet të kryhet çdo vit. Ligji përcakton që 20% e pronave (ndërtesave) duhet të rishikohen për qëllime të verifikimit, në mënyrë që të sigurohet konsistencë midis regjistrimit dhe gjendjes aktuale të pronës. Baza ligjore për këtë tregues është Ligji nr. 06/L-005 për Tatimin në Pronën e Paluajtshme. Performanca e treguesit llogaritet bazuar në informacionin e marrë në lidhje me: (i) numrin e pronave (ndërtesave) në komunë; (ii) numrin e pronave (ndërtesave) në komunë që janë verifikuar.</w:t>
            </w:r>
          </w:p>
        </w:tc>
      </w:tr>
      <w:tr w:rsidR="00F82FD3" w:rsidRPr="0050117C" w14:paraId="4731945D" w14:textId="77777777" w:rsidTr="07D96137">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A6F4759"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A10D808"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Niveli i mbledhjes së faturës së tatimit në pronë (pa borxhe, interesa, ndëshkime)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33C7550" w14:textId="77777777" w:rsidR="00D11982" w:rsidRPr="008A3223" w:rsidRDefault="00D11982">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zbatimin e detyrimit të tyre ligjor në lidhje me arkëtimin e tatimit në pronë, e shprehur si përqindje e totalit të tatimit në pronë të faturuar brenda një viti. </w:t>
            </w:r>
            <w:r w:rsidR="00C472B6" w:rsidRPr="008A3223">
              <w:rPr>
                <w:rFonts w:asciiTheme="majorHAnsi" w:hAnsiTheme="majorHAnsi" w:cstheme="majorHAnsi"/>
                <w:color w:val="000000" w:themeColor="text1"/>
                <w:sz w:val="19"/>
                <w:szCs w:val="19"/>
              </w:rPr>
              <w:t xml:space="preserve">Treguesi </w:t>
            </w:r>
            <w:r w:rsidRPr="008A3223">
              <w:rPr>
                <w:rFonts w:asciiTheme="majorHAnsi" w:hAnsiTheme="majorHAnsi" w:cstheme="majorHAnsi"/>
                <w:color w:val="000000" w:themeColor="text1"/>
                <w:sz w:val="19"/>
                <w:szCs w:val="19"/>
              </w:rPr>
              <w:t xml:space="preserve">llogarit normën e arkëtimit në një vit, duke përjashtuar borxhet nga faturat e vitit të kaluar, pagesat e interesit dhe gjobat. Matja e nivelit të arkëtimit të tatimit në pronë i referohet vitit të vlerësuar. Ky tregues vlerëson autoritetet komunale duke matur nivelin e arkëtimit të tatimit në pronë në krahasim me tatimin e faturuar gjatë vitit të vlerësuar. Baza ligjore për këtë tregues është Ligji nr. 06/L-005 për Tatimin në Pronën e Paluajtshme. </w:t>
            </w:r>
          </w:p>
          <w:p w14:paraId="316D3FB3" w14:textId="77777777" w:rsidR="00F82FD3" w:rsidRPr="008A3223" w:rsidRDefault="00D11982">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lastRenderedPageBreak/>
              <w:t>Performanca e treguesit llogaritet bazuar në informacionin e marrë në lidhje me: (i) shumën e faturuar për totalin e tatimit në pronë për atë vit (ii) shumën e arkëtuar për totalin e tatimit në pronë të faturuar për atë vit. Treguesi nuk mat vlerën totale të tatimit në pronë të arkëtuar, pasi shuma totale mund të përfshijë edhe borxhet më të vjetra të transferuara nga vitet e kaluara, pagesat e interesit dhe gjobat; në mënyrë specifike ai mat vetëm nivelin e tatimit të arkëtuar gjatë vitit raportues.</w:t>
            </w:r>
          </w:p>
        </w:tc>
      </w:tr>
      <w:tr w:rsidR="00F82FD3" w:rsidRPr="0050117C" w14:paraId="791F8F14" w14:textId="77777777" w:rsidTr="07D96137">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415818F"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16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818399E"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Niveli i adresimit të rekomandimeve të Zyrës Kombëtare të Auditorit</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467471A" w14:textId="77777777" w:rsidR="00F82FD3" w:rsidRPr="008A3223" w:rsidRDefault="00D11982">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zbatimin dhe adresimin e plotë të rekomandimeve të nivelit të lartë dhe të mesëm, të paraqitura shprehimisht në raportin e auditimit të ZKA-së. Në raportin e auditimit të ZKA-së (n-2), i cili i referohet vitit fiskal (n-3), paraqiten rekomandime për zbatim ose adresim, të cilat duhet të zbatohen dhe adresohen plotësisht në vitin (n-1). Treguesi është një masë e rëndësishme e reagimit të autoriteteve komunale në lidhje me rekomandimet e dhëna nga ZKA-ja. Performanca e treguesit vlerësohet bazuar në dëshmitë e adresimit të rekomandimeve të listuara, si përqindje e rekomandimeve të adresuara në raport me rekomandimet e listuara.</w:t>
            </w:r>
          </w:p>
        </w:tc>
      </w:tr>
      <w:tr w:rsidR="00D84936" w:rsidRPr="0050117C" w14:paraId="1118C3BF" w14:textId="77777777" w:rsidTr="07D96137">
        <w:trPr>
          <w:trHeight w:val="46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AC0DBEA"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V</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63C17E57" w14:textId="77777777" w:rsidR="00D84936" w:rsidRPr="00784E19" w:rsidRDefault="00D84936" w:rsidP="00D84936">
            <w:pPr>
              <w:contextualSpacing/>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Menax</w:t>
            </w:r>
            <w:r>
              <w:rPr>
                <w:rFonts w:asciiTheme="majorHAnsi" w:hAnsiTheme="majorHAnsi" w:cstheme="majorHAnsi"/>
                <w:b/>
                <w:color w:val="000000" w:themeColor="text1"/>
                <w:sz w:val="19"/>
                <w:szCs w:val="19"/>
              </w:rPr>
              <w:t>h</w:t>
            </w:r>
            <w:r w:rsidRPr="00784E19">
              <w:rPr>
                <w:rFonts w:asciiTheme="majorHAnsi" w:hAnsiTheme="majorHAnsi" w:cstheme="majorHAnsi"/>
                <w:b/>
                <w:color w:val="000000" w:themeColor="text1"/>
                <w:sz w:val="19"/>
                <w:szCs w:val="19"/>
              </w:rPr>
              <w:t>imi i kontratave</w:t>
            </w:r>
          </w:p>
        </w:tc>
      </w:tr>
      <w:tr w:rsidR="00F82FD3" w:rsidRPr="0050117C" w14:paraId="2F6ACD49" w14:textId="77777777" w:rsidTr="07D96137">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E1A3EB0"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17</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FE3F101" w14:textId="77777777" w:rsidR="00F82FD3" w:rsidRPr="008A3223" w:rsidRDefault="002052DC">
            <w:pPr>
              <w:contextualSpacing/>
              <w:outlineLvl w:val="2"/>
              <w:rPr>
                <w:rFonts w:asciiTheme="majorHAnsi" w:hAnsiTheme="majorHAnsi" w:cstheme="majorHAnsi"/>
                <w:color w:val="000000" w:themeColor="text1"/>
                <w:sz w:val="19"/>
                <w:szCs w:val="19"/>
                <w:lang w:val="en-GB"/>
              </w:rPr>
            </w:pPr>
            <w:r w:rsidRPr="008A3223">
              <w:rPr>
                <w:rFonts w:asciiTheme="majorHAnsi" w:hAnsiTheme="majorHAnsi" w:cstheme="majorHAnsi"/>
                <w:color w:val="000000" w:themeColor="text1"/>
                <w:sz w:val="19"/>
                <w:szCs w:val="19"/>
                <w:lang w:eastAsia="af-ZA"/>
              </w:rPr>
              <w:t>Niveli i zbatimit të planit të prokurimit</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6A191FF" w14:textId="77777777" w:rsidR="00F82FD3" w:rsidRPr="008A3223" w:rsidRDefault="00E17EA6">
            <w:pPr>
              <w:contextualSpacing/>
              <w:rPr>
                <w:rFonts w:asciiTheme="majorHAnsi" w:hAnsiTheme="majorHAnsi" w:cstheme="majorHAnsi"/>
                <w:color w:val="000000" w:themeColor="text1"/>
                <w:sz w:val="19"/>
                <w:szCs w:val="19"/>
                <w:highlight w:val="yellow"/>
              </w:rPr>
            </w:pPr>
            <w:r w:rsidRPr="008A3223">
              <w:rPr>
                <w:rFonts w:asciiTheme="majorHAnsi" w:hAnsiTheme="majorHAnsi" w:cstheme="majorHAnsi"/>
                <w:color w:val="000000" w:themeColor="text1"/>
                <w:sz w:val="19"/>
                <w:szCs w:val="19"/>
              </w:rPr>
              <w:t>Treguesi mat performancën e autoriteteve komunale në lidhje me zbatimin e planit vjetor të prokurimit komunal, duke vlerësuar performancën bazuar në nivelin e shpenzimit të buxhetit të planifikuar përmes aktiviteteve të prokurimit. Në mënyrë të veçantë, treguesi përdor informacion financiar për të vlerësuar performancën ndërmjet buxhetit të planifikuar dhe atij të ekzekutuar përmes prokurimit. Treguesi është një masë e rëndësishme e efektivitetit dhe efikasitetit të autoriteteve komunale në planifikimin dhe ekzekutimin e buxhetit përmes njësisë së prokurimit publik, duke siguruar respektimin e ligjeve, rregullave dhe rregulloreve të prokurimit. Performanca e treguesit vlerësohet bazuar në dëshmitë dokumentuese në vijim: (i) buxheti i përgjithshëm i shpenzuar përmes prokurimit; (ii) buxheti i përgjithshëm i planifikuar për aktivitetet e prokurimit.</w:t>
            </w:r>
          </w:p>
        </w:tc>
      </w:tr>
      <w:tr w:rsidR="003C4D58" w:rsidRPr="0050117C" w14:paraId="22C9E1F4" w14:textId="77777777" w:rsidTr="07D96137">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F5247DB" w14:textId="77777777" w:rsidR="003C4D58" w:rsidRPr="001D245D" w:rsidRDefault="003C4D58" w:rsidP="00D84936">
            <w:pPr>
              <w:contextualSpacing/>
              <w:jc w:val="center"/>
              <w:rPr>
                <w:rFonts w:asciiTheme="majorHAnsi" w:hAnsiTheme="majorHAnsi" w:cstheme="majorHAnsi"/>
                <w:color w:val="000000"/>
                <w:sz w:val="19"/>
                <w:szCs w:val="19"/>
              </w:rPr>
            </w:pPr>
            <w:r>
              <w:rPr>
                <w:rFonts w:asciiTheme="majorHAnsi" w:hAnsiTheme="majorHAnsi" w:cstheme="majorHAnsi"/>
                <w:color w:val="000000"/>
                <w:sz w:val="19"/>
                <w:szCs w:val="19"/>
              </w:rPr>
              <w:t>18</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029B6A57" w14:textId="77777777" w:rsidR="003C4D58" w:rsidRPr="008A3223" w:rsidRDefault="003C4D58" w:rsidP="00D84936">
            <w:pPr>
              <w:contextualSpacing/>
              <w:outlineLvl w:val="2"/>
              <w:rPr>
                <w:rFonts w:asciiTheme="majorHAnsi" w:hAnsiTheme="majorHAnsi" w:cstheme="majorHAnsi"/>
                <w:color w:val="000000" w:themeColor="text1"/>
                <w:sz w:val="19"/>
                <w:szCs w:val="19"/>
                <w:lang w:eastAsia="af-ZA"/>
              </w:rPr>
            </w:pPr>
            <w:r w:rsidRPr="008A3223">
              <w:rPr>
                <w:rFonts w:asciiTheme="majorHAnsi" w:hAnsiTheme="majorHAnsi" w:cstheme="majorHAnsi"/>
                <w:color w:val="000000" w:themeColor="text1"/>
                <w:sz w:val="19"/>
                <w:szCs w:val="19"/>
                <w:lang w:eastAsia="af-ZA"/>
              </w:rPr>
              <w:t>Përgatitja dhe publikimi i listës së pronave komunale të planifikuar për dhënie në shfrytëzim</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1F4B2D8D" w14:textId="77777777" w:rsidR="003C4D58" w:rsidRPr="008A3223" w:rsidRDefault="003C4D58" w:rsidP="003C4D58">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përmbushjen e detyrimeve të tyre në fushën e zhvillimit ekonomik lokal, posaçërisht në përgatitjen dhe publikimin e listës së pronave të planifikuara për t'i dhënë në shfrytëzim për palët e interesuara, konform Ligjit per dhenien ne shfrytezim dhe kembimin e prones se paluajtshme të komunës. Performanca e treguesit bazohet në dëshmitë që ofrojnë informata për kriteret e mëposhtme: (i) lista e përgatitur dhe përditësuar me prona të planifikuara për dhënie në shfrytëzim;</w:t>
            </w:r>
          </w:p>
          <w:p w14:paraId="221F3891" w14:textId="77777777" w:rsidR="003C4D58" w:rsidRPr="008A3223" w:rsidRDefault="003C4D58" w:rsidP="00784E19">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lastRenderedPageBreak/>
              <w:t xml:space="preserve">(ii) publikimi i listës së përditësuar të pronave të planifikuara për dhënie në shfrytëzim. </w:t>
            </w:r>
          </w:p>
        </w:tc>
      </w:tr>
      <w:tr w:rsidR="00733B71" w:rsidRPr="0050117C" w14:paraId="14A9CD97" w14:textId="77777777" w:rsidTr="07D96137">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EE07DC" w14:textId="77777777" w:rsidR="00733B71" w:rsidRDefault="00733B71" w:rsidP="00D84936">
            <w:pPr>
              <w:contextualSpacing/>
              <w:jc w:val="center"/>
              <w:rPr>
                <w:rFonts w:asciiTheme="majorHAnsi" w:hAnsiTheme="majorHAnsi" w:cstheme="majorHAnsi"/>
                <w:color w:val="000000"/>
                <w:sz w:val="19"/>
                <w:szCs w:val="19"/>
              </w:rPr>
            </w:pPr>
            <w:r w:rsidRPr="00E27D2C">
              <w:rPr>
                <w:rFonts w:asciiTheme="majorHAnsi" w:hAnsiTheme="majorHAnsi" w:cstheme="majorHAnsi"/>
                <w:b/>
                <w:color w:val="000000"/>
                <w:sz w:val="19"/>
                <w:szCs w:val="19"/>
              </w:rPr>
              <w:lastRenderedPageBreak/>
              <w:t>VI</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07B061EF" w14:textId="77777777" w:rsidR="00733B71" w:rsidRPr="008A3223" w:rsidRDefault="00733B71" w:rsidP="003C4D58">
            <w:pPr>
              <w:contextualSpacing/>
              <w:rPr>
                <w:rFonts w:asciiTheme="majorHAnsi" w:hAnsiTheme="majorHAnsi" w:cstheme="majorHAnsi"/>
                <w:color w:val="000000" w:themeColor="text1"/>
                <w:sz w:val="19"/>
                <w:szCs w:val="19"/>
              </w:rPr>
            </w:pPr>
            <w:r w:rsidRPr="005F564E">
              <w:rPr>
                <w:rFonts w:asciiTheme="majorHAnsi" w:hAnsiTheme="majorHAnsi" w:cstheme="majorHAnsi"/>
                <w:b/>
                <w:color w:val="000000" w:themeColor="text1"/>
                <w:sz w:val="19"/>
                <w:szCs w:val="19"/>
                <w:lang w:eastAsia="af-ZA"/>
              </w:rPr>
              <w:t>Menaxhimi i burimeve njerëzore</w:t>
            </w:r>
          </w:p>
        </w:tc>
      </w:tr>
      <w:tr w:rsidR="003C4D58" w:rsidRPr="0050117C" w14:paraId="12DB1214" w14:textId="77777777" w:rsidTr="00852D64">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40E36F" w14:textId="77777777" w:rsidR="003C4D58" w:rsidRPr="001D245D" w:rsidRDefault="003C4D58"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19</w:t>
            </w:r>
          </w:p>
        </w:tc>
        <w:tc>
          <w:tcPr>
            <w:tcW w:w="5529" w:type="dxa"/>
            <w:tcBorders>
              <w:top w:val="single" w:sz="4" w:space="0" w:color="auto"/>
              <w:left w:val="nil"/>
              <w:bottom w:val="single" w:sz="4" w:space="0" w:color="auto"/>
              <w:right w:val="single" w:sz="4" w:space="0" w:color="auto"/>
            </w:tcBorders>
            <w:shd w:val="clear" w:color="auto" w:fill="FFC000"/>
            <w:vAlign w:val="center"/>
          </w:tcPr>
          <w:p w14:paraId="41620166" w14:textId="77777777" w:rsidR="003C4D58" w:rsidRPr="008A3223" w:rsidRDefault="003C4D58" w:rsidP="00D84936">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lang w:eastAsia="af-ZA"/>
              </w:rPr>
              <w:t>Vende të hapura të punës që janë procesuar përmes SIMBNj</w:t>
            </w:r>
          </w:p>
        </w:tc>
        <w:tc>
          <w:tcPr>
            <w:tcW w:w="7049" w:type="dxa"/>
            <w:tcBorders>
              <w:top w:val="single" w:sz="4" w:space="0" w:color="auto"/>
              <w:left w:val="nil"/>
              <w:bottom w:val="single" w:sz="4" w:space="0" w:color="auto"/>
              <w:right w:val="single" w:sz="4" w:space="0" w:color="auto"/>
            </w:tcBorders>
            <w:shd w:val="clear" w:color="auto" w:fill="FFC000"/>
            <w:vAlign w:val="bottom"/>
          </w:tcPr>
          <w:p w14:paraId="67DC8B5B" w14:textId="77777777" w:rsidR="003C4D58" w:rsidRPr="008A3223" w:rsidRDefault="003C4D58" w:rsidP="00D8493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për të siguruar pajtueshmërinë me menaxhimin e burimeve njerëzore në komunë, duke siguruar që të gjitha vendet e lira të punës përpunohen përmes sistemit elektronik SIMBNJ (sistemi informativ për menaxhimin e burimeve njerëzore). Performanca e treguesit vlerësohet duke u bazuar në informatat e dhëna për: (i) numrin e përgjithshëm të punësimeve të reja të nëpunësve civilë gjatë vitit, në komunë dhe në institucionet vartëse të saj; (ii) numrin e përgjithshëm të punësimeve të reja të nëpunësve civilë gjatë vitit në komunë dhe në institucionet vartëse të saj, të përpunuara përmes SIMBNJ-së.</w:t>
            </w:r>
          </w:p>
        </w:tc>
      </w:tr>
      <w:tr w:rsidR="003C4D58" w:rsidRPr="0050117C" w14:paraId="4A316490" w14:textId="77777777" w:rsidTr="07D96137">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95151F1" w14:textId="77777777" w:rsidR="003C4D58" w:rsidRPr="001D245D" w:rsidRDefault="003C4D58"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20</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FC19219" w14:textId="77777777" w:rsidR="003C4D58" w:rsidRPr="008A3223" w:rsidRDefault="003C4D58" w:rsidP="00D84936">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Gratë në pozita udhëheqëse në institucionet arsimore, shëndetësore e kulturore/sportive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000E9331" w14:textId="77777777" w:rsidR="003C4D58" w:rsidRPr="008A3223" w:rsidRDefault="003C4D58" w:rsidP="00D8493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nivelin e performancës së autoriteteve komunale në lidhje me nivelet e arritura të barazisë gjinore në pozitat udhëheqëse në institucionet vartëse të komunës në fushën e arsimit, kujdesit shëndetësor, kulturës dhe sportit. Treguesi mat përqindjen e pajtueshmërisë me cakun e barazisë gjinore, duke matur përqindjen e grave në pozita më të larta menaxhuese në organet komunale dhe institucionet vartëse. Baza ligjore për këtë tregues është Ligji nr. 05/L-020 për Barazi Gjinore, dhe Programi i Kosovës për Barazi Gjinore. Performanca e treguesit përcaktohet në bazë të dëshmive (i) totali i të punësuarve në pozitat më të larta menaxhuese në organet komunale dhe institucionet vartëse, (ii) numri i grave në pozitat e larta menaxhuese në organet komunale dhe institucionet vartëse.</w:t>
            </w:r>
          </w:p>
        </w:tc>
      </w:tr>
      <w:tr w:rsidR="003C4D58" w:rsidRPr="0050117C" w14:paraId="55227F3C" w14:textId="77777777" w:rsidTr="07D96137">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63EBD722" w14:textId="77777777" w:rsidR="003C4D58" w:rsidRPr="001D245D" w:rsidRDefault="003C4D58"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21</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69A90D43" w14:textId="77777777" w:rsidR="003C4D58" w:rsidRPr="008A3223" w:rsidRDefault="003C4D58" w:rsidP="00D84936">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Gra të emëruara në postet politike në komunë</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156EC259" w14:textId="77777777" w:rsidR="003C4D58" w:rsidRPr="008A3223" w:rsidRDefault="003C4D58" w:rsidP="00D8493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nivelin e performancës së autoriteteve komunale në lidhje me nivelet e arritura të barazisë gjinore në pozitat politikisht të emëruara në strukturat e komunës. Treguesi mat përqindjen e pajtueshmërisë me cakun e barazisë gjinore, duke matur përqindjen e grave në pozitat politikisht të emërara në autoritetet komunale. Treguesi mat emërimet në pozita politike siç është pozita e nënkryetarit të komunës, drejtorit komunal, këshilltarit politik dhe pozitave të tjera politikisht të mandatuara. Baza ligjore për këtë tregues është Ligji nr. 05/L-020 për Barazi Gjinore dhe Programi i Kosovës për Barazi Gjinore. Performanca e treguesit përcaktohet në bazë të dëshmive (i) totali i personave në pozita politike të emëruara në komunë (ii) numri i grave në pozitat politike të emëruara në komunë.</w:t>
            </w:r>
          </w:p>
        </w:tc>
      </w:tr>
      <w:tr w:rsidR="00733B71" w:rsidRPr="0050117C" w14:paraId="44E7A212" w14:textId="77777777" w:rsidTr="07D96137">
        <w:trPr>
          <w:trHeight w:val="401"/>
        </w:trPr>
        <w:tc>
          <w:tcPr>
            <w:tcW w:w="1314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277815C3" w14:textId="77777777" w:rsidR="00733B71" w:rsidRPr="00784E19" w:rsidRDefault="00733B71"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lastRenderedPageBreak/>
              <w:t>III. OFRIMI I SHËRBIMEVE</w:t>
            </w:r>
          </w:p>
        </w:tc>
      </w:tr>
      <w:tr w:rsidR="00733B71" w:rsidRPr="0050117C" w14:paraId="6C700E59" w14:textId="77777777" w:rsidTr="07D96137">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5416A47" w14:textId="77777777" w:rsidR="00733B71" w:rsidRPr="001D245D" w:rsidRDefault="00733B71"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b/>
                <w:bCs/>
                <w:color w:val="000000"/>
                <w:sz w:val="19"/>
                <w:szCs w:val="19"/>
              </w:rPr>
              <w:t>VII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3996E230" w14:textId="77777777" w:rsidR="00733B71" w:rsidRPr="00784E19" w:rsidRDefault="00733B71"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Shërbimet administrative</w:t>
            </w:r>
          </w:p>
        </w:tc>
      </w:tr>
      <w:tr w:rsidR="00F82FD3" w:rsidRPr="0050117C" w14:paraId="4F00DFC0" w14:textId="77777777" w:rsidTr="07D96137">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1E34E0A"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22</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835AA14" w14:textId="77777777" w:rsidR="00F82FD3" w:rsidRPr="008A3223" w:rsidRDefault="00157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K</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rkesat administravite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shqyrtuara brenda afateve ligjore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DCA8FF1"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efektivitetin e autoriteteve komunale në shqyrtimin e kërkesave të paraqitura nga qytetarët dhe organizatat përgjatë vitit të vlerësuar. Prandaj, autoritetet komunale obligohen t'i shqyrtojnë të gjitha kërkesat e qytetarëve brenda afateve specifike, varësisht nga natyra/fusha e kërkesës. Vetëm rastet e regjistruara (dorëzuara) përmes Qendrës Komunale për Qytetarët merren parasysh dhe llogariten për qëllimet e matjes. Treguesi mat përqindjen e rasteve të shqyrtuara në raport me rastet e përgjithshme të menaxhuara nga sistemi komunal. Baza ligjore për treguesin është Ligji nr. 05/L-031 për Procedurën e Përgjithshme Administrative dhe një grup i gjerë ligjesh dhe aktesh nënligjore që rregullojnë kohëzgjatjet specifike të procedurave. Performanca e treguesit vlerësohet duke siguruar informata në lidhje me: (i) numrin e rasteve të shqyrtuara nga komuna gjatë vitit; (ii) numrin e rasteve të shqyrtuara nga komuna brenda afateve ligjore.</w:t>
            </w:r>
          </w:p>
        </w:tc>
      </w:tr>
      <w:tr w:rsidR="00F82FD3" w:rsidRPr="0050117C" w14:paraId="2FAD4FD0" w14:textId="77777777" w:rsidTr="07D96137">
        <w:trPr>
          <w:trHeight w:val="3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6F94A25D"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23</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3425ACEB" w14:textId="77777777" w:rsidR="00F82FD3" w:rsidRPr="008A3223" w:rsidRDefault="007D396D">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Kërkesa të shqyrtuara për leje të ndërtimit</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246772D6"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efektivitetin e shqyrtimit të kërkesave për leje ndërtimore. Në mënyrë të veçantë, ky tregues mat përqindjen e kërkesave të shqyrtuara, pa paragjykuar rezultatin pozitiv ose negativ të kërkesave për leje ndërtimore, meqenëse kualifikueshmëria ose pajtueshmëria e secilës kërkesë ose ndonjërës prej tyre për leje ndërtimore nuk mund të paragjykohet. Përqindja e kërkesave të shqyrtuara bazohet në numrin e kërkesave të paraqitura gjatë vitit të raportuar. Baza ligjore për këtë tregues është Ligji nr. 04/L-110 për Ndërtim dhe Ligji për Vetëqeverisje Lokale. Performanca e treguesit vlerësohet bazuar në dëshmitë e disponueshme për kriteret vijuese: (i) numrin e kërkesave për leje ndërtimore përgjatë vitit; (ii) numrin e kërkesave të shqyrtuara përgjatë vitit.</w:t>
            </w:r>
          </w:p>
        </w:tc>
      </w:tr>
      <w:tr w:rsidR="00733B71" w:rsidRPr="0050117C" w14:paraId="37472FE6" w14:textId="77777777" w:rsidTr="07D96137">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26DBB0C3" w14:textId="77777777" w:rsidR="00733B71" w:rsidRPr="00784E19" w:rsidRDefault="00733B71"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VIII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5518E648" w14:textId="77777777" w:rsidR="00733B71" w:rsidRPr="00784E19" w:rsidRDefault="00733B71"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Planifikimi hapësinor, transporti publik dhe mjedisi</w:t>
            </w:r>
          </w:p>
        </w:tc>
      </w:tr>
      <w:tr w:rsidR="00F82FD3" w:rsidRPr="0050117C" w14:paraId="545A2A8C" w14:textId="77777777" w:rsidTr="07D96137">
        <w:trPr>
          <w:trHeight w:val="518"/>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10558EE"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05317C27" w14:textId="47061A51" w:rsidR="00F82FD3" w:rsidRPr="008A3223" w:rsidRDefault="007D396D">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Sipërfaqja e territorit të komunës e mbuluar me plane rregulluese  (të hollësishme)</w:t>
            </w:r>
            <w:r w:rsidR="0031703E">
              <w:rPr>
                <w:rFonts w:asciiTheme="majorHAnsi" w:hAnsiTheme="majorHAnsi" w:cstheme="majorHAnsi"/>
                <w:color w:val="000000" w:themeColor="text1"/>
                <w:sz w:val="19"/>
                <w:szCs w:val="19"/>
              </w:rPr>
              <w:t xml:space="preserve"> ose harta zonale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674A7E7"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përmbushjen e mandatit të tyre për të krijuar dhe zbatuar instrumente ligjore që rregullojnë përdorimin e tokës, siç janë planet e detajuara rregullative. Në mënyrë të veçantë, treguesi mat përqindjen e territorit komunal që është i përfshirë në planet e detajuara rregullative ose hartat zonale si instrumente ligjore që rregullojnë përdorimin e tokës. Performanca matet si përqindje e territorit që është i përfshirë në hartat zonale ose planet e detajuara </w:t>
            </w:r>
            <w:r w:rsidRPr="008A3223">
              <w:rPr>
                <w:rFonts w:asciiTheme="majorHAnsi" w:hAnsiTheme="majorHAnsi" w:cstheme="majorHAnsi"/>
                <w:color w:val="000000" w:themeColor="text1"/>
                <w:sz w:val="19"/>
                <w:szCs w:val="19"/>
              </w:rPr>
              <w:lastRenderedPageBreak/>
              <w:t>rregullative. Baza ligjore për këtë tregues është Ligji nr. 04/L-174 për Planifikimin Hapësinor. Niveli i performancës së treguesit bazohet në dëshmitë e siguruara për kriteret vijuese: (i) sipërfaqen e përgjithshme të komunës në ha; (ii) sipërfaqen e përgjithshme të komunës që është e përfshirë në instrumente planifikimi siç është Plani i Detajuar Rregullativ ose Harta Zonale në ha.</w:t>
            </w:r>
          </w:p>
        </w:tc>
      </w:tr>
      <w:tr w:rsidR="00F82FD3" w:rsidRPr="0050117C" w14:paraId="5C7E3B74" w14:textId="77777777" w:rsidTr="07D96137">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21F30B3"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25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19C15D3" w14:textId="77777777" w:rsidR="00F82FD3" w:rsidRPr="008A3223" w:rsidRDefault="007D396D">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Vendbanimet e përfshira në transportin lokal publik</w:t>
            </w:r>
            <w:r w:rsidRPr="008A3223">
              <w:rPr>
                <w:rFonts w:asciiTheme="majorHAnsi" w:hAnsiTheme="majorHAnsi" w:cstheme="majorHAnsi"/>
                <w:color w:val="000000" w:themeColor="text1"/>
                <w:sz w:val="19"/>
                <w:szCs w:val="19"/>
              </w:rPr>
              <w:tab/>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BFE0E79"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komunës në lidhje me organizimin e shërbimeve të transportit publik për secilin vendbanim në komunë dhe në të mirë të qytetarëve të saj. Performanca matet si përqindja e vendbanimeve që përfshihen në sistemin e transportit publik në lidhje me numrin e përgjithshëm të vendbanimeve në komunë. Baza ligjore për këtë tregues është dhënë në Ligjin për Vetëqeverisje Lokale dhe Ligjin nr. 04/L-179 për Transport Rrugor. Performanca e treguesit vlerësohet duke u bazuar në dëshmitë në lidhje me kriteret vijuese: (i) numrin e vendbanimeve në komunë; (ii) </w:t>
            </w:r>
            <w:r w:rsidR="005466DF" w:rsidRPr="008A3223">
              <w:rPr>
                <w:rFonts w:asciiTheme="majorHAnsi" w:hAnsiTheme="majorHAnsi" w:cstheme="majorHAnsi"/>
                <w:color w:val="000000" w:themeColor="text1"/>
                <w:sz w:val="19"/>
                <w:szCs w:val="19"/>
              </w:rPr>
              <w:t>gjithsej vendbanime t</w:t>
            </w:r>
            <w:r w:rsidR="007B6F16" w:rsidRPr="008A3223">
              <w:rPr>
                <w:rFonts w:asciiTheme="majorHAnsi" w:hAnsiTheme="majorHAnsi" w:cstheme="majorHAnsi"/>
                <w:color w:val="000000" w:themeColor="text1"/>
                <w:sz w:val="19"/>
                <w:szCs w:val="19"/>
              </w:rPr>
              <w:t>ë</w:t>
            </w:r>
            <w:r w:rsidR="005466DF" w:rsidRPr="008A3223">
              <w:rPr>
                <w:rFonts w:asciiTheme="majorHAnsi" w:hAnsiTheme="majorHAnsi" w:cstheme="majorHAnsi"/>
                <w:color w:val="000000" w:themeColor="text1"/>
                <w:sz w:val="19"/>
                <w:szCs w:val="19"/>
              </w:rPr>
              <w:t xml:space="preserve"> p</w:t>
            </w:r>
            <w:r w:rsidR="007B6F16" w:rsidRPr="008A3223">
              <w:rPr>
                <w:rFonts w:asciiTheme="majorHAnsi" w:hAnsiTheme="majorHAnsi" w:cstheme="majorHAnsi"/>
                <w:color w:val="000000" w:themeColor="text1"/>
                <w:sz w:val="19"/>
                <w:szCs w:val="19"/>
              </w:rPr>
              <w:t>ë</w:t>
            </w:r>
            <w:r w:rsidR="005466DF" w:rsidRPr="008A3223">
              <w:rPr>
                <w:rFonts w:asciiTheme="majorHAnsi" w:hAnsiTheme="majorHAnsi" w:cstheme="majorHAnsi"/>
                <w:color w:val="000000" w:themeColor="text1"/>
                <w:sz w:val="19"/>
                <w:szCs w:val="19"/>
              </w:rPr>
              <w:t>rfshira n</w:t>
            </w:r>
            <w:r w:rsidR="007B6F16" w:rsidRPr="008A3223">
              <w:rPr>
                <w:rFonts w:asciiTheme="majorHAnsi" w:hAnsiTheme="majorHAnsi" w:cstheme="majorHAnsi"/>
                <w:color w:val="000000" w:themeColor="text1"/>
                <w:sz w:val="19"/>
                <w:szCs w:val="19"/>
              </w:rPr>
              <w:t>ë</w:t>
            </w:r>
            <w:r w:rsidR="005466DF" w:rsidRPr="008A3223">
              <w:rPr>
                <w:rFonts w:asciiTheme="majorHAnsi" w:hAnsiTheme="majorHAnsi" w:cstheme="majorHAnsi"/>
                <w:color w:val="000000" w:themeColor="text1"/>
                <w:sz w:val="19"/>
                <w:szCs w:val="19"/>
              </w:rPr>
              <w:t xml:space="preserve"> transportin lokal publik</w:t>
            </w:r>
            <w:r w:rsidRPr="008A3223">
              <w:rPr>
                <w:rFonts w:asciiTheme="majorHAnsi" w:hAnsiTheme="majorHAnsi" w:cstheme="majorHAnsi"/>
                <w:color w:val="000000" w:themeColor="text1"/>
                <w:sz w:val="19"/>
                <w:szCs w:val="19"/>
              </w:rPr>
              <w:t>.</w:t>
            </w:r>
          </w:p>
        </w:tc>
      </w:tr>
      <w:tr w:rsidR="00F82FD3" w:rsidRPr="0050117C" w14:paraId="048FBB5B" w14:textId="77777777" w:rsidTr="07D96137">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1BBC8F3"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C18FD20" w14:textId="77777777" w:rsidR="00F82FD3" w:rsidRPr="008A3223" w:rsidRDefault="007F1D9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Realizimi i</w:t>
            </w:r>
            <w:r w:rsidR="00F82FD3" w:rsidRPr="008A3223">
              <w:rPr>
                <w:rFonts w:asciiTheme="majorHAnsi" w:hAnsiTheme="majorHAnsi" w:cstheme="majorHAnsi"/>
                <w:color w:val="000000" w:themeColor="text1"/>
                <w:sz w:val="19"/>
                <w:szCs w:val="19"/>
              </w:rPr>
              <w:t xml:space="preserve"> plani</w:t>
            </w:r>
            <w:r w:rsidRPr="008A3223">
              <w:rPr>
                <w:rFonts w:asciiTheme="majorHAnsi" w:hAnsiTheme="majorHAnsi" w:cstheme="majorHAnsi"/>
                <w:color w:val="000000" w:themeColor="text1"/>
                <w:sz w:val="19"/>
                <w:szCs w:val="19"/>
              </w:rPr>
              <w:t>t</w:t>
            </w:r>
            <w:r w:rsidR="00F82FD3" w:rsidRPr="008A3223">
              <w:rPr>
                <w:rFonts w:asciiTheme="majorHAnsi" w:hAnsiTheme="majorHAnsi" w:cstheme="majorHAnsi"/>
                <w:color w:val="000000" w:themeColor="text1"/>
                <w:sz w:val="19"/>
                <w:szCs w:val="19"/>
              </w:rPr>
              <w:t xml:space="preserve"> lokal të veprimit </w:t>
            </w:r>
            <w:r w:rsidRPr="008A3223">
              <w:rPr>
                <w:rFonts w:asciiTheme="majorHAnsi" w:hAnsiTheme="majorHAnsi" w:cstheme="majorHAnsi"/>
                <w:color w:val="000000" w:themeColor="text1"/>
                <w:sz w:val="19"/>
                <w:szCs w:val="19"/>
              </w:rPr>
              <w:t>në</w:t>
            </w:r>
            <w:r w:rsidR="00F82FD3" w:rsidRPr="008A3223">
              <w:rPr>
                <w:rFonts w:asciiTheme="majorHAnsi" w:hAnsiTheme="majorHAnsi" w:cstheme="majorHAnsi"/>
                <w:color w:val="000000" w:themeColor="text1"/>
                <w:sz w:val="19"/>
                <w:szCs w:val="19"/>
              </w:rPr>
              <w:t xml:space="preserve"> mjedis</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5B38F5C"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w:t>
            </w:r>
            <w:r w:rsidR="005466DF" w:rsidRPr="008A3223">
              <w:rPr>
                <w:rFonts w:asciiTheme="majorHAnsi" w:hAnsiTheme="majorHAnsi" w:cstheme="majorHAnsi"/>
                <w:color w:val="000000" w:themeColor="text1"/>
                <w:sz w:val="19"/>
                <w:szCs w:val="19"/>
              </w:rPr>
              <w:t xml:space="preserve">komunave </w:t>
            </w:r>
            <w:r w:rsidRPr="008A3223">
              <w:rPr>
                <w:rFonts w:asciiTheme="majorHAnsi" w:hAnsiTheme="majorHAnsi" w:cstheme="majorHAnsi"/>
                <w:color w:val="000000" w:themeColor="text1"/>
                <w:sz w:val="19"/>
                <w:szCs w:val="19"/>
              </w:rPr>
              <w:t xml:space="preserve">në përgatitjen dhe zbatimin e planeve lokale të veprimit, të cilat paraqesin planet e domosdoshme lokale të veprimit për mbrojtjen e mjedisit. Performanca matet me zbatimin e aktiviteteve vjetore të përcaktuara në plan. Si rezultat, matja e performancës në hartimin e dokumentit të planifikimit për planin e veprimit për mbrojtjen e mjedisit matet gjithashtu përmes zbatimit. Baza ligjore për këtë tregues është dhënë në Ligjin nr. 03/L-025 për Mbrojtjen e Mjedisit. Performanca e treguesit vlerësohet duke u bazuar në informatat në dispozicion në lidhje me kriteret vijuese: (i) </w:t>
            </w:r>
            <w:r w:rsidR="00B44E7C" w:rsidRPr="008A3223">
              <w:rPr>
                <w:rFonts w:asciiTheme="majorHAnsi" w:hAnsiTheme="majorHAnsi" w:cstheme="majorHAnsi"/>
                <w:color w:val="000000" w:themeColor="text1"/>
                <w:sz w:val="19"/>
                <w:szCs w:val="19"/>
              </w:rPr>
              <w:t>aktivitetet e planifikuara p</w:t>
            </w:r>
            <w:r w:rsidR="007B6F16" w:rsidRPr="008A3223">
              <w:rPr>
                <w:rFonts w:asciiTheme="majorHAnsi" w:hAnsiTheme="majorHAnsi" w:cstheme="majorHAnsi"/>
                <w:color w:val="000000" w:themeColor="text1"/>
                <w:sz w:val="19"/>
                <w:szCs w:val="19"/>
              </w:rPr>
              <w:t>ë</w:t>
            </w:r>
            <w:r w:rsidR="00B44E7C" w:rsidRPr="008A3223">
              <w:rPr>
                <w:rFonts w:asciiTheme="majorHAnsi" w:hAnsiTheme="majorHAnsi" w:cstheme="majorHAnsi"/>
                <w:color w:val="000000" w:themeColor="text1"/>
                <w:sz w:val="19"/>
                <w:szCs w:val="19"/>
              </w:rPr>
              <w:t>r veprim lokal/komunal mjedisor</w:t>
            </w:r>
            <w:r w:rsidRPr="008A3223">
              <w:rPr>
                <w:rFonts w:asciiTheme="majorHAnsi" w:hAnsiTheme="majorHAnsi" w:cstheme="majorHAnsi"/>
                <w:color w:val="000000" w:themeColor="text1"/>
                <w:sz w:val="19"/>
                <w:szCs w:val="19"/>
              </w:rPr>
              <w:t xml:space="preserve">; (ii) </w:t>
            </w:r>
            <w:r w:rsidR="00B44E7C" w:rsidRPr="008A3223">
              <w:rPr>
                <w:rFonts w:asciiTheme="majorHAnsi" w:hAnsiTheme="majorHAnsi" w:cstheme="majorHAnsi"/>
                <w:color w:val="000000" w:themeColor="text1"/>
                <w:sz w:val="19"/>
                <w:szCs w:val="19"/>
              </w:rPr>
              <w:t xml:space="preserve">aktivitetet e realizuara </w:t>
            </w:r>
            <w:r w:rsidRPr="008A3223">
              <w:rPr>
                <w:rFonts w:asciiTheme="majorHAnsi" w:hAnsiTheme="majorHAnsi" w:cstheme="majorHAnsi"/>
                <w:color w:val="000000" w:themeColor="text1"/>
                <w:sz w:val="19"/>
                <w:szCs w:val="19"/>
              </w:rPr>
              <w:t xml:space="preserve">nga </w:t>
            </w:r>
            <w:r w:rsidR="00B44E7C" w:rsidRPr="008A3223">
              <w:rPr>
                <w:rFonts w:asciiTheme="majorHAnsi" w:hAnsiTheme="majorHAnsi" w:cstheme="majorHAnsi"/>
                <w:color w:val="000000" w:themeColor="text1"/>
                <w:sz w:val="19"/>
                <w:szCs w:val="19"/>
              </w:rPr>
              <w:t>veprimet e planifikuara</w:t>
            </w:r>
            <w:r w:rsidRPr="008A3223">
              <w:rPr>
                <w:rFonts w:asciiTheme="majorHAnsi" w:hAnsiTheme="majorHAnsi" w:cstheme="majorHAnsi"/>
                <w:color w:val="000000" w:themeColor="text1"/>
                <w:sz w:val="19"/>
                <w:szCs w:val="19"/>
              </w:rPr>
              <w:t>.</w:t>
            </w:r>
          </w:p>
        </w:tc>
      </w:tr>
      <w:tr w:rsidR="00733B71" w:rsidRPr="0050117C" w14:paraId="54B46B0F" w14:textId="77777777" w:rsidTr="07D96137">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133A26" w14:textId="77777777" w:rsidR="00733B71" w:rsidRPr="00784E19" w:rsidRDefault="00733B71" w:rsidP="00D84936">
            <w:pPr>
              <w:contextualSpacing/>
              <w:jc w:val="center"/>
              <w:rPr>
                <w:rFonts w:asciiTheme="majorHAnsi" w:hAnsiTheme="majorHAnsi" w:cstheme="majorHAnsi"/>
                <w:b/>
                <w:color w:val="000000"/>
                <w:sz w:val="19"/>
                <w:szCs w:val="19"/>
              </w:rPr>
            </w:pPr>
            <w:r>
              <w:rPr>
                <w:rFonts w:asciiTheme="majorHAnsi" w:hAnsiTheme="majorHAnsi" w:cstheme="majorHAnsi"/>
                <w:b/>
                <w:color w:val="000000"/>
                <w:sz w:val="19"/>
                <w:szCs w:val="19"/>
              </w:rPr>
              <w:t>IX</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11AA7E1A" w14:textId="77777777" w:rsidR="00733B71" w:rsidRPr="00784E19" w:rsidRDefault="00733B71" w:rsidP="00D84936">
            <w:pPr>
              <w:spacing w:before="100"/>
              <w:rPr>
                <w:rFonts w:asciiTheme="majorHAnsi" w:hAnsiTheme="majorHAnsi" w:cstheme="majorHAnsi"/>
                <w:b/>
                <w:color w:val="000000" w:themeColor="text1"/>
                <w:sz w:val="19"/>
                <w:szCs w:val="19"/>
              </w:rPr>
            </w:pPr>
            <w:r>
              <w:rPr>
                <w:rFonts w:asciiTheme="majorHAnsi" w:hAnsiTheme="majorHAnsi" w:cstheme="majorHAnsi"/>
                <w:b/>
                <w:color w:val="000000" w:themeColor="text1"/>
                <w:sz w:val="19"/>
                <w:szCs w:val="19"/>
              </w:rPr>
              <w:t>Arsimi para-universitar</w:t>
            </w:r>
          </w:p>
        </w:tc>
      </w:tr>
      <w:tr w:rsidR="00F82FD3" w:rsidRPr="0050117C" w14:paraId="7F0F0B25" w14:textId="77777777" w:rsidTr="00852D64">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87C0075"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27</w:t>
            </w:r>
          </w:p>
        </w:tc>
        <w:tc>
          <w:tcPr>
            <w:tcW w:w="5529" w:type="dxa"/>
            <w:tcBorders>
              <w:top w:val="single" w:sz="4" w:space="0" w:color="auto"/>
              <w:left w:val="nil"/>
              <w:bottom w:val="single" w:sz="4" w:space="0" w:color="auto"/>
              <w:right w:val="single" w:sz="4" w:space="0" w:color="auto"/>
            </w:tcBorders>
            <w:shd w:val="clear" w:color="auto" w:fill="FFC000"/>
            <w:vAlign w:val="center"/>
          </w:tcPr>
          <w:p w14:paraId="382A5275"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Fëmijët që vijojnë kopshtin - rural dhe përgjithësi</w:t>
            </w:r>
          </w:p>
        </w:tc>
        <w:tc>
          <w:tcPr>
            <w:tcW w:w="7049" w:type="dxa"/>
            <w:tcBorders>
              <w:top w:val="single" w:sz="4" w:space="0" w:color="auto"/>
              <w:left w:val="nil"/>
              <w:bottom w:val="single" w:sz="4" w:space="0" w:color="auto"/>
              <w:right w:val="single" w:sz="4" w:space="0" w:color="auto"/>
            </w:tcBorders>
            <w:shd w:val="clear" w:color="auto" w:fill="FFC000"/>
            <w:vAlign w:val="center"/>
          </w:tcPr>
          <w:p w14:paraId="4AAA370F"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rritjen e numrit të fëmijëve që vijojnë kopshtet e fëmijëve si pjesë e edukimit të hershëm. Treguesi jep përqindjen e fëmijëve të moshës 0-3 vjeç që vijojnë kopshte fëmijësh, e matur për fëmijët e asaj grupmoshe në komunë dhe për fëmijët në zonat rurale. Për komunën, sfida është t'i ndërtojë dhe t'i drejtojë kopshtet e fëmijëve për ta përmbushur kërkesën e popullatës. Treguesi gjithashtu mbledh të dhëna të ndara sipas gjinisë së fëmijëve/vijueshmërisë së vajzave. Performanca e treguesit vlerësohet nga dëshmitë në lidhje me kriteret vijuese: (i) numrin e fëmijëve të moshës 0-3 vjeç nga totali i fëmijëve, nga zonat rurale dhe </w:t>
            </w:r>
            <w:r w:rsidRPr="008A3223">
              <w:rPr>
                <w:rFonts w:asciiTheme="majorHAnsi" w:hAnsiTheme="majorHAnsi" w:cstheme="majorHAnsi"/>
                <w:color w:val="000000" w:themeColor="text1"/>
                <w:sz w:val="19"/>
                <w:szCs w:val="19"/>
              </w:rPr>
              <w:lastRenderedPageBreak/>
              <w:t>numrin e vajzave; (ii) numrin e fëmijëve të moshës 0-3 vjeç që janë të regjistruar në kopshte fëmijësh në total, nga zonat rurale, dhe numrin e vajzave.</w:t>
            </w:r>
          </w:p>
        </w:tc>
      </w:tr>
      <w:tr w:rsidR="00F82FD3" w:rsidRPr="0050117C" w14:paraId="2D981C3A" w14:textId="77777777" w:rsidTr="07D96137">
        <w:trPr>
          <w:trHeight w:val="44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F2B7C5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28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424DA651"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Kalueshmëria në maturën kombëtare kl.12</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37F23862" w14:textId="77777777" w:rsidR="001736D8"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w:t>
            </w:r>
            <w:r w:rsidR="001736D8" w:rsidRPr="008A3223">
              <w:rPr>
                <w:rFonts w:asciiTheme="majorHAnsi" w:hAnsiTheme="majorHAnsi" w:cstheme="majorHAnsi"/>
                <w:color w:val="000000" w:themeColor="text1"/>
                <w:sz w:val="19"/>
                <w:szCs w:val="19"/>
              </w:rPr>
              <w:t>shkall</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 e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rgjithshme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kalueshm</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ris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pragut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rkuar si kusht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 njohjen e kalimit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provimit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matur</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 shtet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rore,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rkat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sisht vler</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sohen arritjet 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m</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simnx</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nie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nx</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sve 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nivelin e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rfundimit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klas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 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12-t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 respektivisht 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nivel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mes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m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lart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w:t>
            </w:r>
          </w:p>
          <w:p w14:paraId="6269E1F7" w14:textId="77777777" w:rsidR="00F82FD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Në fund të klasës së 12-të, nxënësit i nënshtrohen provimi</w:t>
            </w:r>
            <w:r w:rsidR="001736D8" w:rsidRPr="008A3223">
              <w:rPr>
                <w:rFonts w:asciiTheme="majorHAnsi" w:hAnsiTheme="majorHAnsi" w:cstheme="majorHAnsi"/>
                <w:color w:val="000000" w:themeColor="text1"/>
                <w:sz w:val="19"/>
                <w:szCs w:val="19"/>
              </w:rPr>
              <w:t>t</w:t>
            </w:r>
            <w:r w:rsidRPr="008A3223">
              <w:rPr>
                <w:rFonts w:asciiTheme="majorHAnsi" w:hAnsiTheme="majorHAnsi" w:cstheme="majorHAnsi"/>
                <w:color w:val="000000" w:themeColor="text1"/>
                <w:sz w:val="19"/>
                <w:szCs w:val="19"/>
              </w:rPr>
              <w:t xml:space="preserve"> të maturës shtetërore me prag kalueshmërie 40% dhe nxënësit që e kalojnë këtë provim kanë të drejtë të vazhdojnë arsimin e lartë. Baza ligjore për këtë tregues është Ligji nr. 05/L-018 për Provimin e Maturës Shtetërore. Performanca e treguesit vlerësohet në bazë të përqindjes së nxënësve që kanë arritur mbi 40% të rezultatit në provim. Në mënyrë të veçantë, dëshmitë janë të nevojshme për kriteret vijuese: (i) numrin e nxënësve që kanë përfunduar klasën e 12-të, të ndarë sipas gjinisë; dhe (ii) numrin e nxënësve që kanë përfunduar testin me rezultat 40% ose më të lartë, të ndarë sipas gjinisë.</w:t>
            </w:r>
          </w:p>
          <w:p w14:paraId="130E9CD2" w14:textId="77777777" w:rsidR="00C576E1" w:rsidRDefault="00C576E1">
            <w:pPr>
              <w:spacing w:before="100"/>
              <w:rPr>
                <w:rFonts w:asciiTheme="majorHAnsi" w:hAnsiTheme="majorHAnsi" w:cstheme="majorHAnsi"/>
                <w:color w:val="000000" w:themeColor="text1"/>
                <w:sz w:val="19"/>
                <w:szCs w:val="19"/>
              </w:rPr>
            </w:pPr>
          </w:p>
          <w:p w14:paraId="32A2E0D5" w14:textId="77777777" w:rsidR="00C576E1" w:rsidRPr="008A3223" w:rsidRDefault="00C576E1">
            <w:pPr>
              <w:spacing w:before="100"/>
              <w:rPr>
                <w:rFonts w:asciiTheme="majorHAnsi" w:hAnsiTheme="majorHAnsi" w:cstheme="majorHAnsi"/>
                <w:color w:val="000000" w:themeColor="text1"/>
                <w:sz w:val="19"/>
                <w:szCs w:val="19"/>
              </w:rPr>
            </w:pPr>
          </w:p>
        </w:tc>
      </w:tr>
      <w:tr w:rsidR="00733B71" w:rsidRPr="0050117C" w14:paraId="589C1D5C" w14:textId="77777777" w:rsidTr="07D96137">
        <w:trPr>
          <w:trHeight w:val="446"/>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3F7FB689" w14:textId="77777777" w:rsidR="00733B71" w:rsidRPr="00784E19" w:rsidRDefault="00733B71"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X</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218A7AF7" w14:textId="77777777" w:rsidR="00733B71" w:rsidRPr="00784E19" w:rsidRDefault="00733B71" w:rsidP="00D84936">
            <w:pPr>
              <w:spacing w:before="100"/>
              <w:rPr>
                <w:rFonts w:asciiTheme="majorHAnsi" w:hAnsiTheme="majorHAnsi" w:cstheme="majorHAnsi"/>
                <w:b/>
                <w:color w:val="000000" w:themeColor="text1"/>
                <w:sz w:val="19"/>
                <w:szCs w:val="19"/>
              </w:rPr>
            </w:pPr>
            <w:r>
              <w:rPr>
                <w:rFonts w:asciiTheme="majorHAnsi" w:hAnsiTheme="majorHAnsi" w:cstheme="majorHAnsi"/>
                <w:b/>
                <w:color w:val="000000" w:themeColor="text1"/>
                <w:sz w:val="19"/>
                <w:szCs w:val="19"/>
              </w:rPr>
              <w:t>Kujdesi parësor shëndetësor (KPSh)</w:t>
            </w:r>
          </w:p>
        </w:tc>
      </w:tr>
      <w:tr w:rsidR="00F82FD3" w:rsidRPr="0050117C" w14:paraId="4D41251A" w14:textId="77777777" w:rsidTr="07D96137">
        <w:trPr>
          <w:trHeight w:val="32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14:paraId="781F4522"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29</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62AC2D13"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w:t>
            </w:r>
            <w:r w:rsidR="00733B71">
              <w:rPr>
                <w:rFonts w:asciiTheme="majorHAnsi" w:hAnsiTheme="majorHAnsi" w:cstheme="majorHAnsi"/>
                <w:color w:val="000000" w:themeColor="text1"/>
                <w:sz w:val="19"/>
                <w:szCs w:val="19"/>
              </w:rPr>
              <w:t>²</w:t>
            </w:r>
            <w:r w:rsidRPr="008A3223">
              <w:rPr>
                <w:rFonts w:asciiTheme="majorHAnsi" w:hAnsiTheme="majorHAnsi" w:cstheme="majorHAnsi"/>
                <w:color w:val="000000" w:themeColor="text1"/>
                <w:sz w:val="19"/>
                <w:szCs w:val="19"/>
              </w:rPr>
              <w:t xml:space="preserve"> të hapësirave </w:t>
            </w:r>
            <w:r w:rsidR="001736D8" w:rsidRPr="008A3223">
              <w:rPr>
                <w:rFonts w:asciiTheme="majorHAnsi" w:hAnsiTheme="majorHAnsi" w:cstheme="majorHAnsi"/>
                <w:color w:val="000000" w:themeColor="text1"/>
                <w:sz w:val="19"/>
                <w:szCs w:val="19"/>
              </w:rPr>
              <w:t>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kujdesit primar sh</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ndet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sor </w:t>
            </w:r>
            <w:r w:rsidRPr="008A3223">
              <w:rPr>
                <w:rFonts w:asciiTheme="majorHAnsi" w:hAnsiTheme="majorHAnsi" w:cstheme="majorHAnsi"/>
                <w:color w:val="000000" w:themeColor="text1"/>
                <w:sz w:val="19"/>
                <w:szCs w:val="19"/>
              </w:rPr>
              <w:t>për 10000 banorë</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024A1855" w14:textId="77777777" w:rsidR="001736D8"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ndërtimin dhe drejtimin e institucioneve të Kujdesit Parësor Shëndetësor, bazuar në numrin e popullsisë në komunë. Në mënyrë të veçantë, treguesi mat sipërfaqen e përgjithshme të disponueshme të KPSH-së në m2 për 10.000 banorë, duke siguruar raportin e dendësisë së infrastrukturës së disponueshme me numrin e popullsisë. Baza ligjore për kompetencat komunale për kujdesin parësor shëndetësor është dhënë në Ligjin nr. 04-L-125 për Shëndetësi. Performanca në këtë tregues vlerësohet duke u bazuar në dëshmitë mbi këto kritere:</w:t>
            </w:r>
          </w:p>
          <w:p w14:paraId="6F9433F7" w14:textId="77777777" w:rsidR="001736D8" w:rsidRPr="008A3223" w:rsidRDefault="001736D8">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(i) gjithsej numri i banor</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ve n</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komun</w:t>
            </w:r>
            <w:r w:rsidR="007B6F16" w:rsidRPr="008A3223">
              <w:rPr>
                <w:rFonts w:asciiTheme="majorHAnsi" w:hAnsiTheme="majorHAnsi" w:cstheme="majorHAnsi"/>
                <w:color w:val="000000" w:themeColor="text1"/>
                <w:sz w:val="19"/>
                <w:szCs w:val="19"/>
              </w:rPr>
              <w:t>ë</w:t>
            </w:r>
          </w:p>
          <w:p w14:paraId="239A88B0" w14:textId="77777777" w:rsidR="00F82FD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 (i</w:t>
            </w:r>
            <w:r w:rsidR="001736D8" w:rsidRPr="008A3223">
              <w:rPr>
                <w:rFonts w:asciiTheme="majorHAnsi" w:hAnsiTheme="majorHAnsi" w:cstheme="majorHAnsi"/>
                <w:color w:val="000000" w:themeColor="text1"/>
                <w:sz w:val="19"/>
                <w:szCs w:val="19"/>
              </w:rPr>
              <w:t>i</w:t>
            </w:r>
            <w:r w:rsidRPr="008A3223">
              <w:rPr>
                <w:rFonts w:asciiTheme="majorHAnsi" w:hAnsiTheme="majorHAnsi" w:cstheme="majorHAnsi"/>
                <w:color w:val="000000" w:themeColor="text1"/>
                <w:sz w:val="19"/>
                <w:szCs w:val="19"/>
              </w:rPr>
              <w:t xml:space="preserve">) </w:t>
            </w:r>
            <w:r w:rsidR="001736D8" w:rsidRPr="008A3223">
              <w:rPr>
                <w:rFonts w:asciiTheme="majorHAnsi" w:hAnsiTheme="majorHAnsi" w:cstheme="majorHAnsi"/>
                <w:color w:val="000000" w:themeColor="text1"/>
                <w:sz w:val="19"/>
                <w:szCs w:val="19"/>
              </w:rPr>
              <w:t xml:space="preserve">gjithsej </w:t>
            </w:r>
            <w:r w:rsidRPr="008A3223">
              <w:rPr>
                <w:rFonts w:asciiTheme="majorHAnsi" w:hAnsiTheme="majorHAnsi" w:cstheme="majorHAnsi"/>
                <w:color w:val="000000" w:themeColor="text1"/>
                <w:sz w:val="19"/>
                <w:szCs w:val="19"/>
              </w:rPr>
              <w:t xml:space="preserve">sipërfaqet të institucioneve të KPS-së; </w:t>
            </w:r>
          </w:p>
          <w:p w14:paraId="7A7A9F60" w14:textId="77777777" w:rsidR="00C576E1" w:rsidRPr="008A3223" w:rsidRDefault="00C576E1">
            <w:pPr>
              <w:spacing w:before="100"/>
              <w:rPr>
                <w:rFonts w:asciiTheme="majorHAnsi" w:hAnsiTheme="majorHAnsi" w:cstheme="majorHAnsi"/>
                <w:color w:val="000000" w:themeColor="text1"/>
                <w:sz w:val="19"/>
                <w:szCs w:val="19"/>
              </w:rPr>
            </w:pPr>
          </w:p>
        </w:tc>
      </w:tr>
      <w:tr w:rsidR="00F82FD3" w:rsidRPr="0050117C" w14:paraId="45C421A2" w14:textId="77777777" w:rsidTr="07D96137">
        <w:trPr>
          <w:trHeight w:val="50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14:paraId="573940C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30</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4A7695BD"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eastAsia="Calibri" w:hAnsiTheme="majorHAnsi" w:cstheme="majorHAnsi"/>
                <w:bCs/>
                <w:color w:val="000000" w:themeColor="text1"/>
                <w:sz w:val="19"/>
                <w:szCs w:val="19"/>
              </w:rPr>
              <w:t xml:space="preserve">Niveli i pajtueshmërisë me raportin 1 </w:t>
            </w:r>
            <w:r w:rsidR="00733B71">
              <w:rPr>
                <w:rFonts w:asciiTheme="majorHAnsi" w:eastAsia="Calibri" w:hAnsiTheme="majorHAnsi" w:cstheme="majorHAnsi"/>
                <w:bCs/>
                <w:color w:val="000000" w:themeColor="text1"/>
                <w:sz w:val="19"/>
                <w:szCs w:val="19"/>
              </w:rPr>
              <w:t>mjek</w:t>
            </w:r>
            <w:r w:rsidR="005A0CAC" w:rsidRPr="008A3223">
              <w:rPr>
                <w:rFonts w:asciiTheme="majorHAnsi" w:eastAsia="Calibri" w:hAnsiTheme="majorHAnsi" w:cstheme="majorHAnsi"/>
                <w:bCs/>
                <w:color w:val="000000" w:themeColor="text1"/>
                <w:sz w:val="19"/>
                <w:szCs w:val="19"/>
              </w:rPr>
              <w:t xml:space="preserve"> </w:t>
            </w:r>
            <w:r w:rsidRPr="008A3223">
              <w:rPr>
                <w:rFonts w:asciiTheme="majorHAnsi" w:eastAsia="Calibri" w:hAnsiTheme="majorHAnsi" w:cstheme="majorHAnsi"/>
                <w:bCs/>
                <w:color w:val="000000" w:themeColor="text1"/>
                <w:sz w:val="19"/>
                <w:szCs w:val="19"/>
              </w:rPr>
              <w:t>familjar</w:t>
            </w:r>
            <w:r w:rsidR="00733B71">
              <w:rPr>
                <w:rFonts w:asciiTheme="majorHAnsi" w:eastAsia="Calibri" w:hAnsiTheme="majorHAnsi" w:cstheme="majorHAnsi"/>
                <w:bCs/>
                <w:color w:val="000000" w:themeColor="text1"/>
                <w:sz w:val="19"/>
                <w:szCs w:val="19"/>
              </w:rPr>
              <w:t>ë</w:t>
            </w:r>
            <w:r w:rsidR="005A0CAC" w:rsidRPr="008A3223">
              <w:rPr>
                <w:rFonts w:asciiTheme="majorHAnsi" w:eastAsia="Calibri" w:hAnsiTheme="majorHAnsi" w:cstheme="majorHAnsi"/>
                <w:bCs/>
                <w:color w:val="000000" w:themeColor="text1"/>
                <w:sz w:val="19"/>
                <w:szCs w:val="19"/>
              </w:rPr>
              <w:t xml:space="preserve"> </w:t>
            </w:r>
            <w:r w:rsidRPr="008A3223">
              <w:rPr>
                <w:rFonts w:asciiTheme="majorHAnsi" w:eastAsia="Calibri" w:hAnsiTheme="majorHAnsi" w:cstheme="majorHAnsi"/>
                <w:bCs/>
                <w:color w:val="000000" w:themeColor="text1"/>
                <w:sz w:val="19"/>
                <w:szCs w:val="19"/>
              </w:rPr>
              <w:t>dhe 2 infermier</w:t>
            </w:r>
            <w:r w:rsidR="007B6F16" w:rsidRPr="008A3223">
              <w:rPr>
                <w:rFonts w:asciiTheme="majorHAnsi" w:eastAsia="Calibri" w:hAnsiTheme="majorHAnsi" w:cstheme="majorHAnsi"/>
                <w:bCs/>
                <w:color w:val="000000" w:themeColor="text1"/>
                <w:sz w:val="19"/>
                <w:szCs w:val="19"/>
              </w:rPr>
              <w:t>ë</w:t>
            </w:r>
            <w:r w:rsidRPr="008A3223">
              <w:rPr>
                <w:rFonts w:asciiTheme="majorHAnsi" w:eastAsia="Calibri" w:hAnsiTheme="majorHAnsi" w:cstheme="majorHAnsi"/>
                <w:bCs/>
                <w:color w:val="000000" w:themeColor="text1"/>
                <w:sz w:val="19"/>
                <w:szCs w:val="19"/>
              </w:rPr>
              <w:t xml:space="preserve"> për 2000 banorë</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425B5B23"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për të siguruar pajtueshmëri në lidhje me raportin e synuar prej 1 ekipi të mjekësisë familjare (1 mjek familjar dhe 2 </w:t>
            </w:r>
            <w:r w:rsidRPr="008A3223">
              <w:rPr>
                <w:rFonts w:asciiTheme="majorHAnsi" w:hAnsiTheme="majorHAnsi" w:cstheme="majorHAnsi"/>
                <w:color w:val="000000" w:themeColor="text1"/>
                <w:sz w:val="19"/>
                <w:szCs w:val="19"/>
              </w:rPr>
              <w:lastRenderedPageBreak/>
              <w:t xml:space="preserve">infermierë) për 2000 njerëz. Treguesi matet si përqindje e pajtueshmërisë së raportit të tanishëm të ekipeve të disponueshme të mjekësisë familjare në krahasim me raportin e synuar. Raporti specifik i synuar është krijuar nga Ministria e Shëndetësisë dhe është dhënë në Udhëzimin Administrativ nr. 07/2017. Vlera e performancës së treguesit përcaktohet duke u bazuar në dëshmitë për kriteret vijuese: (i) </w:t>
            </w:r>
            <w:r w:rsidR="0097614B" w:rsidRPr="008A3223">
              <w:rPr>
                <w:rFonts w:asciiTheme="majorHAnsi" w:hAnsiTheme="majorHAnsi" w:cstheme="majorHAnsi"/>
                <w:color w:val="000000" w:themeColor="text1"/>
                <w:sz w:val="19"/>
                <w:szCs w:val="19"/>
              </w:rPr>
              <w:t xml:space="preserve">Gjithsej numri i </w:t>
            </w:r>
            <w:r w:rsidRPr="008A3223">
              <w:rPr>
                <w:rFonts w:asciiTheme="majorHAnsi" w:hAnsiTheme="majorHAnsi" w:cstheme="majorHAnsi"/>
                <w:color w:val="000000" w:themeColor="text1"/>
                <w:sz w:val="19"/>
                <w:szCs w:val="19"/>
              </w:rPr>
              <w:t xml:space="preserve">ekipeve të mjekësisë familjare në komunë; (ii) </w:t>
            </w:r>
            <w:r w:rsidR="0097614B" w:rsidRPr="008A3223">
              <w:rPr>
                <w:rFonts w:asciiTheme="majorHAnsi" w:hAnsiTheme="majorHAnsi" w:cstheme="majorHAnsi"/>
                <w:color w:val="000000" w:themeColor="text1"/>
                <w:sz w:val="19"/>
                <w:szCs w:val="19"/>
              </w:rPr>
              <w:t>Numri i banor</w:t>
            </w:r>
            <w:r w:rsidR="007B6F16" w:rsidRPr="008A3223">
              <w:rPr>
                <w:rFonts w:asciiTheme="majorHAnsi" w:hAnsiTheme="majorHAnsi" w:cstheme="majorHAnsi"/>
                <w:color w:val="000000" w:themeColor="text1"/>
                <w:sz w:val="19"/>
                <w:szCs w:val="19"/>
              </w:rPr>
              <w:t>ë</w:t>
            </w:r>
            <w:r w:rsidR="0097614B" w:rsidRPr="008A3223">
              <w:rPr>
                <w:rFonts w:asciiTheme="majorHAnsi" w:hAnsiTheme="majorHAnsi" w:cstheme="majorHAnsi"/>
                <w:color w:val="000000" w:themeColor="text1"/>
                <w:sz w:val="19"/>
                <w:szCs w:val="19"/>
              </w:rPr>
              <w:t xml:space="preserve">ve </w:t>
            </w:r>
            <w:r w:rsidRPr="008A3223">
              <w:rPr>
                <w:rFonts w:asciiTheme="majorHAnsi" w:hAnsiTheme="majorHAnsi" w:cstheme="majorHAnsi"/>
                <w:color w:val="000000" w:themeColor="text1"/>
                <w:sz w:val="19"/>
                <w:szCs w:val="19"/>
              </w:rPr>
              <w:t>në komunë.</w:t>
            </w:r>
          </w:p>
        </w:tc>
      </w:tr>
    </w:tbl>
    <w:p w14:paraId="104B2E7A" w14:textId="77777777" w:rsidR="004824FF" w:rsidRPr="004D2E1C" w:rsidRDefault="00D84936" w:rsidP="004824FF">
      <w:r>
        <w:lastRenderedPageBreak/>
        <w:br w:type="textWrapping" w:clear="all"/>
      </w:r>
    </w:p>
    <w:p w14:paraId="2F42C401" w14:textId="77777777" w:rsidR="004824FF" w:rsidRPr="004D2E1C" w:rsidRDefault="004824FF" w:rsidP="004824FF">
      <w:pPr>
        <w:sectPr w:rsidR="004824FF" w:rsidRPr="004D2E1C" w:rsidSect="003819D1">
          <w:footerReference w:type="default" r:id="rId15"/>
          <w:pgSz w:w="16834" w:h="11909" w:orient="landscape" w:code="9"/>
          <w:pgMar w:top="993" w:right="1440" w:bottom="1800" w:left="1440" w:header="1298" w:footer="1052" w:gutter="0"/>
          <w:cols w:space="720"/>
          <w:docGrid w:linePitch="360"/>
        </w:sectPr>
      </w:pPr>
    </w:p>
    <w:p w14:paraId="2F66315B" w14:textId="76930902" w:rsidR="004824FF" w:rsidRPr="004D2E1C" w:rsidRDefault="004824FF" w:rsidP="0085122B">
      <w:pPr>
        <w:pStyle w:val="Heading1"/>
        <w:shd w:val="clear" w:color="auto" w:fill="D55635"/>
        <w:tabs>
          <w:tab w:val="left" w:pos="540"/>
        </w:tabs>
        <w:rPr>
          <w:lang w:val="sq-AL"/>
        </w:rPr>
      </w:pPr>
      <w:bookmarkStart w:id="83" w:name="_Toc31029016"/>
      <w:bookmarkStart w:id="84" w:name="_Toc31194814"/>
      <w:bookmarkStart w:id="85" w:name="_Toc61062544"/>
      <w:r w:rsidRPr="004D2E1C">
        <w:rPr>
          <w:rFonts w:asciiTheme="majorHAnsi" w:hAnsiTheme="majorHAnsi"/>
          <w:color w:val="FFFFFF" w:themeColor="background1"/>
          <w:sz w:val="32"/>
          <w:szCs w:val="32"/>
          <w:lang w:val="sq-AL"/>
        </w:rPr>
        <w:lastRenderedPageBreak/>
        <w:t xml:space="preserve">Shtojca 3: </w:t>
      </w:r>
      <w:r w:rsidR="006D03E6" w:rsidRPr="004D2E1C">
        <w:rPr>
          <w:rFonts w:asciiTheme="majorHAnsi" w:hAnsiTheme="majorHAnsi"/>
          <w:color w:val="FFFFFF" w:themeColor="background1"/>
          <w:sz w:val="32"/>
          <w:szCs w:val="32"/>
          <w:lang w:val="sq-AL"/>
        </w:rPr>
        <w:t>Shablloni i</w:t>
      </w:r>
      <w:r w:rsidRPr="004D2E1C">
        <w:rPr>
          <w:rFonts w:asciiTheme="majorHAnsi" w:hAnsiTheme="majorHAnsi"/>
          <w:color w:val="FFFFFF" w:themeColor="background1"/>
          <w:sz w:val="32"/>
          <w:szCs w:val="32"/>
          <w:lang w:val="sq-AL"/>
        </w:rPr>
        <w:t xml:space="preserve"> </w:t>
      </w:r>
      <w:r w:rsidR="00A0079D" w:rsidRPr="004D2E1C">
        <w:rPr>
          <w:rFonts w:asciiTheme="majorHAnsi" w:hAnsiTheme="majorHAnsi"/>
          <w:color w:val="FFFFFF" w:themeColor="background1"/>
          <w:sz w:val="32"/>
          <w:szCs w:val="32"/>
          <w:lang w:val="sq-AL"/>
        </w:rPr>
        <w:t>fletë</w:t>
      </w:r>
      <w:r w:rsidR="00A0079D">
        <w:rPr>
          <w:rFonts w:asciiTheme="majorHAnsi" w:hAnsiTheme="majorHAnsi"/>
          <w:color w:val="FFFFFF" w:themeColor="background1"/>
          <w:sz w:val="32"/>
          <w:szCs w:val="32"/>
          <w:lang w:val="sq-AL"/>
        </w:rPr>
        <w:t>vler</w:t>
      </w:r>
      <w:r w:rsidR="000777AA">
        <w:rPr>
          <w:rFonts w:asciiTheme="majorHAnsi" w:hAnsiTheme="majorHAnsi"/>
          <w:color w:val="FFFFFF" w:themeColor="background1"/>
          <w:sz w:val="32"/>
          <w:szCs w:val="32"/>
          <w:lang w:val="sq-AL"/>
        </w:rPr>
        <w:t>ë</w:t>
      </w:r>
      <w:r w:rsidR="00A0079D">
        <w:rPr>
          <w:rFonts w:asciiTheme="majorHAnsi" w:hAnsiTheme="majorHAnsi"/>
          <w:color w:val="FFFFFF" w:themeColor="background1"/>
          <w:sz w:val="32"/>
          <w:szCs w:val="32"/>
          <w:lang w:val="sq-AL"/>
        </w:rPr>
        <w:t>simit</w:t>
      </w:r>
      <w:bookmarkEnd w:id="83"/>
      <w:bookmarkEnd w:id="84"/>
      <w:bookmarkEnd w:id="85"/>
      <w:r w:rsidR="00E752C7">
        <w:rPr>
          <w:rFonts w:asciiTheme="majorHAnsi" w:hAnsiTheme="majorHAnsi"/>
          <w:color w:val="FFFFFF" w:themeColor="background1"/>
          <w:sz w:val="32"/>
          <w:szCs w:val="32"/>
          <w:lang w:val="sq-AL"/>
        </w:rPr>
        <w:t xml:space="preserve"> dhe udhëzuesi i pikëve</w:t>
      </w:r>
    </w:p>
    <w:p w14:paraId="7E804579" w14:textId="77777777" w:rsidR="0085122B" w:rsidDel="00747AC9" w:rsidRDefault="0085122B" w:rsidP="0085122B">
      <w:pPr>
        <w:rPr>
          <w:noProof/>
          <w:lang w:val="en-US"/>
        </w:rPr>
      </w:pPr>
      <w:bookmarkStart w:id="86" w:name="_MON_1581160768"/>
      <w:bookmarkEnd w:id="86"/>
    </w:p>
    <w:tbl>
      <w:tblPr>
        <w:tblW w:w="5000" w:type="pct"/>
        <w:tblCellMar>
          <w:left w:w="0" w:type="dxa"/>
          <w:right w:w="0" w:type="dxa"/>
        </w:tblCellMar>
        <w:tblLook w:val="04A0" w:firstRow="1" w:lastRow="0" w:firstColumn="1" w:lastColumn="0" w:noHBand="0" w:noVBand="1"/>
      </w:tblPr>
      <w:tblGrid>
        <w:gridCol w:w="407"/>
        <w:gridCol w:w="8144"/>
        <w:gridCol w:w="1898"/>
      </w:tblGrid>
      <w:tr w:rsidR="0085122B" w:rsidRPr="00826DF9" w14:paraId="157CF8FD" w14:textId="77777777" w:rsidTr="07D96137">
        <w:trPr>
          <w:trHeight w:val="470"/>
        </w:trPr>
        <w:tc>
          <w:tcPr>
            <w:tcW w:w="5000" w:type="pct"/>
            <w:gridSpan w:val="3"/>
            <w:tcBorders>
              <w:top w:val="single" w:sz="8" w:space="0" w:color="auto"/>
              <w:left w:val="single" w:sz="8" w:space="0" w:color="auto"/>
              <w:bottom w:val="single" w:sz="8" w:space="0" w:color="auto"/>
              <w:right w:val="single" w:sz="8" w:space="0" w:color="000000" w:themeColor="text1"/>
            </w:tcBorders>
            <w:shd w:val="clear" w:color="auto" w:fill="215967"/>
            <w:tcMar>
              <w:top w:w="15" w:type="dxa"/>
              <w:left w:w="15" w:type="dxa"/>
              <w:bottom w:w="0" w:type="dxa"/>
              <w:right w:w="15" w:type="dxa"/>
            </w:tcMar>
            <w:vAlign w:val="center"/>
            <w:hideMark/>
          </w:tcPr>
          <w:p w14:paraId="19F635DC" w14:textId="3903D867" w:rsidR="0085122B" w:rsidRPr="00826DF9" w:rsidRDefault="0085122B" w:rsidP="007B2BB3">
            <w:pPr>
              <w:jc w:val="center"/>
              <w:rPr>
                <w:rFonts w:ascii="Calibri" w:hAnsi="Calibri" w:cs="Calibri"/>
                <w:b/>
                <w:bCs/>
                <w:color w:val="FFFFFF"/>
                <w:sz w:val="16"/>
                <w:szCs w:val="16"/>
                <w:lang w:val="en-US"/>
              </w:rPr>
            </w:pPr>
            <w:r w:rsidRPr="04CF5ACA">
              <w:rPr>
                <w:rFonts w:ascii="Calibri" w:hAnsi="Calibri" w:cs="Calibri"/>
                <w:b/>
                <w:color w:val="FFFFFF" w:themeColor="background1"/>
                <w:sz w:val="16"/>
                <w:szCs w:val="16"/>
              </w:rPr>
              <w:t xml:space="preserve">Përmbledhje e rezultateve për vitin </w:t>
            </w:r>
            <w:r w:rsidRPr="04CF5ACA">
              <w:rPr>
                <w:rFonts w:ascii="Calibri" w:hAnsi="Calibri" w:cs="Calibri"/>
                <w:b/>
                <w:bCs/>
                <w:color w:val="FFFFFF" w:themeColor="background1"/>
                <w:sz w:val="16"/>
                <w:szCs w:val="16"/>
              </w:rPr>
              <w:t>20</w:t>
            </w:r>
            <w:r w:rsidR="25B43548" w:rsidRPr="04CF5ACA">
              <w:rPr>
                <w:rFonts w:ascii="Calibri" w:hAnsi="Calibri" w:cs="Calibri"/>
                <w:b/>
                <w:bCs/>
                <w:color w:val="FFFFFF" w:themeColor="background1"/>
                <w:sz w:val="16"/>
                <w:szCs w:val="16"/>
              </w:rPr>
              <w:t>2</w:t>
            </w:r>
            <w:r w:rsidR="00B94AE1">
              <w:rPr>
                <w:rFonts w:ascii="Calibri" w:hAnsi="Calibri" w:cs="Calibri"/>
                <w:b/>
                <w:bCs/>
                <w:color w:val="FFFFFF" w:themeColor="background1"/>
                <w:sz w:val="16"/>
                <w:szCs w:val="16"/>
              </w:rPr>
              <w:t>1</w:t>
            </w:r>
            <w:r w:rsidRPr="04CF5ACA">
              <w:rPr>
                <w:rFonts w:ascii="Calibri" w:hAnsi="Calibri" w:cs="Calibri"/>
                <w:b/>
                <w:color w:val="FFFFFF" w:themeColor="background1"/>
                <w:sz w:val="16"/>
                <w:szCs w:val="16"/>
              </w:rPr>
              <w:t xml:space="preserve"> për grantin e performancës komunale - Komuna XXX</w:t>
            </w:r>
            <w:r>
              <w:br/>
            </w:r>
            <w:r w:rsidRPr="04CF5ACA">
              <w:rPr>
                <w:rFonts w:ascii="Calibri" w:hAnsi="Calibri" w:cs="Calibri"/>
                <w:b/>
                <w:color w:val="FFFFFF" w:themeColor="background1"/>
                <w:sz w:val="16"/>
                <w:szCs w:val="16"/>
              </w:rPr>
              <w:t xml:space="preserve">Pregled rezultata za </w:t>
            </w:r>
            <w:r w:rsidRPr="04CF5ACA">
              <w:rPr>
                <w:rFonts w:ascii="Calibri" w:hAnsi="Calibri" w:cs="Calibri"/>
                <w:b/>
                <w:bCs/>
                <w:color w:val="FFFFFF" w:themeColor="background1"/>
                <w:sz w:val="16"/>
                <w:szCs w:val="16"/>
              </w:rPr>
              <w:t>20</w:t>
            </w:r>
            <w:r w:rsidR="231B45AF" w:rsidRPr="04CF5ACA">
              <w:rPr>
                <w:rFonts w:ascii="Calibri" w:hAnsi="Calibri" w:cs="Calibri"/>
                <w:b/>
                <w:bCs/>
                <w:color w:val="FFFFFF" w:themeColor="background1"/>
                <w:sz w:val="16"/>
                <w:szCs w:val="16"/>
              </w:rPr>
              <w:t>2</w:t>
            </w:r>
            <w:r w:rsidR="00B94AE1">
              <w:rPr>
                <w:rFonts w:ascii="Calibri" w:hAnsi="Calibri" w:cs="Calibri"/>
                <w:b/>
                <w:bCs/>
                <w:color w:val="FFFFFF" w:themeColor="background1"/>
                <w:sz w:val="16"/>
                <w:szCs w:val="16"/>
              </w:rPr>
              <w:t>1</w:t>
            </w:r>
            <w:r w:rsidRPr="04CF5ACA">
              <w:rPr>
                <w:rFonts w:ascii="Calibri" w:hAnsi="Calibri" w:cs="Calibri"/>
                <w:b/>
                <w:bCs/>
                <w:color w:val="FFFFFF" w:themeColor="background1"/>
                <w:sz w:val="16"/>
                <w:szCs w:val="16"/>
              </w:rPr>
              <w:t>.</w:t>
            </w:r>
            <w:r w:rsidRPr="04CF5ACA">
              <w:rPr>
                <w:rFonts w:ascii="Calibri" w:hAnsi="Calibri" w:cs="Calibri"/>
                <w:b/>
                <w:color w:val="FFFFFF" w:themeColor="background1"/>
                <w:sz w:val="16"/>
                <w:szCs w:val="16"/>
              </w:rPr>
              <w:t xml:space="preserve"> godinu za opštinski grant učinka - Opština XXX</w:t>
            </w:r>
          </w:p>
        </w:tc>
      </w:tr>
      <w:tr w:rsidR="0085122B" w:rsidRPr="00826DF9" w14:paraId="17BE8DD6" w14:textId="77777777" w:rsidTr="07D96137">
        <w:trPr>
          <w:trHeight w:val="195"/>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7668C0FF" w14:textId="77777777" w:rsidR="0085122B" w:rsidRPr="00826DF9" w:rsidRDefault="0085122B" w:rsidP="007B2BB3">
            <w:pPr>
              <w:rPr>
                <w:rFonts w:ascii="Calibri" w:hAnsi="Calibri" w:cs="Calibri"/>
                <w:color w:val="000000"/>
                <w:sz w:val="16"/>
                <w:szCs w:val="16"/>
              </w:rPr>
            </w:pPr>
            <w:r w:rsidRPr="00826DF9">
              <w:rPr>
                <w:rFonts w:ascii="Calibri" w:hAnsi="Calibri" w:cs="Calibri"/>
                <w:color w:val="000000"/>
                <w:sz w:val="16"/>
                <w:szCs w:val="16"/>
              </w:rPr>
              <w:t> </w:t>
            </w:r>
          </w:p>
        </w:tc>
        <w:tc>
          <w:tcPr>
            <w:tcW w:w="3897" w:type="pct"/>
            <w:tcBorders>
              <w:top w:val="nil"/>
              <w:left w:val="nil"/>
              <w:bottom w:val="nil"/>
              <w:right w:val="nil"/>
            </w:tcBorders>
            <w:shd w:val="clear" w:color="auto" w:fill="auto"/>
            <w:noWrap/>
            <w:tcMar>
              <w:top w:w="15" w:type="dxa"/>
              <w:left w:w="15" w:type="dxa"/>
              <w:bottom w:w="0" w:type="dxa"/>
              <w:right w:w="15" w:type="dxa"/>
            </w:tcMar>
            <w:vAlign w:val="bottom"/>
            <w:hideMark/>
          </w:tcPr>
          <w:p w14:paraId="2BC0F498" w14:textId="77777777" w:rsidR="0085122B" w:rsidRPr="00826DF9" w:rsidRDefault="0085122B" w:rsidP="007B2BB3">
            <w:pPr>
              <w:rPr>
                <w:rFonts w:ascii="Calibri" w:hAnsi="Calibri" w:cs="Calibri"/>
                <w:color w:val="000000"/>
                <w:sz w:val="16"/>
                <w:szCs w:val="16"/>
              </w:rPr>
            </w:pPr>
          </w:p>
        </w:tc>
        <w:tc>
          <w:tcPr>
            <w:tcW w:w="908"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24742BBC" w14:textId="77777777" w:rsidR="0085122B" w:rsidRPr="00826DF9" w:rsidRDefault="0085122B" w:rsidP="007B2BB3">
            <w:pPr>
              <w:rPr>
                <w:rFonts w:ascii="Calibri" w:hAnsi="Calibri" w:cs="Calibri"/>
                <w:color w:val="000000"/>
                <w:sz w:val="16"/>
                <w:szCs w:val="16"/>
              </w:rPr>
            </w:pPr>
            <w:r w:rsidRPr="00826DF9">
              <w:rPr>
                <w:rFonts w:ascii="Calibri" w:hAnsi="Calibri" w:cs="Calibri"/>
                <w:color w:val="000000"/>
                <w:sz w:val="16"/>
                <w:szCs w:val="16"/>
              </w:rPr>
              <w:t> </w:t>
            </w:r>
          </w:p>
        </w:tc>
      </w:tr>
      <w:tr w:rsidR="0085122B" w:rsidRPr="00826DF9" w14:paraId="27E49184" w14:textId="77777777" w:rsidTr="003B5AB6">
        <w:trPr>
          <w:trHeight w:val="303"/>
        </w:trPr>
        <w:tc>
          <w:tcPr>
            <w:tcW w:w="195" w:type="pct"/>
            <w:tcBorders>
              <w:top w:val="single" w:sz="8" w:space="0" w:color="auto"/>
              <w:left w:val="single" w:sz="8"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0454099C"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w:t>
            </w:r>
          </w:p>
        </w:tc>
        <w:tc>
          <w:tcPr>
            <w:tcW w:w="3897" w:type="pct"/>
            <w:tcBorders>
              <w:top w:val="single" w:sz="8" w:space="0" w:color="auto"/>
              <w:left w:val="nil"/>
              <w:bottom w:val="single" w:sz="4" w:space="0" w:color="auto"/>
              <w:right w:val="nil"/>
            </w:tcBorders>
            <w:shd w:val="clear" w:color="auto" w:fill="31869B"/>
            <w:tcMar>
              <w:top w:w="15" w:type="dxa"/>
              <w:left w:w="15" w:type="dxa"/>
              <w:bottom w:w="0" w:type="dxa"/>
              <w:right w:w="15" w:type="dxa"/>
            </w:tcMar>
            <w:vAlign w:val="center"/>
            <w:hideMark/>
          </w:tcPr>
          <w:p w14:paraId="2701685C"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Kushti minimal</w:t>
            </w:r>
            <w:r w:rsidRPr="00826DF9">
              <w:rPr>
                <w:rFonts w:ascii="Calibri" w:hAnsi="Calibri" w:cs="Calibri"/>
                <w:b/>
                <w:bCs/>
                <w:color w:val="FFFFFF"/>
                <w:sz w:val="16"/>
                <w:szCs w:val="16"/>
              </w:rPr>
              <w:br/>
              <w:t>Minimalni uslov</w:t>
            </w:r>
          </w:p>
        </w:tc>
        <w:tc>
          <w:tcPr>
            <w:tcW w:w="908" w:type="pct"/>
            <w:tcBorders>
              <w:top w:val="single" w:sz="8" w:space="0" w:color="auto"/>
              <w:left w:val="single" w:sz="8" w:space="0" w:color="auto"/>
              <w:bottom w:val="single" w:sz="4" w:space="0" w:color="auto"/>
              <w:right w:val="single" w:sz="8" w:space="0" w:color="auto"/>
            </w:tcBorders>
            <w:shd w:val="clear" w:color="auto" w:fill="31869B"/>
            <w:tcMar>
              <w:top w:w="15" w:type="dxa"/>
              <w:left w:w="15" w:type="dxa"/>
              <w:bottom w:w="0" w:type="dxa"/>
              <w:right w:w="15" w:type="dxa"/>
            </w:tcMar>
            <w:vAlign w:val="center"/>
            <w:hideMark/>
          </w:tcPr>
          <w:p w14:paraId="7C0D5E38"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Vlerësimi</w:t>
            </w:r>
            <w:r w:rsidRPr="00826DF9">
              <w:rPr>
                <w:rFonts w:ascii="Calibri" w:hAnsi="Calibri" w:cs="Calibri"/>
                <w:b/>
                <w:bCs/>
                <w:color w:val="FFFFFF"/>
                <w:sz w:val="16"/>
                <w:szCs w:val="16"/>
              </w:rPr>
              <w:br/>
              <w:t>Procena</w:t>
            </w:r>
          </w:p>
        </w:tc>
      </w:tr>
      <w:tr w:rsidR="0085122B" w:rsidRPr="00826DF9" w14:paraId="4595FC50" w14:textId="77777777" w:rsidTr="003B5AB6">
        <w:trPr>
          <w:trHeight w:val="29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6AF4282"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1</w:t>
            </w: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C9728A1" w14:textId="77777777" w:rsidR="0085122B" w:rsidRPr="00826DF9" w:rsidRDefault="00D14579" w:rsidP="007B2BB3">
            <w:pPr>
              <w:rPr>
                <w:rFonts w:ascii="Calibri" w:hAnsi="Calibri" w:cs="Calibri"/>
                <w:color w:val="000000"/>
                <w:sz w:val="16"/>
                <w:szCs w:val="16"/>
              </w:rPr>
            </w:pPr>
            <w:r w:rsidRPr="00784E19">
              <w:rPr>
                <w:rFonts w:ascii="Calibri" w:hAnsi="Calibri" w:cs="Calibri"/>
                <w:color w:val="000000"/>
                <w:sz w:val="16"/>
                <w:szCs w:val="16"/>
              </w:rPr>
              <w:t>Komunat duhet të kenë raportuar të dhënat në SMPK sipas afatit të përcaktuar</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DFE7332"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521781AC" w14:textId="77777777" w:rsidTr="003B5AB6">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5FD56EA"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2FC1E49" w14:textId="77777777" w:rsidR="004F687E" w:rsidRPr="00826DF9" w:rsidRDefault="004F687E" w:rsidP="004F687E">
            <w:pPr>
              <w:rPr>
                <w:rFonts w:ascii="Calibri" w:hAnsi="Calibri" w:cs="Calibri"/>
                <w:color w:val="000000"/>
                <w:sz w:val="16"/>
                <w:szCs w:val="16"/>
              </w:rPr>
            </w:pPr>
            <w:r w:rsidRPr="003F13F8">
              <w:rPr>
                <w:rFonts w:ascii="Calibri" w:hAnsi="Calibri" w:cs="Calibri"/>
                <w:color w:val="000000"/>
                <w:sz w:val="16"/>
                <w:szCs w:val="16"/>
              </w:rPr>
              <w:t xml:space="preserve">Opštine su trebale da prijave podatke u </w:t>
            </w:r>
            <w:r>
              <w:rPr>
                <w:rFonts w:ascii="Calibri" w:hAnsi="Calibri" w:cs="Calibri"/>
                <w:color w:val="000000"/>
                <w:sz w:val="16"/>
                <w:szCs w:val="16"/>
              </w:rPr>
              <w:t xml:space="preserve">SUOU </w:t>
            </w:r>
            <w:r w:rsidRPr="003F13F8">
              <w:rPr>
                <w:rFonts w:ascii="Calibri" w:hAnsi="Calibri" w:cs="Calibri"/>
                <w:color w:val="000000"/>
                <w:sz w:val="16"/>
                <w:szCs w:val="16"/>
              </w:rPr>
              <w:t>-u prema predviđenim rokovima</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D2290BE" w14:textId="77777777" w:rsidR="004F687E" w:rsidRPr="00826DF9" w:rsidRDefault="004F687E" w:rsidP="004F687E">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26798DC8" w14:textId="77777777" w:rsidTr="003B5AB6">
        <w:trPr>
          <w:trHeight w:val="20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6AD67A40"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2</w:t>
            </w:r>
          </w:p>
        </w:tc>
        <w:tc>
          <w:tcPr>
            <w:tcW w:w="3897" w:type="pct"/>
            <w:tcBorders>
              <w:top w:val="single" w:sz="4" w:space="0" w:color="auto"/>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411CD020" w14:textId="77777777" w:rsidR="0085122B" w:rsidRPr="00826DF9" w:rsidRDefault="00D14579" w:rsidP="001F6D21">
            <w:pPr>
              <w:rPr>
                <w:rFonts w:ascii="Calibri" w:hAnsi="Calibri" w:cs="Calibri"/>
                <w:color w:val="000000"/>
                <w:sz w:val="16"/>
                <w:szCs w:val="16"/>
              </w:rPr>
            </w:pPr>
            <w:r w:rsidRPr="00784E19">
              <w:rPr>
                <w:rFonts w:ascii="Calibri" w:hAnsi="Calibri" w:cs="Calibri"/>
                <w:color w:val="000000"/>
                <w:sz w:val="16"/>
                <w:szCs w:val="16"/>
              </w:rPr>
              <w:t>Komunat duhet të kenë respektuar obligimin ligjor për t’i rishqyrtuar aktet komunale të vlerësuara si të kundërligjshme nga autoriteti mbikëqyrës</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969449A"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0598A35A" w14:textId="77777777" w:rsidTr="003B5AB6">
        <w:trPr>
          <w:trHeight w:val="248"/>
        </w:trPr>
        <w:tc>
          <w:tcPr>
            <w:tcW w:w="195"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040F039" w14:textId="77777777" w:rsidR="0085122B" w:rsidRPr="00826DF9" w:rsidRDefault="0085122B" w:rsidP="007B2BB3">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64C87E1" w14:textId="77777777" w:rsidR="0085122B" w:rsidRPr="00826DF9" w:rsidRDefault="004F687E" w:rsidP="00810D1B">
            <w:pPr>
              <w:rPr>
                <w:rFonts w:ascii="Calibri" w:hAnsi="Calibri" w:cs="Calibri"/>
                <w:color w:val="000000"/>
                <w:sz w:val="16"/>
                <w:szCs w:val="16"/>
              </w:rPr>
            </w:pPr>
            <w:r w:rsidRPr="003F13F8">
              <w:rPr>
                <w:rFonts w:ascii="Calibri" w:hAnsi="Calibri" w:cs="Calibri"/>
                <w:color w:val="000000"/>
                <w:sz w:val="16"/>
                <w:szCs w:val="16"/>
              </w:rPr>
              <w:t>Opštine su se trebale pridržavati zakonske obaveze kako bi razmotrili opštinske akte koje je nadzorni organ procenio kao nezakonite</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105C662"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77F59762" w14:textId="77777777" w:rsidTr="003B5AB6">
        <w:trPr>
          <w:trHeight w:val="24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4BBF7003"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3</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A390566" w14:textId="77777777" w:rsidR="0085122B" w:rsidRPr="00826DF9" w:rsidRDefault="00D14579" w:rsidP="007B2BB3">
            <w:pPr>
              <w:rPr>
                <w:rFonts w:ascii="Calibri" w:hAnsi="Calibri" w:cs="Calibri"/>
                <w:color w:val="000000"/>
                <w:sz w:val="16"/>
                <w:szCs w:val="16"/>
              </w:rPr>
            </w:pPr>
            <w:r w:rsidRPr="00784E19">
              <w:rPr>
                <w:rFonts w:ascii="Calibri" w:hAnsi="Calibri" w:cs="Calibri"/>
                <w:color w:val="000000"/>
                <w:sz w:val="16"/>
                <w:szCs w:val="16"/>
              </w:rPr>
              <w:t>Opinioni i auditimit duhet të jetë të paktën i pamodifikuar me theksim të çështjes</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90D985"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4AFA56D5" w14:textId="77777777" w:rsidTr="003B5AB6">
        <w:trPr>
          <w:trHeight w:val="27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3BD832A"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D9FC6" w14:textId="77777777" w:rsidR="004F687E" w:rsidRPr="00826DF9" w:rsidRDefault="004F687E" w:rsidP="004F687E">
            <w:pPr>
              <w:rPr>
                <w:rFonts w:ascii="Calibri" w:hAnsi="Calibri" w:cs="Calibri"/>
                <w:color w:val="000000"/>
                <w:sz w:val="16"/>
                <w:szCs w:val="16"/>
              </w:rPr>
            </w:pPr>
            <w:r w:rsidRPr="003F13F8">
              <w:rPr>
                <w:rFonts w:ascii="Calibri" w:hAnsi="Calibri" w:cs="Calibri"/>
                <w:color w:val="000000"/>
                <w:sz w:val="16"/>
                <w:szCs w:val="16"/>
              </w:rPr>
              <w:t>Mišljenje revizije bi trebalo da bude najmanje neizmenjeno sa naglaskom na pitanje</w:t>
            </w:r>
            <w:r>
              <w:rPr>
                <w:rFonts w:ascii="Calibri" w:hAnsi="Calibri" w:cs="Calibri"/>
                <w:color w:val="000000"/>
                <w:sz w:val="16"/>
                <w:szCs w:val="16"/>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C74DA3" w14:textId="77777777" w:rsidR="004F687E" w:rsidRPr="00826DF9" w:rsidRDefault="004F687E" w:rsidP="004F687E">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4174581E" w14:textId="77777777" w:rsidTr="003B5AB6">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0E20386"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4</w:t>
            </w: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ADCC7F" w14:textId="6391BA49" w:rsidR="0085122B" w:rsidRPr="00826DF9" w:rsidRDefault="00D14579">
            <w:pPr>
              <w:rPr>
                <w:rFonts w:ascii="Calibri" w:hAnsi="Calibri" w:cs="Calibri"/>
                <w:color w:val="000000"/>
                <w:sz w:val="16"/>
                <w:szCs w:val="16"/>
              </w:rPr>
            </w:pPr>
            <w:r w:rsidRPr="00784E19">
              <w:rPr>
                <w:rFonts w:ascii="Calibri" w:hAnsi="Calibri" w:cs="Calibri"/>
                <w:color w:val="000000"/>
                <w:sz w:val="16"/>
                <w:szCs w:val="16"/>
              </w:rPr>
              <w:t>Komunat duhet të kenë shpenzuar 75% ose më tepër të buxhetit final për investime kapitale</w:t>
            </w:r>
            <w:r w:rsidR="008E0223">
              <w:rPr>
                <w:rFonts w:ascii="Calibri" w:hAnsi="Calibri" w:cs="Calibri"/>
                <w:color w:val="000000"/>
                <w:sz w:val="16"/>
                <w:szCs w:val="16"/>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8B1369"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6F19D2E2" w14:textId="77777777" w:rsidTr="003B5AB6">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76560D9"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413886" w14:textId="40515118" w:rsidR="004F687E" w:rsidRPr="00826DF9" w:rsidRDefault="004F687E" w:rsidP="004F687E">
            <w:pPr>
              <w:rPr>
                <w:rFonts w:ascii="Calibri" w:hAnsi="Calibri" w:cs="Calibri"/>
                <w:color w:val="000000"/>
                <w:sz w:val="16"/>
                <w:szCs w:val="16"/>
              </w:rPr>
            </w:pPr>
            <w:r w:rsidRPr="003F13F8">
              <w:rPr>
                <w:rFonts w:ascii="Calibri" w:hAnsi="Calibri" w:cs="Calibri"/>
                <w:color w:val="000000"/>
                <w:sz w:val="16"/>
                <w:szCs w:val="16"/>
              </w:rPr>
              <w:t>Opštine su trebale potrošiti 75% ili više konačnog budžeta za kapitalna ulaganja</w:t>
            </w:r>
            <w:r w:rsidR="006673FE">
              <w:rPr>
                <w:rFonts w:ascii="Calibri" w:hAnsi="Calibri" w:cs="Calibri"/>
                <w:color w:val="000000"/>
                <w:sz w:val="16"/>
                <w:szCs w:val="16"/>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2268C3" w14:textId="77777777" w:rsidR="004F687E" w:rsidRPr="00826DF9" w:rsidRDefault="004F687E" w:rsidP="004F687E">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75FEC928" w14:textId="77777777" w:rsidTr="003B5AB6">
        <w:trPr>
          <w:trHeight w:val="31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263B40A" w14:textId="77777777" w:rsidR="004F687E" w:rsidRPr="00826DF9" w:rsidRDefault="004F687E" w:rsidP="004F687E">
            <w:pPr>
              <w:jc w:val="center"/>
              <w:rPr>
                <w:rFonts w:ascii="Calibri" w:hAnsi="Calibri" w:cs="Calibri"/>
                <w:b/>
                <w:bCs/>
                <w:i/>
                <w:iCs/>
                <w:sz w:val="16"/>
                <w:szCs w:val="16"/>
              </w:rPr>
            </w:pPr>
            <w:r w:rsidRPr="00826DF9">
              <w:rPr>
                <w:rFonts w:ascii="Calibri" w:hAnsi="Calibri" w:cs="Calibri"/>
                <w:b/>
                <w:bCs/>
                <w:i/>
                <w:iCs/>
                <w:sz w:val="16"/>
                <w:szCs w:val="16"/>
              </w:rPr>
              <w:t>Komuna kualifikohet/nuk kualifikohet për grant të performancës komunale</w:t>
            </w:r>
          </w:p>
        </w:tc>
      </w:tr>
      <w:tr w:rsidR="004F687E" w:rsidRPr="00826DF9" w14:paraId="32BEA54A" w14:textId="77777777" w:rsidTr="003B5AB6">
        <w:trPr>
          <w:trHeight w:val="451"/>
        </w:trPr>
        <w:tc>
          <w:tcPr>
            <w:tcW w:w="195"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4A780887"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w:t>
            </w:r>
          </w:p>
        </w:tc>
        <w:tc>
          <w:tcPr>
            <w:tcW w:w="3897"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14:paraId="79EC0CC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Fushat dhe nënfushat e treguesve të performancës</w:t>
            </w:r>
            <w:r w:rsidRPr="00826DF9">
              <w:rPr>
                <w:rFonts w:ascii="Calibri" w:hAnsi="Calibri" w:cs="Calibri"/>
                <w:b/>
                <w:bCs/>
                <w:color w:val="FFFFFF"/>
                <w:sz w:val="16"/>
                <w:szCs w:val="16"/>
              </w:rPr>
              <w:br/>
              <w:t xml:space="preserve"> Oblasti i pod oblasti pokazatelja učinka</w:t>
            </w:r>
          </w:p>
        </w:tc>
        <w:tc>
          <w:tcPr>
            <w:tcW w:w="908"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14:paraId="6FB2A05B"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Vlerësimi</w:t>
            </w:r>
            <w:r w:rsidRPr="00826DF9">
              <w:rPr>
                <w:rFonts w:ascii="Calibri" w:hAnsi="Calibri" w:cs="Calibri"/>
                <w:b/>
                <w:bCs/>
                <w:color w:val="FFFFFF"/>
                <w:sz w:val="16"/>
                <w:szCs w:val="16"/>
              </w:rPr>
              <w:br/>
              <w:t>Procena</w:t>
            </w:r>
          </w:p>
        </w:tc>
      </w:tr>
      <w:tr w:rsidR="004F687E" w:rsidRPr="00826DF9" w14:paraId="487D7A00" w14:textId="77777777" w:rsidTr="003B5AB6">
        <w:trPr>
          <w:trHeight w:val="275"/>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56D7E6D1"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3BEBF16"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Roli i Kuvendit Komunal si organ mbikëqyrës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B57CB2"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5F7B76E" w14:textId="77777777" w:rsidTr="003B5AB6">
        <w:trPr>
          <w:trHeight w:val="25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0BE3AD4"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E38EE9"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Uloga Skupštine Opštine kao nadzorni organ</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0EE6DD0" w14:textId="77777777" w:rsidR="004F687E" w:rsidRPr="00826DF9" w:rsidRDefault="004F687E" w:rsidP="004F687E">
            <w:pPr>
              <w:rPr>
                <w:rFonts w:ascii="Arial" w:hAnsi="Arial" w:cs="Arial"/>
                <w:color w:val="000000"/>
                <w:sz w:val="16"/>
                <w:szCs w:val="16"/>
              </w:rPr>
            </w:pPr>
          </w:p>
        </w:tc>
      </w:tr>
      <w:tr w:rsidR="004F687E" w:rsidRPr="00826DF9" w14:paraId="71BD5F3B" w14:textId="77777777" w:rsidTr="003B5AB6">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B44BBF9"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6EBFE18"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Pjesëmarrja, konsultimi dhe gjithëpërfshirja e qytetarëve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7FD93B"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29C5327E" w14:textId="77777777" w:rsidTr="003B5AB6">
        <w:trPr>
          <w:trHeight w:val="278"/>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8FB607C"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B126E0"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Učešće, konsultcije i sveobuhvatnost građana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5D2D3132" w14:textId="77777777" w:rsidR="004F687E" w:rsidRPr="00826DF9" w:rsidRDefault="004F687E" w:rsidP="004F687E">
            <w:pPr>
              <w:rPr>
                <w:rFonts w:ascii="Arial" w:hAnsi="Arial" w:cs="Arial"/>
                <w:color w:val="000000"/>
                <w:sz w:val="16"/>
                <w:szCs w:val="16"/>
              </w:rPr>
            </w:pPr>
          </w:p>
        </w:tc>
      </w:tr>
      <w:tr w:rsidR="004F687E" w:rsidRPr="00826DF9" w14:paraId="6DE259EE" w14:textId="77777777" w:rsidTr="003B5AB6">
        <w:trPr>
          <w:trHeight w:val="24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D2ED1C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831CBFA"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Transparenca, qasja në informata dhe integriteti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B211F"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4774999" w14:textId="77777777" w:rsidTr="003B5AB6">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FA0FE18"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40914B"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Transparentnost, pristup informacijama i integritet</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0E12DB64" w14:textId="77777777" w:rsidR="004F687E" w:rsidRPr="00826DF9" w:rsidRDefault="004F687E" w:rsidP="004F687E">
            <w:pPr>
              <w:rPr>
                <w:rFonts w:ascii="Arial" w:hAnsi="Arial" w:cs="Arial"/>
                <w:color w:val="000000"/>
                <w:sz w:val="16"/>
                <w:szCs w:val="16"/>
              </w:rPr>
            </w:pPr>
          </w:p>
        </w:tc>
      </w:tr>
      <w:tr w:rsidR="004F687E" w:rsidRPr="00826DF9" w14:paraId="5C4982E5" w14:textId="77777777" w:rsidTr="003B5AB6">
        <w:trPr>
          <w:trHeight w:val="384"/>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6F4F23E2" w14:textId="77777777" w:rsidR="004F687E" w:rsidRPr="00826DF9" w:rsidRDefault="004F687E" w:rsidP="004F687E">
            <w:pPr>
              <w:jc w:val="right"/>
              <w:rPr>
                <w:rFonts w:ascii="Calibri" w:hAnsi="Calibri" w:cs="Calibri"/>
                <w:b/>
                <w:bCs/>
                <w:color w:val="FFFFFF"/>
                <w:sz w:val="16"/>
                <w:szCs w:val="16"/>
              </w:rPr>
            </w:pPr>
            <w:r w:rsidRPr="00826DF9">
              <w:rPr>
                <w:rFonts w:ascii="Calibri" w:hAnsi="Calibri" w:cs="Calibri"/>
                <w:b/>
                <w:bCs/>
                <w:color w:val="FFFFFF"/>
                <w:sz w:val="16"/>
                <w:szCs w:val="16"/>
              </w:rPr>
              <w:t xml:space="preserve">Vlerësimi </w:t>
            </w:r>
            <w:r w:rsidRPr="00826DF9">
              <w:rPr>
                <w:rFonts w:ascii="Calibri" w:hAnsi="Calibri" w:cs="Calibri"/>
                <w:color w:val="FFFFFF"/>
                <w:sz w:val="16"/>
                <w:szCs w:val="16"/>
              </w:rPr>
              <w:t>për qeverisjen komunale</w:t>
            </w:r>
            <w:r w:rsidRPr="00826DF9">
              <w:rPr>
                <w:rFonts w:ascii="Calibri" w:hAnsi="Calibri" w:cs="Calibri"/>
                <w:b/>
                <w:bCs/>
                <w:color w:val="FFFFFF"/>
                <w:sz w:val="16"/>
                <w:szCs w:val="16"/>
              </w:rPr>
              <w:br/>
              <w:t xml:space="preserve">Ocena </w:t>
            </w:r>
            <w:r w:rsidRPr="00826DF9">
              <w:rPr>
                <w:rFonts w:ascii="Calibri" w:hAnsi="Calibri" w:cs="Calibri"/>
                <w:color w:val="FFFFFF"/>
                <w:sz w:val="16"/>
                <w:szCs w:val="16"/>
              </w:rPr>
              <w:t>za opštinsku vlast</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4A2082DF"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r w:rsidR="004F687E" w:rsidRPr="00826DF9" w14:paraId="288C029A" w14:textId="77777777" w:rsidTr="003B5AB6">
        <w:trPr>
          <w:trHeight w:val="23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B2F7BE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7B06E22"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Menaxhimi financiar </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67DF0D0"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1EADF4C3" w14:textId="77777777" w:rsidTr="003B5AB6">
        <w:trPr>
          <w:trHeight w:val="26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E4C99C6"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B413DF"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Finansijsko upravljanje</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66B5523" w14:textId="77777777" w:rsidR="004F687E" w:rsidRPr="00826DF9" w:rsidRDefault="004F687E" w:rsidP="004F687E">
            <w:pPr>
              <w:rPr>
                <w:rFonts w:ascii="Arial" w:hAnsi="Arial" w:cs="Arial"/>
                <w:color w:val="000000"/>
                <w:sz w:val="16"/>
                <w:szCs w:val="16"/>
              </w:rPr>
            </w:pPr>
          </w:p>
        </w:tc>
      </w:tr>
      <w:tr w:rsidR="004F687E" w:rsidRPr="00826DF9" w14:paraId="4C4F5603" w14:textId="77777777" w:rsidTr="003B5AB6">
        <w:trPr>
          <w:trHeight w:val="25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1293968A"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302DA5D"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Menaxhimi i kontratës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F7FFE65"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612913AB" w14:textId="77777777" w:rsidTr="003B5AB6">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AA38B75"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29BD3B"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Upravljanje ugovorom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F4D3CFA" w14:textId="77777777" w:rsidR="004F687E" w:rsidRPr="00826DF9" w:rsidRDefault="004F687E" w:rsidP="004F687E">
            <w:pPr>
              <w:rPr>
                <w:rFonts w:ascii="Arial" w:hAnsi="Arial" w:cs="Arial"/>
                <w:color w:val="000000"/>
                <w:sz w:val="16"/>
                <w:szCs w:val="16"/>
              </w:rPr>
            </w:pPr>
          </w:p>
        </w:tc>
      </w:tr>
      <w:tr w:rsidR="004F687E" w:rsidRPr="00826DF9" w14:paraId="23AA9F57" w14:textId="77777777" w:rsidTr="003B5AB6">
        <w:trPr>
          <w:trHeight w:val="250"/>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FE46095"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75A2FAF"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Menaxhimi i burimeve njerëzore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9E43AA5"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A50C540" w14:textId="77777777" w:rsidTr="003B5AB6">
        <w:trPr>
          <w:trHeight w:val="25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3AF8673"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C5CC4E"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Upravljanje ljudskim resursima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23BC712" w14:textId="77777777" w:rsidR="004F687E" w:rsidRPr="00826DF9" w:rsidRDefault="004F687E" w:rsidP="004F687E">
            <w:pPr>
              <w:rPr>
                <w:rFonts w:ascii="Arial" w:hAnsi="Arial" w:cs="Arial"/>
                <w:color w:val="000000"/>
                <w:sz w:val="16"/>
                <w:szCs w:val="16"/>
              </w:rPr>
            </w:pPr>
          </w:p>
        </w:tc>
      </w:tr>
      <w:tr w:rsidR="004F687E" w:rsidRPr="00826DF9" w14:paraId="24D4676D" w14:textId="77777777" w:rsidTr="003B5AB6">
        <w:trPr>
          <w:trHeight w:val="400"/>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57ABD535" w14:textId="77777777" w:rsidR="004F687E" w:rsidRPr="00826DF9" w:rsidRDefault="004F687E" w:rsidP="004F687E">
            <w:pPr>
              <w:jc w:val="right"/>
              <w:rPr>
                <w:rFonts w:ascii="Calibri" w:hAnsi="Calibri" w:cs="Calibri"/>
                <w:b/>
                <w:bCs/>
                <w:color w:val="FFFFFF"/>
                <w:sz w:val="16"/>
                <w:szCs w:val="16"/>
              </w:rPr>
            </w:pPr>
            <w:r w:rsidRPr="00826DF9">
              <w:rPr>
                <w:rFonts w:ascii="Calibri" w:hAnsi="Calibri" w:cs="Calibri"/>
                <w:b/>
                <w:bCs/>
                <w:color w:val="FFFFFF"/>
                <w:sz w:val="16"/>
                <w:szCs w:val="16"/>
              </w:rPr>
              <w:t xml:space="preserve">Vlerësimi </w:t>
            </w:r>
            <w:r w:rsidRPr="00826DF9">
              <w:rPr>
                <w:rFonts w:ascii="Calibri" w:hAnsi="Calibri" w:cs="Calibri"/>
                <w:color w:val="FFFFFF"/>
                <w:sz w:val="16"/>
                <w:szCs w:val="16"/>
              </w:rPr>
              <w:t>për menaxhimin komunal</w:t>
            </w:r>
            <w:r w:rsidRPr="00826DF9">
              <w:rPr>
                <w:rFonts w:ascii="Calibri" w:hAnsi="Calibri" w:cs="Calibri"/>
                <w:b/>
                <w:bCs/>
                <w:color w:val="FFFFFF"/>
                <w:sz w:val="16"/>
                <w:szCs w:val="16"/>
              </w:rPr>
              <w:br/>
              <w:t xml:space="preserve">Ocena </w:t>
            </w:r>
            <w:r w:rsidRPr="00826DF9">
              <w:rPr>
                <w:rFonts w:ascii="Calibri" w:hAnsi="Calibri" w:cs="Calibri"/>
                <w:color w:val="FFFFFF"/>
                <w:sz w:val="16"/>
                <w:szCs w:val="16"/>
              </w:rPr>
              <w:t>za opštinsko upravljanje</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61F2B7E"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r w:rsidR="004F687E" w:rsidRPr="00826DF9" w14:paraId="704FF060" w14:textId="77777777" w:rsidTr="003B5AB6">
        <w:trPr>
          <w:trHeight w:val="24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39094BF"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CA71630"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Shërbimet administrative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10B0F20"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12147C55" w14:textId="77777777" w:rsidTr="003B5AB6">
        <w:trPr>
          <w:trHeight w:val="26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5C58417"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6951E1"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Administrativne službe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6F150" w14:textId="77777777" w:rsidR="004F687E" w:rsidRPr="00826DF9" w:rsidRDefault="004F687E" w:rsidP="004F687E">
            <w:pPr>
              <w:rPr>
                <w:rFonts w:ascii="Arial" w:hAnsi="Arial" w:cs="Arial"/>
                <w:color w:val="000000"/>
                <w:sz w:val="16"/>
                <w:szCs w:val="16"/>
              </w:rPr>
            </w:pPr>
          </w:p>
        </w:tc>
      </w:tr>
      <w:tr w:rsidR="004F687E" w:rsidRPr="00826DF9" w14:paraId="23AA61C9" w14:textId="77777777" w:rsidTr="003B5AB6">
        <w:trPr>
          <w:trHeight w:val="22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36F27C81"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F9F407A"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Planifikimi hapësinor, transporti publik dhe mjedisi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B79331A"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D6C7021" w14:textId="77777777" w:rsidTr="003B5AB6">
        <w:trPr>
          <w:trHeight w:val="27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A7620E1"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D82ECF"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Prostorno planiranje, javni transport i životna sredina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0088713A" w14:textId="77777777" w:rsidR="004F687E" w:rsidRPr="00826DF9" w:rsidRDefault="004F687E" w:rsidP="004F687E">
            <w:pPr>
              <w:rPr>
                <w:rFonts w:ascii="Arial" w:hAnsi="Arial" w:cs="Arial"/>
                <w:color w:val="000000"/>
                <w:sz w:val="16"/>
                <w:szCs w:val="16"/>
              </w:rPr>
            </w:pPr>
          </w:p>
        </w:tc>
      </w:tr>
      <w:tr w:rsidR="004F687E" w:rsidRPr="00826DF9" w14:paraId="4CED74A3" w14:textId="77777777" w:rsidTr="003B5AB6">
        <w:trPr>
          <w:trHeight w:val="237"/>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1416477E"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5C15905"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Arsimi parauniversitar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580E567"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228693E8" w14:textId="77777777" w:rsidTr="003B5AB6">
        <w:trPr>
          <w:trHeight w:val="27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CA07159"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293EE5"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Preduniverzitetsko pbrazovanje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35EAFAF" w14:textId="77777777" w:rsidR="004F687E" w:rsidRPr="00826DF9" w:rsidRDefault="004F687E" w:rsidP="004F687E">
            <w:pPr>
              <w:rPr>
                <w:rFonts w:ascii="Arial" w:hAnsi="Arial" w:cs="Arial"/>
                <w:color w:val="000000"/>
                <w:sz w:val="16"/>
                <w:szCs w:val="16"/>
              </w:rPr>
            </w:pPr>
          </w:p>
        </w:tc>
      </w:tr>
      <w:tr w:rsidR="004F687E" w:rsidRPr="00826DF9" w14:paraId="0A470519" w14:textId="77777777" w:rsidTr="003B5AB6">
        <w:trPr>
          <w:trHeight w:val="25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1FE50220"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F8F4D1C"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Kujdesi parësor shëndetësor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78DE997"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705B2506" w14:textId="77777777" w:rsidTr="003B5AB6">
        <w:trPr>
          <w:trHeight w:val="40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19B4F3F"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C0273"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Primarna zdravstvena zaštita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F36B217" w14:textId="77777777" w:rsidR="004F687E" w:rsidRPr="00826DF9" w:rsidRDefault="004F687E" w:rsidP="004F687E">
            <w:pPr>
              <w:rPr>
                <w:rFonts w:ascii="Arial" w:hAnsi="Arial" w:cs="Arial"/>
                <w:color w:val="000000"/>
                <w:sz w:val="16"/>
                <w:szCs w:val="16"/>
              </w:rPr>
            </w:pPr>
          </w:p>
        </w:tc>
      </w:tr>
      <w:tr w:rsidR="004F687E" w:rsidRPr="00826DF9" w14:paraId="68D3C940" w14:textId="77777777" w:rsidTr="003B5AB6">
        <w:trPr>
          <w:trHeight w:val="537"/>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3A83D01" w14:textId="77777777" w:rsidR="004F687E" w:rsidRPr="00826DF9" w:rsidRDefault="004F687E" w:rsidP="004F687E">
            <w:pPr>
              <w:jc w:val="right"/>
              <w:rPr>
                <w:rFonts w:ascii="Calibri" w:hAnsi="Calibri" w:cs="Calibri"/>
                <w:b/>
                <w:bCs/>
                <w:color w:val="FFFFFF"/>
                <w:sz w:val="16"/>
                <w:szCs w:val="16"/>
              </w:rPr>
            </w:pPr>
            <w:r w:rsidRPr="00826DF9">
              <w:rPr>
                <w:rFonts w:ascii="Calibri" w:hAnsi="Calibri" w:cs="Calibri"/>
                <w:b/>
                <w:bCs/>
                <w:color w:val="FFFFFF"/>
                <w:sz w:val="16"/>
                <w:szCs w:val="16"/>
              </w:rPr>
              <w:t xml:space="preserve">Vlerësimi </w:t>
            </w:r>
            <w:r w:rsidRPr="00826DF9">
              <w:rPr>
                <w:rFonts w:ascii="Calibri" w:hAnsi="Calibri" w:cs="Calibri"/>
                <w:color w:val="FFFFFF"/>
                <w:sz w:val="16"/>
                <w:szCs w:val="16"/>
              </w:rPr>
              <w:t>për ofrimin e shërbimeve</w:t>
            </w:r>
            <w:r w:rsidRPr="00826DF9">
              <w:rPr>
                <w:rFonts w:ascii="Calibri" w:hAnsi="Calibri" w:cs="Calibri"/>
                <w:b/>
                <w:bCs/>
                <w:color w:val="FFFFFF"/>
                <w:sz w:val="16"/>
                <w:szCs w:val="16"/>
              </w:rPr>
              <w:br/>
              <w:t xml:space="preserve">Ocena </w:t>
            </w:r>
            <w:r w:rsidRPr="00826DF9">
              <w:rPr>
                <w:rFonts w:ascii="Calibri" w:hAnsi="Calibri" w:cs="Calibri"/>
                <w:color w:val="FFFFFF"/>
                <w:sz w:val="16"/>
                <w:szCs w:val="16"/>
              </w:rPr>
              <w:t>za pružanje usluga</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183949E0"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r w:rsidR="004F687E" w:rsidRPr="00826DF9" w14:paraId="544DFB3C" w14:textId="77777777" w:rsidTr="003B5AB6">
        <w:trPr>
          <w:trHeight w:val="121"/>
        </w:trPr>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C82E7"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w:t>
            </w:r>
          </w:p>
        </w:tc>
        <w:tc>
          <w:tcPr>
            <w:tcW w:w="48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6ABE9" w14:textId="77777777" w:rsidR="004F687E" w:rsidRPr="00977725" w:rsidRDefault="004F687E" w:rsidP="004F687E">
            <w:pPr>
              <w:rPr>
                <w:rFonts w:ascii="Calibri" w:hAnsi="Calibri" w:cs="Calibri"/>
                <w:color w:val="000000"/>
                <w:sz w:val="2"/>
                <w:szCs w:val="16"/>
              </w:rPr>
            </w:pPr>
            <w:r w:rsidRPr="00826DF9">
              <w:rPr>
                <w:rFonts w:ascii="Calibri" w:hAnsi="Calibri" w:cs="Calibri"/>
                <w:color w:val="000000"/>
                <w:sz w:val="16"/>
                <w:szCs w:val="16"/>
              </w:rPr>
              <w:t> </w:t>
            </w:r>
          </w:p>
        </w:tc>
      </w:tr>
      <w:tr w:rsidR="004F687E" w:rsidRPr="00826DF9" w14:paraId="3A1EDD4D" w14:textId="77777777" w:rsidTr="003B5AB6">
        <w:trPr>
          <w:trHeight w:val="450"/>
        </w:trPr>
        <w:tc>
          <w:tcPr>
            <w:tcW w:w="4092" w:type="pct"/>
            <w:gridSpan w:val="2"/>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14:paraId="4EAC14B9" w14:textId="77777777" w:rsidR="004F687E" w:rsidRPr="00826DF9" w:rsidRDefault="004F687E" w:rsidP="004F687E">
            <w:pPr>
              <w:jc w:val="right"/>
              <w:rPr>
                <w:rFonts w:ascii="Arial" w:hAnsi="Arial" w:cs="Arial"/>
                <w:b/>
                <w:bCs/>
                <w:color w:val="FFFFFF"/>
                <w:sz w:val="16"/>
                <w:szCs w:val="16"/>
              </w:rPr>
            </w:pPr>
            <w:r w:rsidRPr="00826DF9">
              <w:rPr>
                <w:rFonts w:ascii="Arial" w:hAnsi="Arial" w:cs="Arial"/>
                <w:b/>
                <w:bCs/>
                <w:color w:val="FFFFFF"/>
                <w:sz w:val="16"/>
                <w:szCs w:val="16"/>
              </w:rPr>
              <w:t>Rezultati përfundimtar</w:t>
            </w:r>
            <w:r w:rsidRPr="00826DF9">
              <w:rPr>
                <w:rFonts w:ascii="Arial" w:hAnsi="Arial" w:cs="Arial"/>
                <w:b/>
                <w:bCs/>
                <w:color w:val="FFFFFF"/>
                <w:sz w:val="16"/>
                <w:szCs w:val="16"/>
              </w:rPr>
              <w:br/>
              <w:t>Konačni rezultat</w:t>
            </w:r>
          </w:p>
        </w:tc>
        <w:tc>
          <w:tcPr>
            <w:tcW w:w="908" w:type="pct"/>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14:paraId="3AA3D49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bl>
    <w:p w14:paraId="299603E4" w14:textId="08F240E0" w:rsidR="004824FF" w:rsidRDefault="004824FF" w:rsidP="004824FF"/>
    <w:p w14:paraId="16FE91DA" w14:textId="7876634B" w:rsidR="00231E65" w:rsidRDefault="00231E65" w:rsidP="004824FF"/>
    <w:p w14:paraId="70CC1BF2" w14:textId="31A60444" w:rsidR="00D57AB5" w:rsidRDefault="00D57AB5" w:rsidP="004824FF"/>
    <w:p w14:paraId="48FE789F" w14:textId="67270D1C" w:rsidR="00D57AB5" w:rsidRDefault="00D57AB5" w:rsidP="004824FF"/>
    <w:p w14:paraId="602EE2FB" w14:textId="37A7EEBE" w:rsidR="00D57AB5" w:rsidRDefault="00D57AB5" w:rsidP="004824FF"/>
    <w:p w14:paraId="407EB30F" w14:textId="25D57034" w:rsidR="00D57AB5" w:rsidRDefault="00D57AB5" w:rsidP="004824FF">
      <w:r w:rsidRPr="00D57AB5">
        <w:rPr>
          <w:noProof/>
          <w:lang w:val="en-US"/>
        </w:rPr>
        <w:lastRenderedPageBreak/>
        <w:drawing>
          <wp:inline distT="0" distB="0" distL="0" distR="0" wp14:anchorId="273D4B40" wp14:editId="59575142">
            <wp:extent cx="6647815" cy="7254240"/>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7815" cy="7254240"/>
                    </a:xfrm>
                    <a:prstGeom prst="rect">
                      <a:avLst/>
                    </a:prstGeom>
                    <a:noFill/>
                    <a:ln>
                      <a:noFill/>
                    </a:ln>
                  </pic:spPr>
                </pic:pic>
              </a:graphicData>
            </a:graphic>
          </wp:inline>
        </w:drawing>
      </w:r>
    </w:p>
    <w:p w14:paraId="1D4E3E36" w14:textId="6827413C" w:rsidR="00D57AB5" w:rsidRDefault="00D57AB5" w:rsidP="004824FF"/>
    <w:p w14:paraId="44FE9827" w14:textId="77777777" w:rsidR="00D57AB5" w:rsidRDefault="00D57AB5" w:rsidP="004824FF"/>
    <w:p w14:paraId="4D1C9AE7" w14:textId="68A47EAC" w:rsidR="007B7428" w:rsidRPr="004D2E1C" w:rsidRDefault="007B7428" w:rsidP="004824FF">
      <w:pPr>
        <w:sectPr w:rsidR="007B7428" w:rsidRPr="004D2E1C" w:rsidSect="004714A5">
          <w:footerReference w:type="default" r:id="rId17"/>
          <w:pgSz w:w="11909" w:h="16834" w:code="9"/>
          <w:pgMar w:top="720" w:right="720" w:bottom="720" w:left="720" w:header="1298" w:footer="1052" w:gutter="0"/>
          <w:cols w:space="720"/>
          <w:docGrid w:linePitch="360"/>
        </w:sectPr>
      </w:pPr>
    </w:p>
    <w:tbl>
      <w:tblPr>
        <w:tblpPr w:leftFromText="180" w:rightFromText="180" w:vertAnchor="text" w:horzAnchor="margin" w:tblpX="-1003" w:tblpY="-1439"/>
        <w:tblW w:w="10716" w:type="dxa"/>
        <w:tblLook w:val="04A0" w:firstRow="1" w:lastRow="0" w:firstColumn="1" w:lastColumn="0" w:noHBand="0" w:noVBand="1"/>
      </w:tblPr>
      <w:tblGrid>
        <w:gridCol w:w="557"/>
        <w:gridCol w:w="2846"/>
        <w:gridCol w:w="2173"/>
        <w:gridCol w:w="986"/>
        <w:gridCol w:w="573"/>
        <w:gridCol w:w="851"/>
        <w:gridCol w:w="1559"/>
        <w:gridCol w:w="1138"/>
        <w:gridCol w:w="33"/>
      </w:tblGrid>
      <w:tr w:rsidR="008E424A" w:rsidRPr="007B437F" w14:paraId="1860F052" w14:textId="77777777" w:rsidTr="003F7BB9">
        <w:trPr>
          <w:trHeight w:val="610"/>
        </w:trPr>
        <w:tc>
          <w:tcPr>
            <w:tcW w:w="10716" w:type="dxa"/>
            <w:gridSpan w:val="9"/>
            <w:tcBorders>
              <w:top w:val="single" w:sz="8" w:space="0" w:color="auto"/>
              <w:left w:val="single" w:sz="8" w:space="0" w:color="auto"/>
              <w:bottom w:val="single" w:sz="8" w:space="0" w:color="000000" w:themeColor="text1"/>
              <w:right w:val="single" w:sz="8" w:space="0" w:color="000000" w:themeColor="text1"/>
            </w:tcBorders>
            <w:shd w:val="clear" w:color="auto" w:fill="203764"/>
            <w:vAlign w:val="center"/>
            <w:hideMark/>
          </w:tcPr>
          <w:bookmarkEnd w:id="73"/>
          <w:bookmarkEnd w:id="74"/>
          <w:bookmarkEnd w:id="75"/>
          <w:bookmarkEnd w:id="76"/>
          <w:p w14:paraId="5D6F7824" w14:textId="400F63BC" w:rsidR="008E424A" w:rsidRPr="007B437F" w:rsidRDefault="008E424A" w:rsidP="004714A5">
            <w:pPr>
              <w:jc w:val="center"/>
              <w:rPr>
                <w:rFonts w:ascii="Calibri" w:hAnsi="Calibri" w:cs="Calibri"/>
                <w:b/>
                <w:bCs/>
                <w:color w:val="FFFFFF"/>
                <w:sz w:val="16"/>
                <w:szCs w:val="16"/>
              </w:rPr>
            </w:pPr>
            <w:r w:rsidRPr="04CF5ACA">
              <w:rPr>
                <w:rFonts w:ascii="Calibri" w:hAnsi="Calibri" w:cs="Calibri"/>
                <w:b/>
                <w:color w:val="FFFFFF" w:themeColor="background1"/>
                <w:sz w:val="16"/>
                <w:szCs w:val="16"/>
              </w:rPr>
              <w:lastRenderedPageBreak/>
              <w:t xml:space="preserve">Vlerësimi i performancës për vitin </w:t>
            </w:r>
            <w:r w:rsidR="36D7E942" w:rsidRPr="04CF5ACA">
              <w:rPr>
                <w:rFonts w:ascii="Calibri" w:hAnsi="Calibri" w:cs="Calibri"/>
                <w:b/>
                <w:bCs/>
                <w:color w:val="FFFFFF" w:themeColor="background1"/>
                <w:sz w:val="16"/>
                <w:szCs w:val="16"/>
              </w:rPr>
              <w:t>20</w:t>
            </w:r>
            <w:r w:rsidR="185C2DF9" w:rsidRPr="04CF5ACA">
              <w:rPr>
                <w:rFonts w:ascii="Calibri" w:hAnsi="Calibri" w:cs="Calibri"/>
                <w:b/>
                <w:bCs/>
                <w:color w:val="FFFFFF" w:themeColor="background1"/>
                <w:sz w:val="16"/>
                <w:szCs w:val="16"/>
              </w:rPr>
              <w:t>2</w:t>
            </w:r>
            <w:r w:rsidR="00B94AE1">
              <w:rPr>
                <w:rFonts w:ascii="Calibri" w:hAnsi="Calibri" w:cs="Calibri"/>
                <w:b/>
                <w:color w:val="FFFFFF" w:themeColor="background1"/>
                <w:sz w:val="16"/>
                <w:szCs w:val="16"/>
              </w:rPr>
              <w:t>1</w:t>
            </w:r>
            <w:r w:rsidRPr="04CF5ACA">
              <w:rPr>
                <w:rFonts w:ascii="Calibri" w:hAnsi="Calibri" w:cs="Calibri"/>
                <w:b/>
                <w:color w:val="FFFFFF" w:themeColor="background1"/>
                <w:sz w:val="16"/>
                <w:szCs w:val="16"/>
              </w:rPr>
              <w:t>- Komuna XXX</w:t>
            </w:r>
          </w:p>
        </w:tc>
      </w:tr>
      <w:tr w:rsidR="00937E8B" w:rsidRPr="007B437F" w14:paraId="1F72ACDD" w14:textId="77777777" w:rsidTr="003F7BB9">
        <w:trPr>
          <w:gridAfter w:val="1"/>
          <w:wAfter w:w="33" w:type="dxa"/>
          <w:trHeight w:val="160"/>
        </w:trPr>
        <w:tc>
          <w:tcPr>
            <w:tcW w:w="557" w:type="dxa"/>
            <w:tcBorders>
              <w:top w:val="nil"/>
              <w:left w:val="single" w:sz="8" w:space="0" w:color="auto"/>
              <w:bottom w:val="nil"/>
              <w:right w:val="nil"/>
            </w:tcBorders>
            <w:shd w:val="clear" w:color="auto" w:fill="auto"/>
            <w:vAlign w:val="center"/>
            <w:hideMark/>
          </w:tcPr>
          <w:p w14:paraId="59F03B33"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 </w:t>
            </w:r>
          </w:p>
        </w:tc>
        <w:tc>
          <w:tcPr>
            <w:tcW w:w="2846" w:type="dxa"/>
            <w:tcBorders>
              <w:top w:val="nil"/>
              <w:left w:val="nil"/>
              <w:bottom w:val="nil"/>
              <w:right w:val="nil"/>
            </w:tcBorders>
            <w:shd w:val="clear" w:color="auto" w:fill="auto"/>
            <w:noWrap/>
            <w:vAlign w:val="center"/>
            <w:hideMark/>
          </w:tcPr>
          <w:p w14:paraId="701C0351" w14:textId="77777777" w:rsidR="008E424A" w:rsidRPr="007B437F" w:rsidRDefault="008E424A" w:rsidP="004714A5">
            <w:pPr>
              <w:jc w:val="center"/>
              <w:rPr>
                <w:rFonts w:ascii="Calibri" w:hAnsi="Calibri" w:cs="Calibri"/>
                <w:b/>
                <w:bCs/>
                <w:color w:val="000000"/>
                <w:sz w:val="16"/>
                <w:szCs w:val="16"/>
              </w:rPr>
            </w:pPr>
          </w:p>
        </w:tc>
        <w:tc>
          <w:tcPr>
            <w:tcW w:w="2173" w:type="dxa"/>
            <w:tcBorders>
              <w:top w:val="nil"/>
              <w:left w:val="nil"/>
              <w:bottom w:val="nil"/>
              <w:right w:val="nil"/>
            </w:tcBorders>
            <w:shd w:val="clear" w:color="auto" w:fill="auto"/>
            <w:noWrap/>
            <w:vAlign w:val="center"/>
            <w:hideMark/>
          </w:tcPr>
          <w:p w14:paraId="7DB83AED" w14:textId="77777777" w:rsidR="008E424A" w:rsidRPr="007B437F" w:rsidRDefault="008E424A" w:rsidP="004714A5">
            <w:pPr>
              <w:jc w:val="center"/>
              <w:rPr>
                <w:sz w:val="16"/>
                <w:szCs w:val="16"/>
              </w:rPr>
            </w:pPr>
          </w:p>
        </w:tc>
        <w:tc>
          <w:tcPr>
            <w:tcW w:w="986" w:type="dxa"/>
            <w:tcBorders>
              <w:top w:val="nil"/>
              <w:left w:val="nil"/>
              <w:bottom w:val="nil"/>
              <w:right w:val="nil"/>
            </w:tcBorders>
            <w:shd w:val="clear" w:color="auto" w:fill="auto"/>
            <w:noWrap/>
            <w:vAlign w:val="center"/>
            <w:hideMark/>
          </w:tcPr>
          <w:p w14:paraId="1FB983B8" w14:textId="77777777" w:rsidR="008E424A" w:rsidRPr="007B437F" w:rsidRDefault="008E424A" w:rsidP="004714A5">
            <w:pPr>
              <w:jc w:val="center"/>
              <w:rPr>
                <w:sz w:val="16"/>
                <w:szCs w:val="16"/>
              </w:rPr>
            </w:pPr>
          </w:p>
        </w:tc>
        <w:tc>
          <w:tcPr>
            <w:tcW w:w="573" w:type="dxa"/>
            <w:tcBorders>
              <w:top w:val="nil"/>
              <w:left w:val="nil"/>
              <w:bottom w:val="nil"/>
              <w:right w:val="nil"/>
            </w:tcBorders>
            <w:shd w:val="clear" w:color="auto" w:fill="auto"/>
            <w:noWrap/>
            <w:vAlign w:val="center"/>
            <w:hideMark/>
          </w:tcPr>
          <w:p w14:paraId="2AFEF9CB" w14:textId="77777777" w:rsidR="008E424A" w:rsidRPr="007B437F" w:rsidRDefault="008E424A" w:rsidP="004714A5">
            <w:pPr>
              <w:jc w:val="center"/>
              <w:rPr>
                <w:sz w:val="16"/>
                <w:szCs w:val="16"/>
              </w:rPr>
            </w:pPr>
          </w:p>
        </w:tc>
        <w:tc>
          <w:tcPr>
            <w:tcW w:w="851" w:type="dxa"/>
            <w:tcBorders>
              <w:top w:val="nil"/>
              <w:left w:val="nil"/>
              <w:bottom w:val="nil"/>
              <w:right w:val="nil"/>
            </w:tcBorders>
            <w:shd w:val="clear" w:color="auto" w:fill="auto"/>
            <w:noWrap/>
            <w:vAlign w:val="center"/>
            <w:hideMark/>
          </w:tcPr>
          <w:p w14:paraId="12C1B352" w14:textId="77777777" w:rsidR="008E424A" w:rsidRPr="007B437F" w:rsidRDefault="008E424A" w:rsidP="004714A5">
            <w:pPr>
              <w:jc w:val="center"/>
              <w:rPr>
                <w:sz w:val="16"/>
                <w:szCs w:val="16"/>
              </w:rPr>
            </w:pPr>
          </w:p>
        </w:tc>
        <w:tc>
          <w:tcPr>
            <w:tcW w:w="1559" w:type="dxa"/>
            <w:tcBorders>
              <w:top w:val="nil"/>
              <w:left w:val="nil"/>
              <w:bottom w:val="nil"/>
              <w:right w:val="nil"/>
            </w:tcBorders>
            <w:shd w:val="clear" w:color="auto" w:fill="auto"/>
            <w:noWrap/>
            <w:vAlign w:val="center"/>
            <w:hideMark/>
          </w:tcPr>
          <w:p w14:paraId="2C090AB6" w14:textId="77777777" w:rsidR="008E424A" w:rsidRPr="007B437F" w:rsidRDefault="008E424A" w:rsidP="004714A5">
            <w:pPr>
              <w:jc w:val="center"/>
              <w:rPr>
                <w:sz w:val="16"/>
                <w:szCs w:val="16"/>
              </w:rPr>
            </w:pPr>
          </w:p>
        </w:tc>
        <w:tc>
          <w:tcPr>
            <w:tcW w:w="1138" w:type="dxa"/>
            <w:tcBorders>
              <w:top w:val="nil"/>
              <w:left w:val="nil"/>
              <w:bottom w:val="nil"/>
              <w:right w:val="single" w:sz="8" w:space="0" w:color="auto"/>
            </w:tcBorders>
            <w:shd w:val="clear" w:color="auto" w:fill="auto"/>
            <w:noWrap/>
            <w:vAlign w:val="center"/>
            <w:hideMark/>
          </w:tcPr>
          <w:p w14:paraId="71ECAB40"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 </w:t>
            </w:r>
          </w:p>
        </w:tc>
      </w:tr>
      <w:tr w:rsidR="00E50D9B" w:rsidRPr="007B437F" w14:paraId="1DC1AF78" w14:textId="77777777" w:rsidTr="003F7BB9">
        <w:trPr>
          <w:trHeight w:val="559"/>
        </w:trPr>
        <w:tc>
          <w:tcPr>
            <w:tcW w:w="557" w:type="dxa"/>
            <w:tcBorders>
              <w:top w:val="single" w:sz="8" w:space="0" w:color="auto"/>
              <w:left w:val="single" w:sz="8" w:space="0" w:color="auto"/>
              <w:bottom w:val="single" w:sz="8" w:space="0" w:color="auto"/>
              <w:right w:val="single" w:sz="8" w:space="0" w:color="auto"/>
            </w:tcBorders>
            <w:shd w:val="clear" w:color="auto" w:fill="305496"/>
            <w:vAlign w:val="center"/>
            <w:hideMark/>
          </w:tcPr>
          <w:p w14:paraId="0D5E627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w:t>
            </w:r>
          </w:p>
        </w:tc>
        <w:tc>
          <w:tcPr>
            <w:tcW w:w="2846" w:type="dxa"/>
            <w:tcBorders>
              <w:top w:val="single" w:sz="8" w:space="0" w:color="auto"/>
              <w:left w:val="nil"/>
              <w:bottom w:val="single" w:sz="8" w:space="0" w:color="auto"/>
              <w:right w:val="single" w:sz="4" w:space="0" w:color="auto"/>
            </w:tcBorders>
            <w:shd w:val="clear" w:color="auto" w:fill="305496"/>
            <w:vAlign w:val="center"/>
            <w:hideMark/>
          </w:tcPr>
          <w:p w14:paraId="78F35FD1" w14:textId="77777777" w:rsidR="008E424A" w:rsidRPr="007B437F" w:rsidRDefault="00DB4D2A" w:rsidP="004714A5">
            <w:pPr>
              <w:rPr>
                <w:rFonts w:ascii="Calibri" w:hAnsi="Calibri" w:cs="Calibri"/>
                <w:b/>
                <w:bCs/>
                <w:color w:val="FFFFFF"/>
                <w:sz w:val="16"/>
                <w:szCs w:val="16"/>
              </w:rPr>
            </w:pPr>
            <w:r>
              <w:rPr>
                <w:rFonts w:ascii="Calibri" w:hAnsi="Calibri" w:cs="Calibri"/>
                <w:b/>
                <w:bCs/>
                <w:color w:val="FFFFFF"/>
                <w:sz w:val="16"/>
                <w:szCs w:val="16"/>
              </w:rPr>
              <w:t>Treguesi</w:t>
            </w:r>
            <w:r>
              <w:rPr>
                <w:rFonts w:ascii="Calibri" w:hAnsi="Calibri" w:cs="Calibri"/>
                <w:b/>
                <w:bCs/>
                <w:color w:val="FFFFFF"/>
                <w:sz w:val="16"/>
                <w:szCs w:val="16"/>
              </w:rPr>
              <w:br/>
            </w:r>
          </w:p>
        </w:tc>
        <w:tc>
          <w:tcPr>
            <w:tcW w:w="2173" w:type="dxa"/>
            <w:tcBorders>
              <w:top w:val="single" w:sz="8" w:space="0" w:color="auto"/>
              <w:left w:val="nil"/>
              <w:bottom w:val="single" w:sz="8" w:space="0" w:color="auto"/>
              <w:right w:val="single" w:sz="4" w:space="0" w:color="auto"/>
            </w:tcBorders>
            <w:shd w:val="clear" w:color="auto" w:fill="305496"/>
            <w:vAlign w:val="center"/>
            <w:hideMark/>
          </w:tcPr>
          <w:p w14:paraId="2BAFBBCE"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Udhëzimet për vlerësim</w:t>
            </w:r>
            <w:r w:rsidRPr="007B437F">
              <w:rPr>
                <w:rFonts w:ascii="Calibri" w:hAnsi="Calibri" w:cs="Calibri"/>
                <w:b/>
                <w:bCs/>
                <w:color w:val="FFFFFF"/>
                <w:sz w:val="16"/>
                <w:szCs w:val="16"/>
              </w:rPr>
              <w:br/>
            </w:r>
          </w:p>
        </w:tc>
        <w:tc>
          <w:tcPr>
            <w:tcW w:w="986" w:type="dxa"/>
            <w:tcBorders>
              <w:top w:val="single" w:sz="8" w:space="0" w:color="auto"/>
              <w:left w:val="nil"/>
              <w:bottom w:val="single" w:sz="8" w:space="0" w:color="auto"/>
              <w:right w:val="single" w:sz="4" w:space="0" w:color="auto"/>
            </w:tcBorders>
            <w:shd w:val="clear" w:color="auto" w:fill="305496"/>
            <w:vAlign w:val="center"/>
            <w:hideMark/>
          </w:tcPr>
          <w:p w14:paraId="0FC4907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Vlera sipas burimit</w:t>
            </w:r>
          </w:p>
        </w:tc>
        <w:tc>
          <w:tcPr>
            <w:tcW w:w="573" w:type="dxa"/>
            <w:tcBorders>
              <w:top w:val="single" w:sz="8" w:space="0" w:color="auto"/>
              <w:left w:val="nil"/>
              <w:bottom w:val="single" w:sz="8" w:space="0" w:color="auto"/>
              <w:right w:val="single" w:sz="4" w:space="0" w:color="auto"/>
            </w:tcBorders>
            <w:shd w:val="clear" w:color="auto" w:fill="305496"/>
            <w:vAlign w:val="center"/>
            <w:hideMark/>
          </w:tcPr>
          <w:p w14:paraId="02E6519D"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Pikët ma</w:t>
            </w:r>
            <w:r w:rsidR="00937E8B">
              <w:rPr>
                <w:rFonts w:ascii="Calibri" w:hAnsi="Calibri" w:cs="Calibri"/>
                <w:b/>
                <w:bCs/>
                <w:color w:val="FFFFFF"/>
                <w:sz w:val="16"/>
                <w:szCs w:val="16"/>
              </w:rPr>
              <w:t>x</w:t>
            </w:r>
          </w:p>
        </w:tc>
        <w:tc>
          <w:tcPr>
            <w:tcW w:w="851" w:type="dxa"/>
            <w:tcBorders>
              <w:top w:val="single" w:sz="8" w:space="0" w:color="auto"/>
              <w:left w:val="nil"/>
              <w:bottom w:val="single" w:sz="8" w:space="0" w:color="auto"/>
              <w:right w:val="single" w:sz="4" w:space="0" w:color="auto"/>
            </w:tcBorders>
            <w:shd w:val="clear" w:color="auto" w:fill="305496"/>
            <w:vAlign w:val="center"/>
            <w:hideMark/>
          </w:tcPr>
          <w:p w14:paraId="58D5B299"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Vlerësimi</w:t>
            </w:r>
            <w:r w:rsidRPr="007B437F">
              <w:rPr>
                <w:rFonts w:ascii="Calibri" w:hAnsi="Calibri" w:cs="Calibri"/>
                <w:b/>
                <w:bCs/>
                <w:color w:val="FFFFFF"/>
                <w:sz w:val="16"/>
                <w:szCs w:val="16"/>
              </w:rPr>
              <w:br/>
            </w:r>
          </w:p>
        </w:tc>
        <w:tc>
          <w:tcPr>
            <w:tcW w:w="1559" w:type="dxa"/>
            <w:tcBorders>
              <w:top w:val="single" w:sz="8" w:space="0" w:color="auto"/>
              <w:left w:val="nil"/>
              <w:bottom w:val="single" w:sz="8" w:space="0" w:color="auto"/>
              <w:right w:val="single" w:sz="4" w:space="0" w:color="auto"/>
            </w:tcBorders>
            <w:shd w:val="clear" w:color="auto" w:fill="305496"/>
            <w:vAlign w:val="center"/>
            <w:hideMark/>
          </w:tcPr>
          <w:p w14:paraId="19318B20"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Burimi i të dhënave</w:t>
            </w:r>
            <w:r w:rsidRPr="007B437F">
              <w:rPr>
                <w:rFonts w:ascii="Calibri" w:hAnsi="Calibri" w:cs="Calibri"/>
                <w:b/>
                <w:bCs/>
                <w:color w:val="FFFFFF"/>
                <w:sz w:val="16"/>
                <w:szCs w:val="16"/>
              </w:rPr>
              <w:br/>
            </w:r>
          </w:p>
        </w:tc>
        <w:tc>
          <w:tcPr>
            <w:tcW w:w="1171" w:type="dxa"/>
            <w:gridSpan w:val="2"/>
            <w:tcBorders>
              <w:top w:val="single" w:sz="8" w:space="0" w:color="auto"/>
              <w:left w:val="nil"/>
              <w:bottom w:val="single" w:sz="8" w:space="0" w:color="auto"/>
              <w:right w:val="single" w:sz="8" w:space="0" w:color="auto"/>
            </w:tcBorders>
            <w:shd w:val="clear" w:color="auto" w:fill="305496"/>
            <w:vAlign w:val="center"/>
            <w:hideMark/>
          </w:tcPr>
          <w:p w14:paraId="1CB3188E"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Komentet</w:t>
            </w:r>
            <w:r w:rsidRPr="007B437F">
              <w:rPr>
                <w:rFonts w:ascii="Calibri" w:hAnsi="Calibri" w:cs="Calibri"/>
                <w:b/>
                <w:bCs/>
                <w:color w:val="FFFFFF"/>
                <w:sz w:val="16"/>
                <w:szCs w:val="16"/>
              </w:rPr>
              <w:br/>
            </w:r>
          </w:p>
        </w:tc>
      </w:tr>
      <w:tr w:rsidR="00937E8B" w:rsidRPr="007B437F" w14:paraId="046BCB4E" w14:textId="77777777" w:rsidTr="003F7BB9">
        <w:trPr>
          <w:trHeight w:val="322"/>
        </w:trPr>
        <w:tc>
          <w:tcPr>
            <w:tcW w:w="557" w:type="dxa"/>
            <w:tcBorders>
              <w:top w:val="nil"/>
              <w:left w:val="single" w:sz="8" w:space="0" w:color="auto"/>
              <w:bottom w:val="single" w:sz="8" w:space="0" w:color="auto"/>
              <w:right w:val="single" w:sz="8" w:space="0" w:color="auto"/>
            </w:tcBorders>
            <w:shd w:val="clear" w:color="auto" w:fill="305496"/>
            <w:vAlign w:val="center"/>
            <w:hideMark/>
          </w:tcPr>
          <w:p w14:paraId="2A7544B2"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1</w:t>
            </w:r>
          </w:p>
        </w:tc>
        <w:tc>
          <w:tcPr>
            <w:tcW w:w="6005" w:type="dxa"/>
            <w:gridSpan w:val="3"/>
            <w:tcBorders>
              <w:top w:val="single" w:sz="8" w:space="0" w:color="auto"/>
              <w:left w:val="nil"/>
              <w:bottom w:val="single" w:sz="8" w:space="0" w:color="auto"/>
              <w:right w:val="single" w:sz="4" w:space="0" w:color="auto"/>
            </w:tcBorders>
            <w:shd w:val="clear" w:color="auto" w:fill="305496"/>
            <w:vAlign w:val="center"/>
            <w:hideMark/>
          </w:tcPr>
          <w:p w14:paraId="6FD919AF"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Qeverisja Demo</w:t>
            </w:r>
            <w:r w:rsidR="00DB4D2A">
              <w:rPr>
                <w:rFonts w:ascii="Calibri" w:hAnsi="Calibri" w:cs="Calibri"/>
                <w:b/>
                <w:bCs/>
                <w:color w:val="FFFFFF"/>
                <w:sz w:val="16"/>
                <w:szCs w:val="16"/>
              </w:rPr>
              <w:t xml:space="preserve">kratike  </w:t>
            </w:r>
          </w:p>
        </w:tc>
        <w:tc>
          <w:tcPr>
            <w:tcW w:w="573" w:type="dxa"/>
            <w:tcBorders>
              <w:top w:val="nil"/>
              <w:left w:val="nil"/>
              <w:bottom w:val="single" w:sz="8" w:space="0" w:color="auto"/>
              <w:right w:val="single" w:sz="4" w:space="0" w:color="auto"/>
            </w:tcBorders>
            <w:shd w:val="clear" w:color="auto" w:fill="305496"/>
            <w:vAlign w:val="center"/>
            <w:hideMark/>
          </w:tcPr>
          <w:p w14:paraId="76BB312D" w14:textId="514925EB" w:rsidR="008E424A" w:rsidRPr="007B437F" w:rsidRDefault="00DE2AEA" w:rsidP="004714A5">
            <w:pPr>
              <w:jc w:val="center"/>
              <w:rPr>
                <w:rFonts w:ascii="Calibri" w:hAnsi="Calibri" w:cs="Calibri"/>
                <w:b/>
                <w:bCs/>
                <w:color w:val="FFFFFF"/>
                <w:sz w:val="16"/>
                <w:szCs w:val="16"/>
              </w:rPr>
            </w:pPr>
            <w:r>
              <w:rPr>
                <w:rFonts w:ascii="Calibri" w:hAnsi="Calibri" w:cs="Calibri"/>
                <w:b/>
                <w:bCs/>
                <w:color w:val="FFFFFF"/>
                <w:sz w:val="16"/>
                <w:szCs w:val="16"/>
              </w:rPr>
              <w:t>38</w:t>
            </w:r>
          </w:p>
        </w:tc>
        <w:tc>
          <w:tcPr>
            <w:tcW w:w="851" w:type="dxa"/>
            <w:tcBorders>
              <w:top w:val="nil"/>
              <w:left w:val="nil"/>
              <w:bottom w:val="single" w:sz="8" w:space="0" w:color="auto"/>
              <w:right w:val="single" w:sz="4" w:space="0" w:color="auto"/>
            </w:tcBorders>
            <w:shd w:val="clear" w:color="auto" w:fill="305496"/>
            <w:vAlign w:val="center"/>
            <w:hideMark/>
          </w:tcPr>
          <w:p w14:paraId="065A8D0D"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305496"/>
            <w:vAlign w:val="center"/>
            <w:hideMark/>
          </w:tcPr>
          <w:p w14:paraId="5AE1EF6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305496"/>
            <w:vAlign w:val="center"/>
            <w:hideMark/>
          </w:tcPr>
          <w:p w14:paraId="28A95D44"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44D41F44" w14:textId="77777777" w:rsidTr="003F7BB9">
        <w:trPr>
          <w:trHeight w:val="268"/>
        </w:trPr>
        <w:tc>
          <w:tcPr>
            <w:tcW w:w="557" w:type="dxa"/>
            <w:tcBorders>
              <w:top w:val="nil"/>
              <w:left w:val="single" w:sz="8" w:space="0" w:color="auto"/>
              <w:bottom w:val="single" w:sz="8" w:space="0" w:color="auto"/>
              <w:right w:val="single" w:sz="8" w:space="0" w:color="auto"/>
            </w:tcBorders>
            <w:shd w:val="clear" w:color="auto" w:fill="8EA9DB"/>
            <w:vAlign w:val="center"/>
            <w:hideMark/>
          </w:tcPr>
          <w:p w14:paraId="36631B65"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131EC40A"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Roli i Kuvendit Komun</w:t>
            </w:r>
            <w:r w:rsidR="00DB4D2A">
              <w:rPr>
                <w:rFonts w:ascii="Calibri" w:hAnsi="Calibri" w:cs="Calibri"/>
                <w:b/>
                <w:bCs/>
                <w:color w:val="FFFFFF"/>
                <w:sz w:val="16"/>
                <w:szCs w:val="16"/>
              </w:rPr>
              <w:t>al si organ mbikëqyrës</w:t>
            </w:r>
          </w:p>
        </w:tc>
        <w:tc>
          <w:tcPr>
            <w:tcW w:w="573" w:type="dxa"/>
            <w:tcBorders>
              <w:top w:val="nil"/>
              <w:left w:val="nil"/>
              <w:bottom w:val="single" w:sz="8" w:space="0" w:color="auto"/>
              <w:right w:val="single" w:sz="4" w:space="0" w:color="auto"/>
            </w:tcBorders>
            <w:shd w:val="clear" w:color="auto" w:fill="8EA9DB"/>
            <w:vAlign w:val="center"/>
            <w:hideMark/>
          </w:tcPr>
          <w:p w14:paraId="1E537F03" w14:textId="2971EC5B"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1</w:t>
            </w:r>
            <w:r w:rsidR="00B94AE1">
              <w:rPr>
                <w:rFonts w:ascii="Calibri" w:hAnsi="Calibri" w:cs="Calibri"/>
                <w:b/>
                <w:bCs/>
                <w:color w:val="FFFFFF"/>
                <w:sz w:val="16"/>
                <w:szCs w:val="16"/>
              </w:rPr>
              <w:t>1</w:t>
            </w:r>
          </w:p>
        </w:tc>
        <w:tc>
          <w:tcPr>
            <w:tcW w:w="851" w:type="dxa"/>
            <w:tcBorders>
              <w:top w:val="nil"/>
              <w:left w:val="nil"/>
              <w:bottom w:val="single" w:sz="8" w:space="0" w:color="auto"/>
              <w:right w:val="single" w:sz="4" w:space="0" w:color="auto"/>
            </w:tcBorders>
            <w:shd w:val="clear" w:color="auto" w:fill="8EA9DB"/>
            <w:vAlign w:val="center"/>
            <w:hideMark/>
          </w:tcPr>
          <w:p w14:paraId="043C6598"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1C1220FB"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E880FD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2F1A99FE"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18C0593C"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62C0AFF" w14:textId="77777777" w:rsidR="008E424A" w:rsidRPr="007B437F" w:rsidRDefault="0094410B" w:rsidP="004714A5">
            <w:pPr>
              <w:rPr>
                <w:rFonts w:ascii="Calibri" w:hAnsi="Calibri" w:cs="Calibri"/>
                <w:color w:val="000000"/>
                <w:sz w:val="16"/>
                <w:szCs w:val="16"/>
              </w:rPr>
            </w:pPr>
            <w:r w:rsidRPr="0094410B">
              <w:rPr>
                <w:rFonts w:ascii="Calibri" w:hAnsi="Calibri" w:cs="Calibri"/>
                <w:color w:val="000000"/>
                <w:sz w:val="16"/>
                <w:szCs w:val="16"/>
              </w:rPr>
              <w:t>Miratimi me kohë i propozim buxhetit vjetor komunal</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2AE94F5"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1 pikë nëse rezultati në SMPK është 50%</w:t>
            </w:r>
            <w:r w:rsidR="009904FB">
              <w:rPr>
                <w:rFonts w:ascii="Calibri" w:hAnsi="Calibri" w:cs="Calibri"/>
                <w:color w:val="000000"/>
                <w:sz w:val="16"/>
                <w:szCs w:val="16"/>
              </w:rPr>
              <w:t>-99.99%</w:t>
            </w:r>
            <w:r w:rsidRPr="007B437F">
              <w:rPr>
                <w:rFonts w:ascii="Calibri" w:hAnsi="Calibri" w:cs="Calibri"/>
                <w:color w:val="000000"/>
                <w:sz w:val="16"/>
                <w:szCs w:val="16"/>
              </w:rPr>
              <w:t xml:space="preserve">, </w:t>
            </w:r>
            <w:r w:rsidRPr="007B437F">
              <w:rPr>
                <w:rFonts w:ascii="Calibri" w:hAnsi="Calibri" w:cs="Calibri"/>
                <w:color w:val="000000"/>
                <w:sz w:val="16"/>
                <w:szCs w:val="16"/>
              </w:rPr>
              <w:br/>
              <w:t>• 2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E9536F1"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 </w:t>
            </w:r>
            <w:r w:rsidR="00E50D9B" w:rsidRPr="00E50D9B">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D69C7BF"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E20AF1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6EA1B36" w14:textId="77777777" w:rsidR="008E424A" w:rsidRDefault="008E424A" w:rsidP="004714A5">
            <w:pPr>
              <w:jc w:val="center"/>
              <w:rPr>
                <w:rFonts w:ascii="Calibri" w:hAnsi="Calibri" w:cs="Calibri"/>
                <w:sz w:val="16"/>
                <w:szCs w:val="16"/>
              </w:rPr>
            </w:pPr>
            <w:r w:rsidRPr="007B437F">
              <w:rPr>
                <w:rFonts w:ascii="Calibri" w:hAnsi="Calibri" w:cs="Calibri"/>
                <w:sz w:val="16"/>
                <w:szCs w:val="16"/>
              </w:rPr>
              <w:t>Raporti i SMPK</w:t>
            </w:r>
            <w:r w:rsidR="0094410B">
              <w:rPr>
                <w:rFonts w:ascii="Calibri" w:hAnsi="Calibri" w:cs="Calibri"/>
                <w:sz w:val="16"/>
                <w:szCs w:val="16"/>
              </w:rPr>
              <w:t xml:space="preserve">, </w:t>
            </w:r>
          </w:p>
          <w:p w14:paraId="3E22CB3F" w14:textId="77777777" w:rsidR="0094410B" w:rsidRPr="007B437F" w:rsidRDefault="0094410B" w:rsidP="004714A5">
            <w:pPr>
              <w:jc w:val="center"/>
              <w:rPr>
                <w:rFonts w:ascii="Calibri" w:hAnsi="Calibri" w:cs="Calibri"/>
                <w:sz w:val="16"/>
                <w:szCs w:val="16"/>
              </w:rPr>
            </w:pPr>
            <w:r>
              <w:rPr>
                <w:rFonts w:ascii="Calibri" w:hAnsi="Calibri" w:cs="Calibri"/>
                <w:sz w:val="16"/>
                <w:szCs w:val="16"/>
              </w:rPr>
              <w:t>Numri i treguesit 3.2.1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57DC078D" w14:textId="77777777" w:rsidR="008E424A" w:rsidRPr="007B437F" w:rsidRDefault="008E424A" w:rsidP="004714A5">
            <w:pPr>
              <w:rPr>
                <w:rFonts w:ascii="Calibri" w:hAnsi="Calibri" w:cs="Calibri"/>
                <w:color w:val="000000"/>
                <w:sz w:val="16"/>
                <w:szCs w:val="16"/>
              </w:rPr>
            </w:pPr>
          </w:p>
        </w:tc>
      </w:tr>
      <w:tr w:rsidR="00937E8B" w:rsidRPr="007B437F" w14:paraId="20A2D2E8" w14:textId="77777777" w:rsidTr="003F7BB9">
        <w:trPr>
          <w:trHeight w:val="9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2A928316"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2</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51BBA65A"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Diskutimi për raportet tremujore buxhetore nga Kuvendi Komunal</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6E9AFDA"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xml:space="preserve">• 0 pikë nëse rezultati në SMPK është deri në 49.99%, </w:t>
            </w:r>
            <w:r w:rsidRPr="007B437F">
              <w:rPr>
                <w:rFonts w:ascii="Calibri" w:hAnsi="Calibri" w:cs="Calibri"/>
                <w:color w:val="000000"/>
                <w:sz w:val="16"/>
                <w:szCs w:val="16"/>
              </w:rPr>
              <w:br/>
              <w:t xml:space="preserve">• 1  pikë nëse rezultati në SMPK është 50% - 74.99%, </w:t>
            </w:r>
            <w:r w:rsidRPr="007B437F">
              <w:rPr>
                <w:rFonts w:ascii="Calibri" w:hAnsi="Calibri" w:cs="Calibri"/>
                <w:color w:val="000000"/>
                <w:sz w:val="16"/>
                <w:szCs w:val="16"/>
              </w:rPr>
              <w:br/>
              <w:t>• 3 pikë nëse rezultati në SMPK është 75% - 100%.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E0BF9E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C7F56EE"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C36C8E5"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CC5CA43" w14:textId="77777777" w:rsidR="00937E8B" w:rsidRDefault="008E424A" w:rsidP="004714A5">
            <w:pPr>
              <w:jc w:val="center"/>
              <w:rPr>
                <w:rFonts w:ascii="Calibri" w:hAnsi="Calibri" w:cs="Calibri"/>
                <w:sz w:val="16"/>
                <w:szCs w:val="16"/>
              </w:rPr>
            </w:pPr>
            <w:r w:rsidRPr="007B437F">
              <w:rPr>
                <w:rFonts w:ascii="Calibri" w:hAnsi="Calibri" w:cs="Calibri"/>
                <w:sz w:val="16"/>
                <w:szCs w:val="16"/>
              </w:rPr>
              <w:t>Raporti i SMPK,</w:t>
            </w:r>
          </w:p>
          <w:p w14:paraId="4AED5AB5" w14:textId="77777777" w:rsidR="008E424A" w:rsidRPr="007B437F" w:rsidRDefault="00937E8B" w:rsidP="004714A5">
            <w:pPr>
              <w:jc w:val="center"/>
              <w:rPr>
                <w:rFonts w:ascii="Calibri" w:hAnsi="Calibri" w:cs="Calibri"/>
                <w:sz w:val="16"/>
                <w:szCs w:val="16"/>
              </w:rPr>
            </w:pPr>
            <w:r>
              <w:rPr>
                <w:rFonts w:ascii="Calibri" w:hAnsi="Calibri" w:cs="Calibri"/>
                <w:sz w:val="16"/>
                <w:szCs w:val="16"/>
              </w:rPr>
              <w:t>Numri i treguesit 3.2.2</w:t>
            </w:r>
            <w:r w:rsidR="008E424A"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0EBDC107"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7FB86189" w14:textId="77777777" w:rsidTr="00CD55EA">
        <w:trPr>
          <w:trHeight w:val="1200"/>
        </w:trPr>
        <w:tc>
          <w:tcPr>
            <w:tcW w:w="557" w:type="dxa"/>
            <w:tcBorders>
              <w:top w:val="nil"/>
              <w:left w:val="single" w:sz="8" w:space="0" w:color="auto"/>
              <w:bottom w:val="single" w:sz="8" w:space="0" w:color="000000" w:themeColor="text1"/>
              <w:right w:val="single" w:sz="8" w:space="0" w:color="auto"/>
            </w:tcBorders>
            <w:shd w:val="clear" w:color="auto" w:fill="FFC000"/>
            <w:vAlign w:val="center"/>
            <w:hideMark/>
          </w:tcPr>
          <w:p w14:paraId="2181CBF3"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3</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0B79EF90"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xml:space="preserve">Diskutimi për raportin e performancës komunale nga Kuvendi Komunal për vitin </w:t>
            </w:r>
            <w:r>
              <w:rPr>
                <w:rFonts w:ascii="Calibri" w:hAnsi="Calibri" w:cs="Calibri"/>
                <w:sz w:val="16"/>
                <w:szCs w:val="16"/>
              </w:rPr>
              <w:t>paraprak</w:t>
            </w:r>
          </w:p>
        </w:tc>
        <w:tc>
          <w:tcPr>
            <w:tcW w:w="2173" w:type="dxa"/>
            <w:tcBorders>
              <w:top w:val="nil"/>
              <w:left w:val="nil"/>
              <w:bottom w:val="single" w:sz="4" w:space="0" w:color="000000" w:themeColor="text1"/>
              <w:right w:val="single" w:sz="4" w:space="0" w:color="000000" w:themeColor="text1"/>
            </w:tcBorders>
            <w:shd w:val="clear" w:color="auto" w:fill="FFC000"/>
            <w:vAlign w:val="center"/>
            <w:hideMark/>
          </w:tcPr>
          <w:p w14:paraId="5FE82953"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më i vogël se 100%,</w:t>
            </w:r>
            <w:r w:rsidRPr="007B437F">
              <w:rPr>
                <w:rFonts w:ascii="Calibri" w:hAnsi="Calibri" w:cs="Calibri"/>
                <w:sz w:val="16"/>
                <w:szCs w:val="16"/>
              </w:rPr>
              <w:br/>
              <w:t>• 2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68862FF7"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7EEAF643"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16F658E3"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C000"/>
            <w:vAlign w:val="center"/>
            <w:hideMark/>
          </w:tcPr>
          <w:p w14:paraId="03BCA95A"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77B98D9A" w14:textId="77777777" w:rsidR="00B94AE1" w:rsidRPr="007B437F" w:rsidRDefault="00B94AE1" w:rsidP="00B94AE1">
            <w:pPr>
              <w:jc w:val="center"/>
              <w:rPr>
                <w:rFonts w:ascii="Calibri" w:hAnsi="Calibri" w:cs="Calibri"/>
                <w:color w:val="000000"/>
                <w:sz w:val="16"/>
                <w:szCs w:val="16"/>
              </w:rPr>
            </w:pPr>
            <w:r>
              <w:rPr>
                <w:rFonts w:ascii="Calibri" w:hAnsi="Calibri" w:cs="Calibri"/>
                <w:sz w:val="16"/>
                <w:szCs w:val="16"/>
              </w:rPr>
              <w:t>Numri i treguesit 3.2.3</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C000"/>
            <w:vAlign w:val="bottom"/>
            <w:hideMark/>
          </w:tcPr>
          <w:p w14:paraId="247A37B8" w14:textId="1285165C"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Ky </w:t>
            </w:r>
            <w:r>
              <w:rPr>
                <w:rFonts w:ascii="Calibri" w:hAnsi="Calibri" w:cs="Calibri"/>
                <w:color w:val="000000"/>
                <w:sz w:val="16"/>
                <w:szCs w:val="16"/>
              </w:rPr>
              <w:t xml:space="preserve">tregues </w:t>
            </w:r>
            <w:r w:rsidRPr="007B437F">
              <w:rPr>
                <w:rFonts w:ascii="Calibri" w:hAnsi="Calibri" w:cs="Calibri"/>
                <w:color w:val="000000"/>
                <w:sz w:val="16"/>
                <w:szCs w:val="16"/>
              </w:rPr>
              <w:t xml:space="preserve">nuk është vlerësuar. Për më shumë sqarime, mund t’i referoheni Rregullave të Grantit të Performancës </w:t>
            </w:r>
            <w:r>
              <w:rPr>
                <w:rFonts w:ascii="Calibri" w:hAnsi="Calibri" w:cs="Calibri"/>
                <w:color w:val="000000"/>
                <w:sz w:val="16"/>
                <w:szCs w:val="16"/>
              </w:rPr>
              <w:t xml:space="preserve">Komunale </w:t>
            </w:r>
            <w:r w:rsidRPr="007B437F">
              <w:rPr>
                <w:rFonts w:ascii="Calibri" w:hAnsi="Calibri" w:cs="Calibri"/>
                <w:color w:val="000000"/>
                <w:sz w:val="16"/>
                <w:szCs w:val="16"/>
              </w:rPr>
              <w:t>për Vitin Fiskal 202</w:t>
            </w:r>
            <w:r>
              <w:rPr>
                <w:rFonts w:ascii="Calibri" w:hAnsi="Calibri" w:cs="Calibri"/>
                <w:color w:val="000000"/>
                <w:sz w:val="16"/>
                <w:szCs w:val="16"/>
              </w:rPr>
              <w:t>3</w:t>
            </w:r>
            <w:r w:rsidRPr="007B437F">
              <w:rPr>
                <w:rFonts w:ascii="Calibri" w:hAnsi="Calibri" w:cs="Calibri"/>
                <w:color w:val="000000"/>
                <w:sz w:val="16"/>
                <w:szCs w:val="16"/>
              </w:rPr>
              <w:t>.</w:t>
            </w:r>
          </w:p>
        </w:tc>
      </w:tr>
      <w:tr w:rsidR="00B94AE1" w:rsidRPr="007B437F" w14:paraId="1F3DB75B" w14:textId="77777777" w:rsidTr="003F7BB9">
        <w:trPr>
          <w:trHeight w:val="18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5F82C0D9"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62D3D3E"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Diskutimi i raportit të auditorit të jashtëm dhe planit të veprimit për adresimin e rekomandimeve si dhe diskutimi i gjetjeve dhe rekomandimeve nga auditimi i brendshëm në Kuvendin Komunal </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0934965"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 0 pikë nëse mesatarja e dy tregeuesve në SMPK është më i vogël se 49.99%, </w:t>
            </w:r>
            <w:r w:rsidRPr="007B437F">
              <w:rPr>
                <w:rFonts w:ascii="Calibri" w:hAnsi="Calibri" w:cs="Calibri"/>
                <w:color w:val="000000"/>
                <w:sz w:val="16"/>
                <w:szCs w:val="16"/>
              </w:rPr>
              <w:br/>
              <w:t xml:space="preserve">•  2 pikë nëse mesatarja e dy treguesve në SMPK është 50% - 99.99%, </w:t>
            </w:r>
            <w:r w:rsidRPr="007B437F">
              <w:rPr>
                <w:rFonts w:ascii="Calibri" w:hAnsi="Calibri" w:cs="Calibri"/>
                <w:color w:val="000000"/>
                <w:sz w:val="16"/>
                <w:szCs w:val="16"/>
              </w:rPr>
              <w:br/>
              <w:t>• 4 pikë nëse mesatarja e dy tregeusve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2D736150"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E6907B1"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5E58D72B"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1438842"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Raporti i SMPK, </w:t>
            </w:r>
          </w:p>
          <w:p w14:paraId="66CEF436" w14:textId="77777777" w:rsidR="00B94AE1" w:rsidRPr="007B437F" w:rsidRDefault="00B94AE1" w:rsidP="00B94AE1">
            <w:pPr>
              <w:jc w:val="center"/>
              <w:rPr>
                <w:rFonts w:ascii="Calibri" w:hAnsi="Calibri" w:cs="Calibri"/>
                <w:sz w:val="16"/>
                <w:szCs w:val="16"/>
              </w:rPr>
            </w:pPr>
            <w:r>
              <w:rPr>
                <w:rFonts w:ascii="Calibri" w:hAnsi="Calibri" w:cs="Calibri"/>
                <w:color w:val="000000"/>
                <w:sz w:val="16"/>
                <w:szCs w:val="16"/>
              </w:rPr>
              <w:t>Numri i treguesit 3.2.4 dhe 3.2.5</w:t>
            </w:r>
          </w:p>
        </w:tc>
        <w:tc>
          <w:tcPr>
            <w:tcW w:w="1171" w:type="dxa"/>
            <w:gridSpan w:val="2"/>
            <w:tcBorders>
              <w:top w:val="nil"/>
              <w:left w:val="nil"/>
              <w:bottom w:val="single" w:sz="4" w:space="0" w:color="000000" w:themeColor="text1"/>
              <w:right w:val="single" w:sz="8" w:space="0" w:color="auto"/>
            </w:tcBorders>
            <w:shd w:val="clear" w:color="auto" w:fill="auto"/>
            <w:hideMark/>
          </w:tcPr>
          <w:p w14:paraId="2C7BAA36"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2A17FFD3"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1DAFDA74"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E5C570C" w14:textId="77777777" w:rsidR="00B94AE1" w:rsidRPr="007B437F" w:rsidRDefault="00B94AE1" w:rsidP="00B94AE1">
            <w:pPr>
              <w:rPr>
                <w:rFonts w:ascii="Calibri" w:hAnsi="Calibri" w:cs="Calibri"/>
                <w:color w:val="000000"/>
                <w:sz w:val="16"/>
                <w:szCs w:val="16"/>
              </w:rPr>
            </w:pPr>
            <w:r w:rsidRPr="00705020">
              <w:rPr>
                <w:rFonts w:ascii="Calibri" w:hAnsi="Calibri" w:cs="Calibri"/>
                <w:color w:val="000000"/>
                <w:sz w:val="16"/>
                <w:szCs w:val="16"/>
              </w:rPr>
              <w:t>Mbledhje të Kuvendit Komunal me pjesëmarrje të kryetarit të komunës</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7846F6E"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  0 pikë nëse rezultati në SMPK është 49.99%, </w:t>
            </w:r>
            <w:r w:rsidRPr="007B437F">
              <w:rPr>
                <w:rFonts w:ascii="Calibri" w:hAnsi="Calibri" w:cs="Calibri"/>
                <w:color w:val="000000"/>
                <w:sz w:val="16"/>
                <w:szCs w:val="16"/>
              </w:rPr>
              <w:br/>
              <w:t xml:space="preserve">•  1 pikë nëse rezultati në SMPK është 50% - 89.99%, </w:t>
            </w:r>
            <w:r w:rsidRPr="007B437F">
              <w:rPr>
                <w:rFonts w:ascii="Calibri" w:hAnsi="Calibri" w:cs="Calibri"/>
                <w:color w:val="000000"/>
                <w:sz w:val="16"/>
                <w:szCs w:val="16"/>
              </w:rPr>
              <w:br/>
              <w:t>•  2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EB3A367"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C909B74"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2A8A6DA"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2B15E0D3" w14:textId="77777777" w:rsidR="00B94AE1" w:rsidRPr="007B437F" w:rsidRDefault="00B94AE1" w:rsidP="00B94AE1">
            <w:pPr>
              <w:jc w:val="center"/>
              <w:rPr>
                <w:rFonts w:ascii="Calibri" w:hAnsi="Calibri" w:cs="Calibri"/>
                <w:sz w:val="16"/>
                <w:szCs w:val="16"/>
              </w:rPr>
            </w:pPr>
            <w:r w:rsidRPr="007B437F">
              <w:rPr>
                <w:rFonts w:ascii="Calibri" w:hAnsi="Calibri" w:cs="Calibri"/>
                <w:sz w:val="16"/>
                <w:szCs w:val="16"/>
              </w:rPr>
              <w:t>Raporti i SMPK,</w:t>
            </w:r>
            <w:r w:rsidRPr="007B437F">
              <w:rPr>
                <w:rFonts w:ascii="Calibri" w:hAnsi="Calibri" w:cs="Calibri"/>
                <w:sz w:val="16"/>
                <w:szCs w:val="16"/>
              </w:rPr>
              <w:br/>
            </w:r>
            <w:r>
              <w:rPr>
                <w:rFonts w:ascii="Calibri" w:hAnsi="Calibri" w:cs="Calibri"/>
                <w:color w:val="000000"/>
                <w:sz w:val="16"/>
                <w:szCs w:val="16"/>
              </w:rPr>
              <w:t xml:space="preserve"> Numri i treguesit 3.2.6</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015EBA26"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3F7427BE" w14:textId="77777777" w:rsidTr="003F7BB9">
        <w:trPr>
          <w:trHeight w:val="565"/>
        </w:trPr>
        <w:tc>
          <w:tcPr>
            <w:tcW w:w="557" w:type="dxa"/>
            <w:tcBorders>
              <w:top w:val="nil"/>
              <w:left w:val="single" w:sz="8" w:space="0" w:color="auto"/>
              <w:bottom w:val="nil"/>
              <w:right w:val="single" w:sz="8" w:space="0" w:color="auto"/>
            </w:tcBorders>
            <w:shd w:val="clear" w:color="auto" w:fill="8EA9DB"/>
            <w:noWrap/>
            <w:vAlign w:val="center"/>
            <w:hideMark/>
          </w:tcPr>
          <w:p w14:paraId="75BE0815"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II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16490F72"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Pjesëmarrja, konsultimi dh</w:t>
            </w:r>
            <w:r>
              <w:rPr>
                <w:rFonts w:ascii="Calibri" w:hAnsi="Calibri" w:cs="Calibri"/>
                <w:b/>
                <w:bCs/>
                <w:color w:val="FFFFFF"/>
                <w:sz w:val="16"/>
                <w:szCs w:val="16"/>
              </w:rPr>
              <w:t>e gjithëpërfshirja e qytetarëve</w:t>
            </w:r>
          </w:p>
        </w:tc>
        <w:tc>
          <w:tcPr>
            <w:tcW w:w="573" w:type="dxa"/>
            <w:tcBorders>
              <w:top w:val="nil"/>
              <w:left w:val="nil"/>
              <w:bottom w:val="single" w:sz="8" w:space="0" w:color="auto"/>
              <w:right w:val="single" w:sz="4" w:space="0" w:color="auto"/>
            </w:tcBorders>
            <w:shd w:val="clear" w:color="auto" w:fill="8EA9DB"/>
            <w:vAlign w:val="center"/>
            <w:hideMark/>
          </w:tcPr>
          <w:p w14:paraId="0BE24363" w14:textId="16B77CD9"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1</w:t>
            </w:r>
            <w:r>
              <w:rPr>
                <w:rFonts w:ascii="Calibri" w:hAnsi="Calibri" w:cs="Calibri"/>
                <w:b/>
                <w:bCs/>
                <w:color w:val="FFFFFF"/>
                <w:sz w:val="16"/>
                <w:szCs w:val="16"/>
              </w:rPr>
              <w:t>2</w:t>
            </w:r>
          </w:p>
        </w:tc>
        <w:tc>
          <w:tcPr>
            <w:tcW w:w="851" w:type="dxa"/>
            <w:tcBorders>
              <w:top w:val="nil"/>
              <w:left w:val="nil"/>
              <w:bottom w:val="single" w:sz="8" w:space="0" w:color="auto"/>
              <w:right w:val="single" w:sz="4" w:space="0" w:color="auto"/>
            </w:tcBorders>
            <w:shd w:val="clear" w:color="auto" w:fill="8EA9DB"/>
            <w:vAlign w:val="center"/>
            <w:hideMark/>
          </w:tcPr>
          <w:p w14:paraId="023FDE92"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674A43F4"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271DDB56"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4953703A" w14:textId="77777777" w:rsidTr="003F7BB9">
        <w:trPr>
          <w:trHeight w:val="24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66257206"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6</w:t>
            </w:r>
          </w:p>
        </w:tc>
        <w:tc>
          <w:tcPr>
            <w:tcW w:w="2846" w:type="dxa"/>
            <w:tcBorders>
              <w:top w:val="nil"/>
              <w:left w:val="nil"/>
              <w:bottom w:val="single" w:sz="4" w:space="0" w:color="000000" w:themeColor="text1"/>
              <w:right w:val="nil"/>
            </w:tcBorders>
            <w:shd w:val="clear" w:color="auto" w:fill="auto"/>
            <w:vAlign w:val="center"/>
            <w:hideMark/>
          </w:tcPr>
          <w:p w14:paraId="45942D64"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br/>
            </w:r>
            <w:r w:rsidRPr="0052538C">
              <w:rPr>
                <w:rFonts w:ascii="Calibri" w:hAnsi="Calibri" w:cs="Calibri"/>
                <w:color w:val="000000"/>
                <w:sz w:val="16"/>
                <w:szCs w:val="16"/>
              </w:rPr>
              <w:t>Pjesëmarrja e qytetarëve në konsultime publike, i disagreguar sipas gjinisë</w:t>
            </w:r>
          </w:p>
        </w:tc>
        <w:tc>
          <w:tcPr>
            <w:tcW w:w="217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09E2DAB"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xml:space="preserve">• 0 pikë nëse mesatarja e dy tregeusve e rezultatit në SMPK është më i vogël se 39.99%, </w:t>
            </w:r>
            <w:r w:rsidRPr="007B437F">
              <w:rPr>
                <w:rFonts w:ascii="Calibri" w:hAnsi="Calibri" w:cs="Calibri"/>
                <w:sz w:val="16"/>
                <w:szCs w:val="16"/>
              </w:rPr>
              <w:br/>
              <w:t xml:space="preserve">•  1 pikë nëse mesatarja e dy treguesve në SMPK për është prej 40% - 69.99%, </w:t>
            </w:r>
            <w:r w:rsidRPr="007B437F">
              <w:rPr>
                <w:rFonts w:ascii="Calibri" w:hAnsi="Calibri" w:cs="Calibri"/>
                <w:sz w:val="16"/>
                <w:szCs w:val="16"/>
              </w:rPr>
              <w:br/>
              <w:t>• 2 pikë nëse mesatarja e dy tregeusve në SMPK është prej 70% - 89.99%,</w:t>
            </w:r>
            <w:r w:rsidRPr="007B437F">
              <w:rPr>
                <w:rFonts w:ascii="Calibri" w:hAnsi="Calibri" w:cs="Calibri"/>
                <w:sz w:val="16"/>
                <w:szCs w:val="16"/>
              </w:rPr>
              <w:br/>
              <w:t>• 4 pikë nëse mesatarja e dy tregeusve në SMPK është e barabartë ose më e madhe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2F4AD8E1"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656F0ED2" w14:textId="183D57DE"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0987B6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24C24A6D" w14:textId="77777777" w:rsidR="00B94AE1" w:rsidRPr="007B437F" w:rsidRDefault="00B94AE1" w:rsidP="00B94AE1">
            <w:pPr>
              <w:jc w:val="center"/>
              <w:rPr>
                <w:rFonts w:ascii="Calibri" w:hAnsi="Calibri" w:cs="Calibri"/>
                <w:sz w:val="16"/>
                <w:szCs w:val="16"/>
              </w:rPr>
            </w:pPr>
            <w:r w:rsidRPr="007B437F">
              <w:rPr>
                <w:rFonts w:ascii="Calibri" w:hAnsi="Calibri" w:cs="Calibri"/>
                <w:sz w:val="16"/>
                <w:szCs w:val="16"/>
              </w:rPr>
              <w:t>Raporti i SMPK,</w:t>
            </w:r>
            <w:r w:rsidRPr="007B437F">
              <w:rPr>
                <w:rFonts w:ascii="Calibri" w:hAnsi="Calibri" w:cs="Calibri"/>
                <w:sz w:val="16"/>
                <w:szCs w:val="16"/>
              </w:rPr>
              <w:br/>
            </w:r>
            <w:r>
              <w:rPr>
                <w:rFonts w:ascii="Calibri" w:hAnsi="Calibri" w:cs="Calibri"/>
                <w:color w:val="000000"/>
                <w:sz w:val="16"/>
                <w:szCs w:val="16"/>
              </w:rPr>
              <w:t xml:space="preserve"> Numri i treguesit 3.1.2 dhe 16.2.3</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4CADF9C2" w14:textId="0AA80E12" w:rsidR="00B94AE1" w:rsidRPr="007B437F" w:rsidRDefault="00B94AE1" w:rsidP="004B57A8">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54A32E3E" w14:textId="77777777" w:rsidTr="003F7BB9">
        <w:trPr>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2105385D"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7</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605012B6"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Aktet komunale dhe dokumentet e politikave lokale të konsultuara me publikun</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7AEAC288"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39.99%,</w:t>
            </w:r>
            <w:r w:rsidRPr="007B437F">
              <w:rPr>
                <w:rFonts w:ascii="Calibri" w:hAnsi="Calibri" w:cs="Calibri"/>
                <w:color w:val="000000"/>
                <w:sz w:val="16"/>
                <w:szCs w:val="16"/>
              </w:rPr>
              <w:br/>
              <w:t>•  1 pikë nëse rezultati në SMPK është 40% - 69.99%,</w:t>
            </w:r>
            <w:r w:rsidRPr="007B437F">
              <w:rPr>
                <w:rFonts w:ascii="Calibri" w:hAnsi="Calibri" w:cs="Calibri"/>
                <w:color w:val="000000"/>
                <w:sz w:val="16"/>
                <w:szCs w:val="16"/>
              </w:rPr>
              <w:br/>
              <w:t>•  2 pikë nëse rezultati në SMPK është 70% - 89.99%,</w:t>
            </w:r>
            <w:r w:rsidRPr="007B437F">
              <w:rPr>
                <w:rFonts w:ascii="Calibri" w:hAnsi="Calibri" w:cs="Calibri"/>
                <w:color w:val="000000"/>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1B35C34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8908B85"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C4577A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00B67AD"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p>
          <w:p w14:paraId="00955249" w14:textId="77777777" w:rsidR="00B94AE1" w:rsidRPr="007B437F" w:rsidRDefault="00B94AE1" w:rsidP="00B94AE1">
            <w:pPr>
              <w:jc w:val="center"/>
              <w:rPr>
                <w:rFonts w:ascii="Calibri" w:hAnsi="Calibri" w:cs="Calibri"/>
                <w:sz w:val="16"/>
                <w:szCs w:val="16"/>
              </w:rPr>
            </w:pPr>
            <w:r w:rsidRPr="00937E8B">
              <w:rPr>
                <w:rFonts w:ascii="Calibri" w:hAnsi="Calibri" w:cs="Calibri"/>
                <w:sz w:val="16"/>
                <w:szCs w:val="16"/>
              </w:rPr>
              <w:t>Numri i treguesit</w:t>
            </w:r>
            <w:r>
              <w:rPr>
                <w:rFonts w:ascii="Calibri" w:hAnsi="Calibri" w:cs="Calibri"/>
                <w:sz w:val="16"/>
                <w:szCs w:val="16"/>
              </w:rPr>
              <w:t xml:space="preserve"> 3.1.3</w:t>
            </w:r>
            <w:r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7B826680"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7A739A79"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1331DB90"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8</w:t>
            </w:r>
          </w:p>
        </w:tc>
        <w:tc>
          <w:tcPr>
            <w:tcW w:w="2846" w:type="dxa"/>
            <w:tcBorders>
              <w:top w:val="single" w:sz="8" w:space="0" w:color="auto"/>
              <w:left w:val="nil"/>
              <w:bottom w:val="single" w:sz="4" w:space="0" w:color="000000" w:themeColor="text1"/>
              <w:right w:val="nil"/>
            </w:tcBorders>
            <w:shd w:val="clear" w:color="auto" w:fill="auto"/>
            <w:vAlign w:val="center"/>
            <w:hideMark/>
          </w:tcPr>
          <w:p w14:paraId="7AC0F162" w14:textId="77777777" w:rsidR="00B94AE1" w:rsidRPr="007B437F" w:rsidRDefault="00B94AE1" w:rsidP="00B94AE1">
            <w:pPr>
              <w:rPr>
                <w:rFonts w:ascii="Calibri" w:hAnsi="Calibri" w:cs="Calibri"/>
                <w:sz w:val="16"/>
                <w:szCs w:val="16"/>
              </w:rPr>
            </w:pPr>
            <w:r w:rsidRPr="00937E8B">
              <w:rPr>
                <w:rFonts w:ascii="Calibri" w:hAnsi="Calibri" w:cs="Calibri"/>
                <w:sz w:val="16"/>
                <w:szCs w:val="16"/>
              </w:rPr>
              <w:t>Dëgjime publike për K</w:t>
            </w:r>
            <w:r>
              <w:rPr>
                <w:rFonts w:ascii="Calibri" w:hAnsi="Calibri" w:cs="Calibri"/>
                <w:sz w:val="16"/>
                <w:szCs w:val="16"/>
              </w:rPr>
              <w:t xml:space="preserve">ornizën </w:t>
            </w:r>
            <w:r w:rsidRPr="00937E8B">
              <w:rPr>
                <w:rFonts w:ascii="Calibri" w:hAnsi="Calibri" w:cs="Calibri"/>
                <w:sz w:val="16"/>
                <w:szCs w:val="16"/>
              </w:rPr>
              <w:t>A</w:t>
            </w:r>
            <w:r>
              <w:rPr>
                <w:rFonts w:ascii="Calibri" w:hAnsi="Calibri" w:cs="Calibri"/>
                <w:sz w:val="16"/>
                <w:szCs w:val="16"/>
              </w:rPr>
              <w:t xml:space="preserve">fatmesme </w:t>
            </w:r>
            <w:r w:rsidRPr="00937E8B">
              <w:rPr>
                <w:rFonts w:ascii="Calibri" w:hAnsi="Calibri" w:cs="Calibri"/>
                <w:sz w:val="16"/>
                <w:szCs w:val="16"/>
              </w:rPr>
              <w:t>B</w:t>
            </w:r>
            <w:r>
              <w:rPr>
                <w:rFonts w:ascii="Calibri" w:hAnsi="Calibri" w:cs="Calibri"/>
                <w:sz w:val="16"/>
                <w:szCs w:val="16"/>
              </w:rPr>
              <w:t>uxhetore (KAB)</w:t>
            </w:r>
            <w:r w:rsidRPr="00937E8B">
              <w:rPr>
                <w:rFonts w:ascii="Calibri" w:hAnsi="Calibri" w:cs="Calibri"/>
                <w:sz w:val="16"/>
                <w:szCs w:val="16"/>
              </w:rPr>
              <w:t xml:space="preserve"> dhe buxhet komunal</w:t>
            </w:r>
            <w:r w:rsidRPr="00937E8B" w:rsidDel="00122C48">
              <w:rPr>
                <w:rFonts w:ascii="Calibri" w:hAnsi="Calibri" w:cs="Calibri"/>
                <w:sz w:val="16"/>
                <w:szCs w:val="16"/>
              </w:rPr>
              <w:t xml:space="preserve"> </w:t>
            </w:r>
          </w:p>
        </w:tc>
        <w:tc>
          <w:tcPr>
            <w:tcW w:w="2173"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F94725"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nëse rezultati në SMPK është 40% - 69.99%,</w:t>
            </w:r>
            <w:r w:rsidRPr="007B437F">
              <w:rPr>
                <w:rFonts w:ascii="Calibri" w:hAnsi="Calibri" w:cs="Calibri"/>
                <w:sz w:val="16"/>
                <w:szCs w:val="16"/>
              </w:rPr>
              <w:br/>
              <w:t>•  2 pikë nëse rezultati në SMPK është 70% - 89.99%,</w:t>
            </w:r>
            <w:r w:rsidRPr="007B437F">
              <w:rPr>
                <w:rFonts w:ascii="Calibri" w:hAnsi="Calibri" w:cs="Calibri"/>
                <w:sz w:val="16"/>
                <w:szCs w:val="16"/>
              </w:rPr>
              <w:br/>
              <w:t>•  4 pikë nëse rezultati në SMPK është  më i madhë ose barabartë me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42B2ABD" w14:textId="77777777" w:rsidR="00B94AE1" w:rsidRPr="007B437F" w:rsidRDefault="00B94AE1" w:rsidP="00B94AE1">
            <w:pPr>
              <w:jc w:val="center"/>
              <w:rPr>
                <w:rFonts w:ascii="Calibri" w:hAnsi="Calibri" w:cs="Calibri"/>
                <w:color w:val="000000"/>
                <w:sz w:val="16"/>
                <w:szCs w:val="16"/>
              </w:rPr>
            </w:pPr>
            <w:r w:rsidRPr="00E50D9B">
              <w:rPr>
                <w:rFonts w:ascii="Calibri" w:hAnsi="Calibri" w:cs="Calibri"/>
                <w:color w:val="000000"/>
                <w:sz w:val="16"/>
                <w:szCs w:val="16"/>
              </w:rPr>
              <w:t>0.00%</w:t>
            </w:r>
            <w:r w:rsidRPr="007B437F">
              <w:rPr>
                <w:rFonts w:ascii="Calibri" w:hAnsi="Calibri" w:cs="Calibri"/>
                <w:color w:val="000000"/>
                <w:sz w:val="16"/>
                <w:szCs w:val="16"/>
              </w:rPr>
              <w:t> </w:t>
            </w:r>
          </w:p>
        </w:tc>
        <w:tc>
          <w:tcPr>
            <w:tcW w:w="573"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7135565"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BC0017F"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50063E13" w14:textId="77777777" w:rsidR="00B94AE1" w:rsidRPr="007B437F" w:rsidRDefault="00B94AE1" w:rsidP="00B94AE1">
            <w:pPr>
              <w:jc w:val="center"/>
              <w:rPr>
                <w:rFonts w:ascii="Calibri" w:hAnsi="Calibri" w:cs="Calibri"/>
                <w:sz w:val="16"/>
                <w:szCs w:val="16"/>
              </w:rPr>
            </w:pPr>
            <w:r w:rsidRPr="007B437F">
              <w:rPr>
                <w:rFonts w:ascii="Calibri" w:hAnsi="Calibri" w:cs="Calibri"/>
                <w:sz w:val="16"/>
                <w:szCs w:val="16"/>
              </w:rPr>
              <w:t>Raporti i SMPK</w:t>
            </w:r>
            <w:r>
              <w:rPr>
                <w:rFonts w:ascii="Calibri" w:hAnsi="Calibri" w:cs="Calibri"/>
                <w:sz w:val="16"/>
                <w:szCs w:val="16"/>
              </w:rPr>
              <w:t>, Numri i treguesit 3.1.4</w:t>
            </w:r>
            <w:r w:rsidRPr="007B437F">
              <w:rPr>
                <w:rFonts w:ascii="Calibri" w:hAnsi="Calibri" w:cs="Calibri"/>
                <w:sz w:val="16"/>
                <w:szCs w:val="16"/>
              </w:rPr>
              <w:br/>
            </w:r>
          </w:p>
        </w:tc>
        <w:tc>
          <w:tcPr>
            <w:tcW w:w="1171" w:type="dxa"/>
            <w:gridSpan w:val="2"/>
            <w:tcBorders>
              <w:top w:val="single" w:sz="8" w:space="0" w:color="auto"/>
              <w:left w:val="nil"/>
              <w:bottom w:val="single" w:sz="4" w:space="0" w:color="000000" w:themeColor="text1"/>
              <w:right w:val="single" w:sz="8" w:space="0" w:color="auto"/>
            </w:tcBorders>
            <w:shd w:val="clear" w:color="auto" w:fill="auto"/>
            <w:vAlign w:val="bottom"/>
            <w:hideMark/>
          </w:tcPr>
          <w:p w14:paraId="1A88500C" w14:textId="77777777" w:rsidR="00B94AE1" w:rsidRPr="007B437F" w:rsidRDefault="00B94AE1" w:rsidP="00B94AE1">
            <w:pPr>
              <w:rPr>
                <w:rFonts w:ascii="Calibri" w:hAnsi="Calibri" w:cs="Calibri"/>
                <w:color w:val="000000"/>
                <w:sz w:val="16"/>
                <w:szCs w:val="16"/>
              </w:rPr>
            </w:pPr>
          </w:p>
        </w:tc>
      </w:tr>
      <w:tr w:rsidR="00B94AE1" w:rsidRPr="007B437F" w14:paraId="575EF956" w14:textId="77777777" w:rsidTr="003F7BB9">
        <w:trPr>
          <w:trHeight w:val="317"/>
        </w:trPr>
        <w:tc>
          <w:tcPr>
            <w:tcW w:w="557" w:type="dxa"/>
            <w:tcBorders>
              <w:top w:val="nil"/>
              <w:left w:val="single" w:sz="8" w:space="0" w:color="auto"/>
              <w:bottom w:val="nil"/>
              <w:right w:val="single" w:sz="8" w:space="0" w:color="auto"/>
            </w:tcBorders>
            <w:shd w:val="clear" w:color="auto" w:fill="8EA9DB"/>
            <w:noWrap/>
            <w:vAlign w:val="center"/>
            <w:hideMark/>
          </w:tcPr>
          <w:p w14:paraId="3FFA040D"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III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757A365E"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Transparenca, qasja në informata dhe integriteti</w:t>
            </w:r>
          </w:p>
        </w:tc>
        <w:tc>
          <w:tcPr>
            <w:tcW w:w="573" w:type="dxa"/>
            <w:tcBorders>
              <w:top w:val="nil"/>
              <w:left w:val="nil"/>
              <w:bottom w:val="single" w:sz="8" w:space="0" w:color="auto"/>
              <w:right w:val="single" w:sz="4" w:space="0" w:color="auto"/>
            </w:tcBorders>
            <w:shd w:val="clear" w:color="auto" w:fill="8EA9DB"/>
            <w:vAlign w:val="center"/>
            <w:hideMark/>
          </w:tcPr>
          <w:p w14:paraId="6C84B792"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15</w:t>
            </w:r>
          </w:p>
        </w:tc>
        <w:tc>
          <w:tcPr>
            <w:tcW w:w="851" w:type="dxa"/>
            <w:tcBorders>
              <w:top w:val="nil"/>
              <w:left w:val="nil"/>
              <w:bottom w:val="single" w:sz="8" w:space="0" w:color="auto"/>
              <w:right w:val="single" w:sz="4" w:space="0" w:color="auto"/>
            </w:tcBorders>
            <w:shd w:val="clear" w:color="auto" w:fill="8EA9DB"/>
            <w:vAlign w:val="center"/>
            <w:hideMark/>
          </w:tcPr>
          <w:p w14:paraId="3A834CF5"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5A2C22A7"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6A3A3DBA"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190F6069"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190403D"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9</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45FD68DC" w14:textId="77777777" w:rsidR="00B94AE1" w:rsidRPr="007B437F" w:rsidRDefault="00B94AE1" w:rsidP="00B94AE1">
            <w:pPr>
              <w:rPr>
                <w:rFonts w:ascii="Calibri" w:hAnsi="Calibri" w:cs="Calibri"/>
                <w:color w:val="000000"/>
                <w:sz w:val="16"/>
                <w:szCs w:val="16"/>
              </w:rPr>
            </w:pPr>
            <w:r w:rsidRPr="00937E8B">
              <w:rPr>
                <w:rFonts w:ascii="Calibri" w:hAnsi="Calibri" w:cs="Calibri"/>
                <w:color w:val="000000"/>
                <w:sz w:val="16"/>
                <w:szCs w:val="16"/>
              </w:rPr>
              <w:t>Mbledhjet e kuvendit të bëra publike dhe transmetuara drejtpërdrejtë online</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5AC8DC6"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pikë nëse rezultati në SMPK është 40%- 59.99%,</w:t>
            </w:r>
            <w:r w:rsidRPr="007B437F">
              <w:rPr>
                <w:rFonts w:ascii="Calibri" w:hAnsi="Calibri" w:cs="Calibri"/>
                <w:sz w:val="16"/>
                <w:szCs w:val="16"/>
              </w:rPr>
              <w:br/>
              <w:t>• 2 pikë pikë nëse rezultati në SMPK është 60% - 89.99%,</w:t>
            </w:r>
            <w:r w:rsidRPr="007B437F">
              <w:rPr>
                <w:rFonts w:ascii="Calibri" w:hAnsi="Calibri" w:cs="Calibri"/>
                <w:sz w:val="16"/>
                <w:szCs w:val="16"/>
              </w:rPr>
              <w:br/>
              <w:t>• 3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7C7B434" w14:textId="77777777" w:rsidR="00B94AE1" w:rsidRPr="007B437F" w:rsidRDefault="00B94AE1" w:rsidP="00B94AE1">
            <w:pPr>
              <w:jc w:val="center"/>
              <w:rPr>
                <w:rFonts w:ascii="Calibri" w:hAnsi="Calibri" w:cs="Calibri"/>
                <w:color w:val="000000"/>
                <w:sz w:val="16"/>
                <w:szCs w:val="16"/>
              </w:rPr>
            </w:pPr>
            <w:r w:rsidRPr="00E50D9B">
              <w:rPr>
                <w:rFonts w:ascii="Calibri" w:hAnsi="Calibri" w:cs="Calibri"/>
                <w:color w:val="000000"/>
                <w:sz w:val="16"/>
                <w:szCs w:val="16"/>
              </w:rPr>
              <w:t>0.00%</w:t>
            </w: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3590F7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AB373F7"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174B0DC"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r>
              <w:rPr>
                <w:rFonts w:ascii="Calibri" w:hAnsi="Calibri" w:cs="Calibri"/>
                <w:sz w:val="16"/>
                <w:szCs w:val="16"/>
              </w:rPr>
              <w:t xml:space="preserve">, </w:t>
            </w:r>
          </w:p>
          <w:p w14:paraId="44B1B180" w14:textId="77777777" w:rsidR="00B94AE1" w:rsidRDefault="00B94AE1" w:rsidP="00B94AE1">
            <w:pPr>
              <w:jc w:val="center"/>
              <w:rPr>
                <w:rFonts w:ascii="Calibri" w:hAnsi="Calibri" w:cs="Calibri"/>
                <w:sz w:val="16"/>
                <w:szCs w:val="16"/>
              </w:rPr>
            </w:pPr>
            <w:r>
              <w:rPr>
                <w:rFonts w:ascii="Calibri" w:hAnsi="Calibri" w:cs="Calibri"/>
                <w:sz w:val="16"/>
                <w:szCs w:val="16"/>
              </w:rPr>
              <w:t>Numri i treguesit</w:t>
            </w:r>
          </w:p>
          <w:p w14:paraId="6FF36393" w14:textId="77777777" w:rsidR="00B94AE1" w:rsidRPr="007B437F" w:rsidRDefault="00B94AE1" w:rsidP="00B94AE1">
            <w:pPr>
              <w:jc w:val="center"/>
              <w:rPr>
                <w:rFonts w:ascii="Calibri" w:hAnsi="Calibri" w:cs="Calibri"/>
                <w:sz w:val="16"/>
                <w:szCs w:val="16"/>
              </w:rPr>
            </w:pPr>
            <w:r>
              <w:rPr>
                <w:rFonts w:ascii="Calibri" w:hAnsi="Calibri" w:cs="Calibri"/>
                <w:sz w:val="16"/>
                <w:szCs w:val="16"/>
              </w:rPr>
              <w:t>2.1.1</w:t>
            </w:r>
            <w:r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673FE3B4" w14:textId="77777777" w:rsidR="00B94AE1" w:rsidRPr="007B437F" w:rsidRDefault="00B94AE1" w:rsidP="00B94AE1">
            <w:pPr>
              <w:rPr>
                <w:rFonts w:ascii="Calibri" w:hAnsi="Calibri" w:cs="Calibri"/>
                <w:color w:val="000000"/>
                <w:sz w:val="16"/>
                <w:szCs w:val="16"/>
              </w:rPr>
            </w:pPr>
          </w:p>
        </w:tc>
      </w:tr>
      <w:tr w:rsidR="00B94AE1" w:rsidRPr="007B437F" w14:paraId="692926F2" w14:textId="77777777" w:rsidTr="003F7BB9">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DF264D2"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10</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712D3D5" w14:textId="77777777" w:rsidR="00B94AE1" w:rsidRPr="007B437F" w:rsidRDefault="00B94AE1" w:rsidP="00B94AE1">
            <w:pPr>
              <w:rPr>
                <w:rFonts w:ascii="Calibri" w:hAnsi="Calibri" w:cs="Calibri"/>
                <w:color w:val="000000"/>
                <w:sz w:val="16"/>
                <w:szCs w:val="16"/>
              </w:rPr>
            </w:pPr>
            <w:r w:rsidRPr="00937E8B">
              <w:rPr>
                <w:rFonts w:ascii="Calibri" w:hAnsi="Calibri" w:cs="Calibri"/>
                <w:color w:val="000000"/>
                <w:sz w:val="16"/>
                <w:szCs w:val="16"/>
              </w:rPr>
              <w:t>Përmbushja e kritereve të faqes zyrtare elektronike të komunës</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85582DA"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nëse rezultati në SMPK është 40% - 59.99%,</w:t>
            </w:r>
            <w:r w:rsidRPr="007B437F">
              <w:rPr>
                <w:rFonts w:ascii="Calibri" w:hAnsi="Calibri" w:cs="Calibri"/>
                <w:sz w:val="16"/>
                <w:szCs w:val="16"/>
              </w:rPr>
              <w:br/>
              <w:t>• 2 pikë nëse rezultati në SMPK është 60% - 89.99%,</w:t>
            </w:r>
            <w:r w:rsidRPr="007B437F">
              <w:rPr>
                <w:rFonts w:ascii="Calibri" w:hAnsi="Calibri" w:cs="Calibri"/>
                <w:sz w:val="16"/>
                <w:szCs w:val="16"/>
              </w:rPr>
              <w:br/>
              <w:t xml:space="preserve">• 4 pikë nëse rezultati në SMPK është më e madhe ose barabartë me 90%. </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vAlign w:val="center"/>
            <w:hideMark/>
          </w:tcPr>
          <w:p w14:paraId="53898AF5" w14:textId="77777777" w:rsidR="00B94AE1" w:rsidRPr="007B437F" w:rsidRDefault="00B94AE1" w:rsidP="00B94AE1">
            <w:pPr>
              <w:jc w:val="center"/>
              <w:rPr>
                <w:rFonts w:ascii="Calibri" w:hAnsi="Calibri" w:cs="Calibri"/>
                <w:color w:val="000000"/>
                <w:sz w:val="16"/>
                <w:szCs w:val="16"/>
              </w:rPr>
            </w:pPr>
            <w:r w:rsidRPr="00E50D9B">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5EA4C7D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292B5ED"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15A41DB"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p>
          <w:p w14:paraId="7E9D32AA" w14:textId="77777777" w:rsidR="00B94AE1" w:rsidRDefault="00B94AE1" w:rsidP="00B94AE1">
            <w:pPr>
              <w:jc w:val="center"/>
              <w:rPr>
                <w:rFonts w:ascii="Calibri" w:hAnsi="Calibri" w:cs="Calibri"/>
                <w:sz w:val="16"/>
                <w:szCs w:val="16"/>
              </w:rPr>
            </w:pPr>
            <w:r>
              <w:rPr>
                <w:rFonts w:ascii="Calibri" w:hAnsi="Calibri" w:cs="Calibri"/>
                <w:sz w:val="16"/>
                <w:szCs w:val="16"/>
              </w:rPr>
              <w:t xml:space="preserve">Numri i treguesit </w:t>
            </w:r>
          </w:p>
          <w:p w14:paraId="6FADA83B" w14:textId="77777777" w:rsidR="00B94AE1" w:rsidRPr="007B437F" w:rsidRDefault="00B94AE1" w:rsidP="00B94AE1">
            <w:pPr>
              <w:jc w:val="center"/>
              <w:rPr>
                <w:rFonts w:ascii="Calibri" w:hAnsi="Calibri" w:cs="Calibri"/>
                <w:sz w:val="16"/>
                <w:szCs w:val="16"/>
              </w:rPr>
            </w:pPr>
            <w:r>
              <w:rPr>
                <w:rFonts w:ascii="Calibri" w:hAnsi="Calibri" w:cs="Calibri"/>
                <w:sz w:val="16"/>
                <w:szCs w:val="16"/>
              </w:rPr>
              <w:t>2.1.3</w:t>
            </w:r>
            <w:r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noWrap/>
            <w:vAlign w:val="bottom"/>
            <w:hideMark/>
          </w:tcPr>
          <w:p w14:paraId="741BCA34"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0452E51C"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6AC80E11"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11</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7D0A18F" w14:textId="77777777" w:rsidR="00B94AE1" w:rsidRPr="007B437F" w:rsidRDefault="00B94AE1" w:rsidP="00B94AE1">
            <w:pPr>
              <w:rPr>
                <w:rFonts w:ascii="Calibri" w:hAnsi="Calibri" w:cs="Calibri"/>
                <w:color w:val="000000"/>
                <w:sz w:val="16"/>
                <w:szCs w:val="16"/>
              </w:rPr>
            </w:pPr>
            <w:r w:rsidRPr="00E50D9B">
              <w:rPr>
                <w:rFonts w:ascii="Calibri" w:hAnsi="Calibri" w:cs="Calibri"/>
                <w:color w:val="000000"/>
                <w:sz w:val="16"/>
                <w:szCs w:val="16"/>
              </w:rPr>
              <w:t>Publikimi i dokumenteve të prokurimit publik të komunës</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9D29655"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49.99%,</w:t>
            </w:r>
            <w:r w:rsidRPr="007B437F">
              <w:rPr>
                <w:rFonts w:ascii="Calibri" w:hAnsi="Calibri" w:cs="Calibri"/>
                <w:sz w:val="16"/>
                <w:szCs w:val="16"/>
              </w:rPr>
              <w:br/>
              <w:t>• 1 pikë nëse rezultati në SMPK është 50% - 89.99%,</w:t>
            </w:r>
            <w:r w:rsidRPr="007B437F">
              <w:rPr>
                <w:rFonts w:ascii="Calibri" w:hAnsi="Calibri" w:cs="Calibri"/>
                <w:sz w:val="16"/>
                <w:szCs w:val="16"/>
              </w:rPr>
              <w:br/>
              <w:t>• 2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5EDE1B3C" w14:textId="77777777" w:rsidR="00B94AE1" w:rsidRPr="007B437F" w:rsidRDefault="00B94AE1" w:rsidP="00B94AE1">
            <w:pPr>
              <w:jc w:val="center"/>
              <w:rPr>
                <w:rFonts w:ascii="Calibri" w:hAnsi="Calibri" w:cs="Calibri"/>
                <w:color w:val="000000"/>
                <w:sz w:val="16"/>
                <w:szCs w:val="16"/>
              </w:rPr>
            </w:pPr>
            <w:r w:rsidRPr="00E50D9B">
              <w:rPr>
                <w:rFonts w:ascii="Calibri" w:hAnsi="Calibri" w:cs="Calibri"/>
                <w:color w:val="000000"/>
                <w:sz w:val="16"/>
                <w:szCs w:val="16"/>
              </w:rPr>
              <w:t>0.00%</w:t>
            </w: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09C7BD45"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EB4A5D4"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34AA4D7"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r>
              <w:rPr>
                <w:rFonts w:ascii="Calibri" w:hAnsi="Calibri" w:cs="Calibri"/>
                <w:sz w:val="16"/>
                <w:szCs w:val="16"/>
              </w:rPr>
              <w:t xml:space="preserve">, </w:t>
            </w:r>
          </w:p>
          <w:p w14:paraId="61A27204" w14:textId="77777777" w:rsidR="00B94AE1" w:rsidRDefault="00B94AE1" w:rsidP="00B94AE1">
            <w:pPr>
              <w:jc w:val="center"/>
              <w:rPr>
                <w:rFonts w:ascii="Calibri" w:hAnsi="Calibri" w:cs="Calibri"/>
                <w:sz w:val="16"/>
                <w:szCs w:val="16"/>
              </w:rPr>
            </w:pPr>
            <w:r>
              <w:rPr>
                <w:rFonts w:ascii="Calibri" w:hAnsi="Calibri" w:cs="Calibri"/>
                <w:sz w:val="16"/>
                <w:szCs w:val="16"/>
              </w:rPr>
              <w:t>Numri i treguesit</w:t>
            </w:r>
          </w:p>
          <w:p w14:paraId="2FFD0036" w14:textId="77777777" w:rsidR="00B94AE1" w:rsidRPr="007B437F" w:rsidRDefault="00B94AE1" w:rsidP="00B94AE1">
            <w:pPr>
              <w:jc w:val="center"/>
              <w:rPr>
                <w:rFonts w:ascii="Calibri" w:hAnsi="Calibri" w:cs="Calibri"/>
                <w:sz w:val="16"/>
                <w:szCs w:val="16"/>
              </w:rPr>
            </w:pPr>
            <w:r>
              <w:rPr>
                <w:rFonts w:ascii="Calibri" w:hAnsi="Calibri" w:cs="Calibri"/>
                <w:sz w:val="16"/>
                <w:szCs w:val="16"/>
              </w:rPr>
              <w:t>2.2.2</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17FDF2A8" w14:textId="77777777" w:rsidR="00B94AE1" w:rsidRPr="007B437F" w:rsidRDefault="00B94AE1" w:rsidP="00B94AE1">
            <w:pPr>
              <w:rPr>
                <w:rFonts w:ascii="Calibri" w:hAnsi="Calibri" w:cs="Calibri"/>
                <w:color w:val="000000"/>
                <w:sz w:val="16"/>
                <w:szCs w:val="16"/>
              </w:rPr>
            </w:pPr>
          </w:p>
        </w:tc>
      </w:tr>
      <w:tr w:rsidR="00B94AE1" w:rsidRPr="007B437F" w14:paraId="38D96B6C" w14:textId="77777777" w:rsidTr="003F7BB9">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B2C20FC"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12</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66FA5E21" w14:textId="77777777" w:rsidR="00B94AE1" w:rsidRPr="007B437F" w:rsidRDefault="00B94AE1" w:rsidP="00B94AE1">
            <w:pPr>
              <w:rPr>
                <w:rFonts w:ascii="Calibri" w:hAnsi="Calibri" w:cs="Calibri"/>
                <w:color w:val="000000"/>
                <w:sz w:val="16"/>
                <w:szCs w:val="16"/>
              </w:rPr>
            </w:pPr>
            <w:r w:rsidRPr="0052538C">
              <w:rPr>
                <w:rFonts w:ascii="Calibri" w:hAnsi="Calibri" w:cs="Calibri"/>
                <w:color w:val="000000"/>
                <w:sz w:val="16"/>
                <w:szCs w:val="16"/>
              </w:rPr>
              <w:t>Publikimi i raporteve për procese të konsultimeve publike</w:t>
            </w:r>
            <w:r w:rsidRPr="00E50D9B" w:rsidDel="00E50D9B">
              <w:rPr>
                <w:rFonts w:asciiTheme="majorHAnsi" w:eastAsia="Calibri" w:hAnsiTheme="majorHAnsi" w:cstheme="majorHAnsi"/>
                <w:sz w:val="19"/>
                <w:szCs w:val="19"/>
              </w:rPr>
              <w:t xml:space="preserve"> </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DF9F81F"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nëse rezultati në SMPK është 40% - 59.99%,</w:t>
            </w:r>
            <w:r w:rsidRPr="007B437F">
              <w:rPr>
                <w:rFonts w:ascii="Calibri" w:hAnsi="Calibri" w:cs="Calibri"/>
                <w:sz w:val="16"/>
                <w:szCs w:val="16"/>
              </w:rPr>
              <w:br/>
              <w:t>• 2 pikë nëse rezultati në SMPK është 60% - 89.99%,</w:t>
            </w:r>
            <w:r w:rsidRPr="007B437F">
              <w:rPr>
                <w:rFonts w:ascii="Calibri" w:hAnsi="Calibri" w:cs="Calibri"/>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9B098D2" w14:textId="77777777" w:rsidR="00B94AE1" w:rsidRPr="007B437F" w:rsidRDefault="00B94AE1" w:rsidP="00B94AE1">
            <w:pPr>
              <w:jc w:val="center"/>
              <w:rPr>
                <w:rFonts w:ascii="Calibri" w:hAnsi="Calibri" w:cs="Calibri"/>
                <w:color w:val="000000"/>
                <w:sz w:val="16"/>
                <w:szCs w:val="16"/>
              </w:rPr>
            </w:pPr>
            <w:r w:rsidRPr="00E50D9B">
              <w:rPr>
                <w:rFonts w:ascii="Calibri" w:hAnsi="Calibri" w:cs="Calibri"/>
                <w:color w:val="000000"/>
                <w:sz w:val="16"/>
                <w:szCs w:val="16"/>
              </w:rPr>
              <w:t>0.00%</w:t>
            </w: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6E3AF25"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7C2E5C6"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AF5B3C5"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r>
              <w:rPr>
                <w:rFonts w:ascii="Calibri" w:hAnsi="Calibri" w:cs="Calibri"/>
                <w:sz w:val="16"/>
                <w:szCs w:val="16"/>
              </w:rPr>
              <w:t xml:space="preserve">, </w:t>
            </w:r>
          </w:p>
          <w:p w14:paraId="6EFE7A69" w14:textId="77777777" w:rsidR="00B94AE1" w:rsidRDefault="00B94AE1" w:rsidP="00B94AE1">
            <w:pPr>
              <w:jc w:val="center"/>
              <w:rPr>
                <w:rFonts w:ascii="Calibri" w:hAnsi="Calibri" w:cs="Calibri"/>
                <w:sz w:val="16"/>
                <w:szCs w:val="16"/>
              </w:rPr>
            </w:pPr>
            <w:r>
              <w:rPr>
                <w:rFonts w:ascii="Calibri" w:hAnsi="Calibri" w:cs="Calibri"/>
                <w:sz w:val="16"/>
                <w:szCs w:val="16"/>
              </w:rPr>
              <w:t>Numri i treguesit</w:t>
            </w:r>
          </w:p>
          <w:p w14:paraId="33AAF313" w14:textId="77777777" w:rsidR="00B94AE1" w:rsidRDefault="00B94AE1" w:rsidP="00B94AE1">
            <w:pPr>
              <w:jc w:val="center"/>
              <w:rPr>
                <w:rFonts w:ascii="Calibri" w:hAnsi="Calibri" w:cs="Calibri"/>
                <w:sz w:val="16"/>
                <w:szCs w:val="16"/>
              </w:rPr>
            </w:pPr>
          </w:p>
          <w:p w14:paraId="403BED27" w14:textId="77777777" w:rsidR="00B94AE1" w:rsidRPr="007B437F" w:rsidRDefault="00B94AE1" w:rsidP="00B94AE1">
            <w:pPr>
              <w:jc w:val="center"/>
              <w:rPr>
                <w:rFonts w:ascii="Calibri" w:hAnsi="Calibri" w:cs="Calibri"/>
                <w:sz w:val="16"/>
                <w:szCs w:val="16"/>
              </w:rPr>
            </w:pPr>
            <w:r>
              <w:rPr>
                <w:rFonts w:ascii="Calibri" w:hAnsi="Calibri" w:cs="Calibri"/>
                <w:sz w:val="16"/>
                <w:szCs w:val="16"/>
              </w:rPr>
              <w:t>3.1.5</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5605D56C" w14:textId="77777777" w:rsidR="00B94AE1" w:rsidRPr="007B437F" w:rsidRDefault="00B94AE1" w:rsidP="00B94AE1">
            <w:pPr>
              <w:rPr>
                <w:rFonts w:ascii="Calibri" w:hAnsi="Calibri" w:cs="Calibri"/>
                <w:color w:val="000000"/>
                <w:sz w:val="16"/>
                <w:szCs w:val="16"/>
              </w:rPr>
            </w:pPr>
          </w:p>
        </w:tc>
      </w:tr>
      <w:tr w:rsidR="00B94AE1" w:rsidRPr="007B437F" w14:paraId="0C3602B4" w14:textId="77777777" w:rsidTr="003F7BB9">
        <w:trPr>
          <w:trHeight w:val="9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07FAEA40"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13</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FF94ED3" w14:textId="77777777" w:rsidR="00B94AE1" w:rsidRPr="007B437F" w:rsidRDefault="00B94AE1" w:rsidP="00B94AE1">
            <w:pPr>
              <w:rPr>
                <w:rFonts w:ascii="Calibri" w:hAnsi="Calibri" w:cs="Calibri"/>
                <w:color w:val="000000"/>
                <w:sz w:val="16"/>
                <w:szCs w:val="16"/>
              </w:rPr>
            </w:pPr>
            <w:r w:rsidRPr="00E50D9B">
              <w:rPr>
                <w:rFonts w:ascii="Calibri" w:hAnsi="Calibri" w:cs="Calibri"/>
                <w:color w:val="000000"/>
                <w:sz w:val="16"/>
                <w:szCs w:val="16"/>
              </w:rPr>
              <w:t>Raportimi i planit vjetor të planit të integritetit para kuvendit komunal</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A51C99F"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më i vogël se 100%,</w:t>
            </w:r>
            <w:r w:rsidRPr="007B437F">
              <w:rPr>
                <w:rFonts w:ascii="Calibri" w:hAnsi="Calibri" w:cs="Calibri"/>
                <w:sz w:val="16"/>
                <w:szCs w:val="16"/>
              </w:rPr>
              <w:br/>
              <w:t>• 2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0EB0B1DB" w14:textId="77777777" w:rsidR="00B94AE1" w:rsidRPr="007B437F" w:rsidRDefault="00B94AE1" w:rsidP="00B94AE1">
            <w:pPr>
              <w:jc w:val="center"/>
              <w:rPr>
                <w:rFonts w:ascii="Calibri" w:hAnsi="Calibri" w:cs="Calibri"/>
                <w:color w:val="000000"/>
                <w:sz w:val="16"/>
                <w:szCs w:val="16"/>
              </w:rPr>
            </w:pPr>
            <w:r w:rsidRPr="00E50D9B">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2BA3D0E9"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469256E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71BE694"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r>
              <w:rPr>
                <w:rFonts w:ascii="Calibri" w:hAnsi="Calibri" w:cs="Calibri"/>
                <w:sz w:val="16"/>
                <w:szCs w:val="16"/>
              </w:rPr>
              <w:t xml:space="preserve">, </w:t>
            </w:r>
          </w:p>
          <w:p w14:paraId="0469AABD" w14:textId="77777777" w:rsidR="00B94AE1" w:rsidRDefault="00B94AE1" w:rsidP="00B94AE1">
            <w:pPr>
              <w:jc w:val="center"/>
              <w:rPr>
                <w:rFonts w:ascii="Calibri" w:hAnsi="Calibri" w:cs="Calibri"/>
                <w:sz w:val="16"/>
                <w:szCs w:val="16"/>
              </w:rPr>
            </w:pPr>
            <w:r>
              <w:rPr>
                <w:rFonts w:ascii="Calibri" w:hAnsi="Calibri" w:cs="Calibri"/>
                <w:sz w:val="16"/>
                <w:szCs w:val="16"/>
              </w:rPr>
              <w:t>Numri i treguesit</w:t>
            </w:r>
          </w:p>
          <w:p w14:paraId="64C7C895" w14:textId="77777777" w:rsidR="00B94AE1" w:rsidRPr="007B437F" w:rsidRDefault="00B94AE1" w:rsidP="00B94AE1">
            <w:pPr>
              <w:jc w:val="center"/>
              <w:rPr>
                <w:rFonts w:ascii="Calibri" w:hAnsi="Calibri" w:cs="Calibri"/>
                <w:sz w:val="16"/>
                <w:szCs w:val="16"/>
              </w:rPr>
            </w:pPr>
            <w:r>
              <w:rPr>
                <w:rFonts w:ascii="Calibri" w:hAnsi="Calibri" w:cs="Calibri"/>
                <w:sz w:val="16"/>
                <w:szCs w:val="16"/>
              </w:rPr>
              <w:t>3.4.1</w:t>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5F66F79C"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46AE0A82" w14:textId="77777777" w:rsidTr="003F7BB9">
        <w:trPr>
          <w:trHeight w:val="435"/>
        </w:trPr>
        <w:tc>
          <w:tcPr>
            <w:tcW w:w="557" w:type="dxa"/>
            <w:tcBorders>
              <w:top w:val="nil"/>
              <w:left w:val="single" w:sz="8" w:space="0" w:color="auto"/>
              <w:bottom w:val="nil"/>
              <w:right w:val="single" w:sz="8" w:space="0" w:color="auto"/>
            </w:tcBorders>
            <w:shd w:val="clear" w:color="auto" w:fill="305496"/>
            <w:noWrap/>
            <w:vAlign w:val="center"/>
            <w:hideMark/>
          </w:tcPr>
          <w:p w14:paraId="0F125D81"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2</w:t>
            </w:r>
          </w:p>
        </w:tc>
        <w:tc>
          <w:tcPr>
            <w:tcW w:w="6005" w:type="dxa"/>
            <w:gridSpan w:val="3"/>
            <w:tcBorders>
              <w:top w:val="single" w:sz="8" w:space="0" w:color="auto"/>
              <w:left w:val="nil"/>
              <w:bottom w:val="single" w:sz="8" w:space="0" w:color="auto"/>
              <w:right w:val="single" w:sz="4" w:space="0" w:color="auto"/>
            </w:tcBorders>
            <w:shd w:val="clear" w:color="auto" w:fill="305496"/>
            <w:vAlign w:val="center"/>
            <w:hideMark/>
          </w:tcPr>
          <w:p w14:paraId="4E99D47C"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Menaxhimi komunal</w:t>
            </w:r>
          </w:p>
        </w:tc>
        <w:tc>
          <w:tcPr>
            <w:tcW w:w="573" w:type="dxa"/>
            <w:tcBorders>
              <w:top w:val="nil"/>
              <w:left w:val="nil"/>
              <w:bottom w:val="single" w:sz="8" w:space="0" w:color="auto"/>
              <w:right w:val="single" w:sz="4" w:space="0" w:color="auto"/>
            </w:tcBorders>
            <w:shd w:val="clear" w:color="auto" w:fill="305496"/>
            <w:vAlign w:val="center"/>
            <w:hideMark/>
          </w:tcPr>
          <w:p w14:paraId="7E7982D8" w14:textId="75980C7F" w:rsidR="00B94AE1" w:rsidRPr="007B437F" w:rsidRDefault="00B94AE1" w:rsidP="00B94AE1">
            <w:pPr>
              <w:jc w:val="center"/>
              <w:rPr>
                <w:rFonts w:ascii="Calibri" w:hAnsi="Calibri" w:cs="Calibri"/>
                <w:b/>
                <w:bCs/>
                <w:color w:val="FFFFFF"/>
                <w:sz w:val="16"/>
                <w:szCs w:val="16"/>
              </w:rPr>
            </w:pPr>
            <w:r>
              <w:rPr>
                <w:rFonts w:ascii="Calibri" w:hAnsi="Calibri" w:cs="Calibri"/>
                <w:b/>
                <w:bCs/>
                <w:color w:val="FFFFFF"/>
                <w:sz w:val="16"/>
                <w:szCs w:val="16"/>
              </w:rPr>
              <w:t>28</w:t>
            </w:r>
          </w:p>
        </w:tc>
        <w:tc>
          <w:tcPr>
            <w:tcW w:w="851" w:type="dxa"/>
            <w:tcBorders>
              <w:top w:val="nil"/>
              <w:left w:val="nil"/>
              <w:bottom w:val="single" w:sz="8" w:space="0" w:color="auto"/>
              <w:right w:val="single" w:sz="4" w:space="0" w:color="auto"/>
            </w:tcBorders>
            <w:shd w:val="clear" w:color="auto" w:fill="305496"/>
            <w:vAlign w:val="center"/>
            <w:hideMark/>
          </w:tcPr>
          <w:p w14:paraId="169D8498"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305496"/>
            <w:vAlign w:val="center"/>
            <w:hideMark/>
          </w:tcPr>
          <w:p w14:paraId="33F472E4"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305496"/>
            <w:vAlign w:val="center"/>
            <w:hideMark/>
          </w:tcPr>
          <w:p w14:paraId="43E86D18"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6F6CCC36" w14:textId="77777777" w:rsidTr="003F7BB9">
        <w:trPr>
          <w:trHeight w:val="435"/>
        </w:trPr>
        <w:tc>
          <w:tcPr>
            <w:tcW w:w="557" w:type="dxa"/>
            <w:tcBorders>
              <w:top w:val="nil"/>
              <w:left w:val="single" w:sz="8" w:space="0" w:color="auto"/>
              <w:bottom w:val="nil"/>
              <w:right w:val="single" w:sz="8" w:space="0" w:color="auto"/>
            </w:tcBorders>
            <w:shd w:val="clear" w:color="auto" w:fill="8EA9DB"/>
            <w:noWrap/>
            <w:vAlign w:val="center"/>
            <w:hideMark/>
          </w:tcPr>
          <w:p w14:paraId="1DD6006F"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IV</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35DB68AF"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Menaxhimi financiar</w:t>
            </w:r>
          </w:p>
        </w:tc>
        <w:tc>
          <w:tcPr>
            <w:tcW w:w="573" w:type="dxa"/>
            <w:tcBorders>
              <w:top w:val="nil"/>
              <w:left w:val="nil"/>
              <w:bottom w:val="single" w:sz="8" w:space="0" w:color="auto"/>
              <w:right w:val="single" w:sz="4" w:space="0" w:color="auto"/>
            </w:tcBorders>
            <w:shd w:val="clear" w:color="auto" w:fill="8EA9DB"/>
            <w:vAlign w:val="center"/>
            <w:hideMark/>
          </w:tcPr>
          <w:p w14:paraId="3D4BCA8E"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13</w:t>
            </w:r>
          </w:p>
        </w:tc>
        <w:tc>
          <w:tcPr>
            <w:tcW w:w="851" w:type="dxa"/>
            <w:tcBorders>
              <w:top w:val="nil"/>
              <w:left w:val="nil"/>
              <w:bottom w:val="single" w:sz="8" w:space="0" w:color="auto"/>
              <w:right w:val="single" w:sz="4" w:space="0" w:color="auto"/>
            </w:tcBorders>
            <w:shd w:val="clear" w:color="auto" w:fill="8EA9DB"/>
            <w:vAlign w:val="center"/>
            <w:hideMark/>
          </w:tcPr>
          <w:p w14:paraId="1FA68048"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519403B3"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365ED70D"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70F1843D"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3BE32030"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356B2EC" w14:textId="77777777" w:rsidR="00B94AE1" w:rsidRPr="0043713A" w:rsidRDefault="00B94AE1" w:rsidP="00B94AE1">
            <w:pPr>
              <w:rPr>
                <w:rFonts w:ascii="Calibri" w:hAnsi="Calibri" w:cs="Calibri"/>
                <w:color w:val="000000"/>
                <w:sz w:val="16"/>
                <w:szCs w:val="16"/>
              </w:rPr>
            </w:pPr>
            <w:r w:rsidRPr="0043713A">
              <w:rPr>
                <w:rFonts w:ascii="Calibri" w:hAnsi="Calibri" w:cs="Calibri"/>
                <w:color w:val="000000"/>
                <w:sz w:val="16"/>
                <w:szCs w:val="16"/>
              </w:rPr>
              <w:br/>
              <w:t>Niveli i azhurnimit të regjistrit të tatimit në pronë</w:t>
            </w:r>
          </w:p>
          <w:p w14:paraId="001AC747" w14:textId="77777777" w:rsidR="00B94AE1" w:rsidRPr="0043713A" w:rsidRDefault="00B94AE1" w:rsidP="00B94AE1">
            <w:pPr>
              <w:rPr>
                <w:rFonts w:ascii="Calibri" w:hAnsi="Calibri" w:cs="Calibri"/>
                <w:color w:val="000000"/>
                <w:sz w:val="16"/>
                <w:szCs w:val="16"/>
              </w:rPr>
            </w:pP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1E5BA378" w14:textId="77777777" w:rsidR="00B94AE1" w:rsidRPr="0043713A" w:rsidRDefault="00B94AE1" w:rsidP="00B94AE1">
            <w:pPr>
              <w:rPr>
                <w:rFonts w:ascii="Calibri" w:hAnsi="Calibri" w:cs="Calibri"/>
                <w:sz w:val="16"/>
                <w:szCs w:val="16"/>
              </w:rPr>
            </w:pPr>
            <w:r w:rsidRPr="0043713A">
              <w:rPr>
                <w:rFonts w:ascii="Calibri" w:hAnsi="Calibri" w:cs="Calibri"/>
                <w:sz w:val="16"/>
                <w:szCs w:val="16"/>
              </w:rPr>
              <w:t xml:space="preserve">• 0 pikë nëse rezultati në SMPK është deri në </w:t>
            </w:r>
            <w:r>
              <w:rPr>
                <w:rFonts w:ascii="Calibri" w:hAnsi="Calibri" w:cs="Calibri"/>
                <w:sz w:val="16"/>
                <w:szCs w:val="16"/>
              </w:rPr>
              <w:t>84.99</w:t>
            </w:r>
            <w:r w:rsidRPr="0043713A">
              <w:rPr>
                <w:rFonts w:ascii="Calibri" w:hAnsi="Calibri" w:cs="Calibri"/>
                <w:sz w:val="16"/>
                <w:szCs w:val="16"/>
              </w:rPr>
              <w:t>%,</w:t>
            </w:r>
            <w:r w:rsidRPr="0043713A">
              <w:rPr>
                <w:rFonts w:ascii="Calibri" w:hAnsi="Calibri" w:cs="Calibri"/>
                <w:sz w:val="16"/>
                <w:szCs w:val="16"/>
              </w:rPr>
              <w:br/>
              <w:t>• 1 pikë nëse rezultati në SMPK është 85% - 99</w:t>
            </w:r>
            <w:r>
              <w:rPr>
                <w:rFonts w:ascii="Calibri" w:hAnsi="Calibri" w:cs="Calibri"/>
                <w:sz w:val="16"/>
                <w:szCs w:val="16"/>
              </w:rPr>
              <w:t>.99</w:t>
            </w:r>
            <w:r w:rsidRPr="0043713A">
              <w:rPr>
                <w:rFonts w:ascii="Calibri" w:hAnsi="Calibri" w:cs="Calibri"/>
                <w:sz w:val="16"/>
                <w:szCs w:val="16"/>
              </w:rPr>
              <w:t>%,</w:t>
            </w:r>
            <w:r w:rsidRPr="0043713A">
              <w:rPr>
                <w:rFonts w:ascii="Calibri" w:hAnsi="Calibri" w:cs="Calibri"/>
                <w:sz w:val="16"/>
                <w:szCs w:val="16"/>
              </w:rPr>
              <w:br/>
              <w:t>• 3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C9B00AC"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17592B0"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689395D"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496A6CF1" w14:textId="77777777" w:rsidR="00B94AE1" w:rsidRDefault="00B94AE1" w:rsidP="00B94AE1">
            <w:pPr>
              <w:jc w:val="center"/>
              <w:rPr>
                <w:rFonts w:ascii="Calibri" w:hAnsi="Calibri" w:cs="Calibri"/>
                <w:sz w:val="16"/>
                <w:szCs w:val="16"/>
              </w:rPr>
            </w:pPr>
            <w:r w:rsidRPr="007B437F">
              <w:rPr>
                <w:rFonts w:ascii="Calibri" w:hAnsi="Calibri" w:cs="Calibri"/>
                <w:sz w:val="16"/>
                <w:szCs w:val="16"/>
              </w:rPr>
              <w:t>Raporti i SMPK</w:t>
            </w:r>
            <w:r>
              <w:rPr>
                <w:rFonts w:ascii="Calibri" w:hAnsi="Calibri" w:cs="Calibri"/>
                <w:sz w:val="16"/>
                <w:szCs w:val="16"/>
              </w:rPr>
              <w:t xml:space="preserve">, </w:t>
            </w:r>
          </w:p>
          <w:p w14:paraId="12E23052" w14:textId="77777777" w:rsidR="00B94AE1" w:rsidRDefault="00B94AE1" w:rsidP="00B94AE1">
            <w:pPr>
              <w:jc w:val="center"/>
              <w:rPr>
                <w:rFonts w:ascii="Calibri" w:hAnsi="Calibri" w:cs="Calibri"/>
                <w:sz w:val="16"/>
                <w:szCs w:val="16"/>
              </w:rPr>
            </w:pPr>
            <w:r>
              <w:rPr>
                <w:rFonts w:ascii="Calibri" w:hAnsi="Calibri" w:cs="Calibri"/>
                <w:sz w:val="16"/>
                <w:szCs w:val="16"/>
              </w:rPr>
              <w:t xml:space="preserve">Numri i treguesit </w:t>
            </w:r>
          </w:p>
          <w:p w14:paraId="0A647A4E" w14:textId="77777777" w:rsidR="00B94AE1" w:rsidRPr="007B437F" w:rsidRDefault="00B94AE1" w:rsidP="00B94AE1">
            <w:pPr>
              <w:jc w:val="center"/>
              <w:rPr>
                <w:rFonts w:ascii="Calibri" w:hAnsi="Calibri" w:cs="Calibri"/>
                <w:color w:val="000000"/>
                <w:sz w:val="16"/>
                <w:szCs w:val="16"/>
              </w:rPr>
            </w:pPr>
            <w:r>
              <w:rPr>
                <w:rFonts w:ascii="Calibri" w:hAnsi="Calibri" w:cs="Calibri"/>
                <w:sz w:val="16"/>
                <w:szCs w:val="16"/>
              </w:rPr>
              <w:t>19.1.3</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4BB4C4DF"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042C204B" w14:textId="77777777" w:rsidTr="003F7BB9">
        <w:trPr>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7C6B0135"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01A4192" w14:textId="77777777" w:rsidR="00B94AE1" w:rsidRPr="007B437F" w:rsidRDefault="00B94AE1" w:rsidP="00B94AE1">
            <w:pPr>
              <w:rPr>
                <w:rFonts w:ascii="Calibri" w:hAnsi="Calibri" w:cs="Calibri"/>
                <w:color w:val="000000"/>
                <w:sz w:val="16"/>
                <w:szCs w:val="16"/>
              </w:rPr>
            </w:pPr>
            <w:r w:rsidRPr="0052538C">
              <w:rPr>
                <w:rFonts w:ascii="Calibri" w:hAnsi="Calibri" w:cs="Calibri"/>
                <w:color w:val="000000"/>
                <w:sz w:val="16"/>
                <w:szCs w:val="16"/>
              </w:rPr>
              <w:t>Niveli i mbledhjes së faturës së tatimit në pronë (pa borxhe, interesa, ndëshkime)</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7A52467E"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39.99%,</w:t>
            </w:r>
            <w:r w:rsidRPr="007B437F">
              <w:rPr>
                <w:rFonts w:ascii="Calibri" w:hAnsi="Calibri" w:cs="Calibri"/>
                <w:color w:val="000000"/>
                <w:sz w:val="16"/>
                <w:szCs w:val="16"/>
              </w:rPr>
              <w:br/>
              <w:t>•  1 pikë nëse rezultati në SMPK është 40% - 59.99%,</w:t>
            </w:r>
            <w:r w:rsidRPr="007B437F">
              <w:rPr>
                <w:rFonts w:ascii="Calibri" w:hAnsi="Calibri" w:cs="Calibri"/>
                <w:color w:val="000000"/>
                <w:sz w:val="16"/>
                <w:szCs w:val="16"/>
              </w:rPr>
              <w:br/>
              <w:t>•  3 pikë nëse rezultati në SMPK është 60% - 84.99%,</w:t>
            </w:r>
            <w:r w:rsidRPr="007B437F">
              <w:rPr>
                <w:rFonts w:ascii="Calibri" w:hAnsi="Calibri" w:cs="Calibri"/>
                <w:color w:val="000000"/>
                <w:sz w:val="16"/>
                <w:szCs w:val="16"/>
              </w:rPr>
              <w:br/>
              <w:t>•  5 pikë nëse rezultati në SMPK është i barabartë ose më i madh se 85%</w:t>
            </w:r>
          </w:p>
        </w:tc>
        <w:tc>
          <w:tcPr>
            <w:tcW w:w="986" w:type="dxa"/>
            <w:tcBorders>
              <w:top w:val="nil"/>
              <w:left w:val="single" w:sz="4" w:space="0" w:color="000000" w:themeColor="text1"/>
              <w:bottom w:val="nil"/>
              <w:right w:val="single" w:sz="4" w:space="0" w:color="000000" w:themeColor="text1"/>
            </w:tcBorders>
            <w:shd w:val="clear" w:color="auto" w:fill="auto"/>
            <w:vAlign w:val="center"/>
            <w:hideMark/>
          </w:tcPr>
          <w:p w14:paraId="4167426A"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16BB30D"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BC0CBB3"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E533A8F"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Raporti i SMPK</w:t>
            </w:r>
          </w:p>
          <w:p w14:paraId="59FA8A6A"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Numri i treguesit</w:t>
            </w:r>
          </w:p>
          <w:p w14:paraId="7B9CF81E"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19.1.4</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4FE7A184"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2AB2C1C7"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2BDFA0D5"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16</w:t>
            </w:r>
          </w:p>
        </w:tc>
        <w:tc>
          <w:tcPr>
            <w:tcW w:w="2846"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3D29DF13" w14:textId="77777777" w:rsidR="00B94AE1" w:rsidRPr="007B437F" w:rsidRDefault="00B94AE1" w:rsidP="00B94AE1">
            <w:pPr>
              <w:rPr>
                <w:rFonts w:ascii="Calibri" w:hAnsi="Calibri" w:cs="Calibri"/>
                <w:sz w:val="16"/>
                <w:szCs w:val="16"/>
              </w:rPr>
            </w:pPr>
            <w:r w:rsidRPr="00E50D9B">
              <w:rPr>
                <w:rFonts w:ascii="Calibri" w:hAnsi="Calibri" w:cs="Calibri"/>
                <w:sz w:val="16"/>
                <w:szCs w:val="16"/>
              </w:rPr>
              <w:t>Niveli i adresimit të rekomandimeve të Zyrës Kombëtare të Auditorit</w:t>
            </w:r>
          </w:p>
        </w:tc>
        <w:tc>
          <w:tcPr>
            <w:tcW w:w="2173" w:type="dxa"/>
            <w:tcBorders>
              <w:top w:val="single" w:sz="8" w:space="0" w:color="auto"/>
              <w:left w:val="nil"/>
              <w:bottom w:val="single" w:sz="4" w:space="0" w:color="000000" w:themeColor="text1"/>
              <w:right w:val="single" w:sz="4" w:space="0" w:color="000000" w:themeColor="text1"/>
            </w:tcBorders>
            <w:shd w:val="clear" w:color="auto" w:fill="FFFFFF" w:themeFill="background1"/>
            <w:vAlign w:val="center"/>
            <w:hideMark/>
          </w:tcPr>
          <w:p w14:paraId="0A5FB1A0"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xml:space="preserve">• 0 pikë nëse rezultati në SMPK është deri në 29.99%, </w:t>
            </w:r>
            <w:r w:rsidRPr="007B437F">
              <w:rPr>
                <w:rFonts w:ascii="Calibri" w:hAnsi="Calibri" w:cs="Calibri"/>
                <w:sz w:val="16"/>
                <w:szCs w:val="16"/>
              </w:rPr>
              <w:br/>
              <w:t xml:space="preserve">• 1 pikë nëse rezultati në SMPK është 30% - 49.99%, </w:t>
            </w:r>
            <w:r w:rsidRPr="007B437F">
              <w:rPr>
                <w:rFonts w:ascii="Calibri" w:hAnsi="Calibri" w:cs="Calibri"/>
                <w:sz w:val="16"/>
                <w:szCs w:val="16"/>
              </w:rPr>
              <w:br/>
              <w:t>• 2 pikë nëse rezultati në SMPK është 50% - 84.99%,</w:t>
            </w:r>
            <w:r w:rsidRPr="007B437F">
              <w:rPr>
                <w:rFonts w:ascii="Calibri" w:hAnsi="Calibri" w:cs="Calibri"/>
                <w:sz w:val="16"/>
                <w:szCs w:val="16"/>
              </w:rPr>
              <w:br/>
              <w:t>• 5 pikë nëse rezultati në SMPK është i barabartë ose më i madh se 85%.</w:t>
            </w:r>
          </w:p>
        </w:tc>
        <w:tc>
          <w:tcPr>
            <w:tcW w:w="986"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vAlign w:val="center"/>
            <w:hideMark/>
          </w:tcPr>
          <w:p w14:paraId="142DF2D0"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1C8C511"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E3CFD29"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single" w:sz="8" w:space="0" w:color="auto"/>
              <w:left w:val="nil"/>
              <w:bottom w:val="single" w:sz="4" w:space="0" w:color="000000" w:themeColor="text1"/>
              <w:right w:val="single" w:sz="4" w:space="0" w:color="000000" w:themeColor="text1"/>
            </w:tcBorders>
            <w:shd w:val="clear" w:color="auto" w:fill="FFFFFF" w:themeFill="background1"/>
            <w:vAlign w:val="center"/>
            <w:hideMark/>
          </w:tcPr>
          <w:p w14:paraId="14C8DB86"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Raporti i SMPK,</w:t>
            </w:r>
          </w:p>
          <w:p w14:paraId="789A5E0C"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Numri i treguesit</w:t>
            </w:r>
            <w:r w:rsidRPr="007B437F" w:rsidDel="00E50D9B">
              <w:rPr>
                <w:rFonts w:ascii="Calibri" w:hAnsi="Calibri" w:cs="Calibri"/>
                <w:color w:val="000000"/>
                <w:sz w:val="16"/>
                <w:szCs w:val="16"/>
              </w:rPr>
              <w:t xml:space="preserve"> </w:t>
            </w:r>
          </w:p>
          <w:p w14:paraId="5516DF4E"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3.3.3</w:t>
            </w:r>
          </w:p>
        </w:tc>
        <w:tc>
          <w:tcPr>
            <w:tcW w:w="1171" w:type="dxa"/>
            <w:gridSpan w:val="2"/>
            <w:tcBorders>
              <w:top w:val="single" w:sz="8" w:space="0" w:color="auto"/>
              <w:left w:val="nil"/>
              <w:bottom w:val="single" w:sz="4" w:space="0" w:color="000000" w:themeColor="text1"/>
              <w:right w:val="single" w:sz="8" w:space="0" w:color="auto"/>
            </w:tcBorders>
            <w:shd w:val="clear" w:color="auto" w:fill="auto"/>
            <w:noWrap/>
            <w:vAlign w:val="bottom"/>
            <w:hideMark/>
          </w:tcPr>
          <w:p w14:paraId="6981915E"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7399CA67" w14:textId="77777777" w:rsidTr="003F7BB9">
        <w:trPr>
          <w:trHeight w:val="385"/>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14:paraId="26C0C816"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V</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4CC8B0D5" w14:textId="77777777" w:rsidR="00B94AE1" w:rsidRPr="007B437F" w:rsidRDefault="00B94AE1" w:rsidP="00B94AE1">
            <w:pPr>
              <w:rPr>
                <w:rFonts w:ascii="Calibri" w:hAnsi="Calibri" w:cs="Calibri"/>
                <w:b/>
                <w:bCs/>
                <w:color w:val="FFFFFF"/>
                <w:sz w:val="16"/>
                <w:szCs w:val="16"/>
              </w:rPr>
            </w:pPr>
            <w:r>
              <w:rPr>
                <w:rFonts w:ascii="Calibri" w:hAnsi="Calibri" w:cs="Calibri"/>
                <w:b/>
                <w:bCs/>
                <w:color w:val="FFFFFF"/>
                <w:sz w:val="16"/>
                <w:szCs w:val="16"/>
              </w:rPr>
              <w:t xml:space="preserve">Menaxhimi i kontratave      </w:t>
            </w:r>
          </w:p>
        </w:tc>
        <w:tc>
          <w:tcPr>
            <w:tcW w:w="573" w:type="dxa"/>
            <w:tcBorders>
              <w:top w:val="nil"/>
              <w:left w:val="nil"/>
              <w:bottom w:val="single" w:sz="8" w:space="0" w:color="auto"/>
              <w:right w:val="single" w:sz="4" w:space="0" w:color="auto"/>
            </w:tcBorders>
            <w:shd w:val="clear" w:color="auto" w:fill="8EA9DB"/>
            <w:vAlign w:val="center"/>
            <w:hideMark/>
          </w:tcPr>
          <w:p w14:paraId="4A34C819"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7</w:t>
            </w:r>
          </w:p>
        </w:tc>
        <w:tc>
          <w:tcPr>
            <w:tcW w:w="851" w:type="dxa"/>
            <w:tcBorders>
              <w:top w:val="nil"/>
              <w:left w:val="nil"/>
              <w:bottom w:val="single" w:sz="8" w:space="0" w:color="auto"/>
              <w:right w:val="single" w:sz="4" w:space="0" w:color="auto"/>
            </w:tcBorders>
            <w:shd w:val="clear" w:color="auto" w:fill="8EA9DB"/>
            <w:vAlign w:val="center"/>
            <w:hideMark/>
          </w:tcPr>
          <w:p w14:paraId="65ED566C"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5D196A4A"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330F78CB"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6795064E"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6DF6B645"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17</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CBB61CA" w14:textId="77777777" w:rsidR="00B94AE1" w:rsidRPr="007B437F" w:rsidRDefault="00B94AE1" w:rsidP="00B94AE1">
            <w:pPr>
              <w:rPr>
                <w:rFonts w:ascii="Calibri" w:hAnsi="Calibri" w:cs="Calibri"/>
                <w:color w:val="000000"/>
                <w:sz w:val="16"/>
                <w:szCs w:val="16"/>
              </w:rPr>
            </w:pPr>
            <w:r>
              <w:rPr>
                <w:rFonts w:ascii="Calibri" w:hAnsi="Calibri" w:cs="Calibri"/>
                <w:color w:val="000000"/>
                <w:sz w:val="16"/>
                <w:szCs w:val="16"/>
              </w:rPr>
              <w:t>Niveli i z</w:t>
            </w:r>
            <w:r w:rsidRPr="007B437F">
              <w:rPr>
                <w:rFonts w:ascii="Calibri" w:hAnsi="Calibri" w:cs="Calibri"/>
                <w:color w:val="000000"/>
                <w:sz w:val="16"/>
                <w:szCs w:val="16"/>
              </w:rPr>
              <w:t>batimi i planit të prokurimit</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BA34B71"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59.99%,</w:t>
            </w:r>
            <w:r w:rsidRPr="007B437F">
              <w:rPr>
                <w:rFonts w:ascii="Calibri" w:hAnsi="Calibri" w:cs="Calibri"/>
                <w:color w:val="000000"/>
                <w:sz w:val="16"/>
                <w:szCs w:val="16"/>
              </w:rPr>
              <w:br/>
              <w:t>• 1 pikë nëse rezultati në SMPK është 60% - 89.99%,</w:t>
            </w:r>
            <w:r w:rsidRPr="007B437F">
              <w:rPr>
                <w:rFonts w:ascii="Calibri" w:hAnsi="Calibri" w:cs="Calibri"/>
                <w:color w:val="000000"/>
                <w:sz w:val="16"/>
                <w:szCs w:val="16"/>
              </w:rPr>
              <w:br/>
              <w:t>• 3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291E559"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218631F"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C9F634C"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9B11594"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Raporti i SMPK,</w:t>
            </w:r>
          </w:p>
          <w:p w14:paraId="0995A6BC"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Numri i treguesit 3.3.1</w:t>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4D2A3737"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02B73DDC" w14:textId="77777777" w:rsidTr="003F7BB9">
        <w:trPr>
          <w:trHeight w:val="1235"/>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5B1FC98F"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18</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6D844A03"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br/>
            </w:r>
            <w:r w:rsidRPr="00431551">
              <w:rPr>
                <w:rFonts w:ascii="Calibri" w:hAnsi="Calibri" w:cs="Calibri"/>
                <w:color w:val="000000"/>
                <w:sz w:val="16"/>
                <w:szCs w:val="16"/>
              </w:rPr>
              <w:t>Përgatitja dhe publikimi i listës së pronave komunale të planifikuar për dhënie në shfrytëzim</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71857D8"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w:t>
            </w:r>
            <w:r w:rsidRPr="007B437F">
              <w:rPr>
                <w:rFonts w:ascii="Calibri" w:hAnsi="Calibri" w:cs="Calibri"/>
                <w:color w:val="000000"/>
                <w:sz w:val="16"/>
                <w:szCs w:val="16"/>
              </w:rPr>
              <w:br/>
              <w:t>•  4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4BEEAB9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E39D3EB"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B838EDA"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10C08AD"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w:t>
            </w:r>
          </w:p>
          <w:p w14:paraId="75B5B9A0"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Numri i treguesit</w:t>
            </w:r>
          </w:p>
          <w:p w14:paraId="579F14CD"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19.1.2</w:t>
            </w:r>
          </w:p>
          <w:p w14:paraId="0CEDE90C" w14:textId="77777777" w:rsidR="00B94AE1" w:rsidRDefault="00B94AE1" w:rsidP="00B94AE1">
            <w:pPr>
              <w:jc w:val="center"/>
              <w:rPr>
                <w:rFonts w:ascii="Calibri" w:hAnsi="Calibri" w:cs="Calibri"/>
                <w:color w:val="000000"/>
                <w:sz w:val="16"/>
                <w:szCs w:val="16"/>
              </w:rPr>
            </w:pPr>
          </w:p>
          <w:p w14:paraId="1E122C68" w14:textId="77777777" w:rsidR="00B94AE1" w:rsidRPr="007B437F" w:rsidRDefault="00B94AE1" w:rsidP="00B94AE1">
            <w:pPr>
              <w:jc w:val="center"/>
              <w:rPr>
                <w:rFonts w:ascii="Calibri" w:hAnsi="Calibri" w:cs="Calibri"/>
                <w:color w:val="000000"/>
                <w:sz w:val="16"/>
                <w:szCs w:val="16"/>
              </w:rPr>
            </w:pPr>
          </w:p>
        </w:tc>
        <w:tc>
          <w:tcPr>
            <w:tcW w:w="1171" w:type="dxa"/>
            <w:gridSpan w:val="2"/>
            <w:tcBorders>
              <w:top w:val="nil"/>
              <w:left w:val="nil"/>
              <w:bottom w:val="single" w:sz="4" w:space="0" w:color="000000" w:themeColor="text1"/>
              <w:right w:val="single" w:sz="8" w:space="0" w:color="auto"/>
            </w:tcBorders>
            <w:shd w:val="clear" w:color="auto" w:fill="auto"/>
            <w:hideMark/>
          </w:tcPr>
          <w:p w14:paraId="3A3E4A5A" w14:textId="77777777" w:rsidR="00B94AE1" w:rsidRPr="007B437F" w:rsidRDefault="00B94AE1" w:rsidP="00B94AE1">
            <w:pPr>
              <w:rPr>
                <w:rFonts w:ascii="Calibri" w:hAnsi="Calibri" w:cs="Calibri"/>
                <w:color w:val="000000"/>
                <w:sz w:val="16"/>
                <w:szCs w:val="16"/>
              </w:rPr>
            </w:pPr>
          </w:p>
        </w:tc>
      </w:tr>
      <w:tr w:rsidR="00B94AE1" w:rsidRPr="007B437F" w14:paraId="056BBD5C" w14:textId="77777777" w:rsidTr="003F7BB9">
        <w:trPr>
          <w:trHeight w:val="322"/>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14:paraId="4ACCC842"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VI</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2D2B73AE"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 xml:space="preserve">Menaxhimi i burimeve njerëzore </w:t>
            </w:r>
          </w:p>
        </w:tc>
        <w:tc>
          <w:tcPr>
            <w:tcW w:w="573" w:type="dxa"/>
            <w:tcBorders>
              <w:top w:val="nil"/>
              <w:left w:val="nil"/>
              <w:bottom w:val="single" w:sz="8" w:space="0" w:color="auto"/>
              <w:right w:val="single" w:sz="4" w:space="0" w:color="auto"/>
            </w:tcBorders>
            <w:shd w:val="clear" w:color="auto" w:fill="8EA9DB"/>
            <w:vAlign w:val="center"/>
            <w:hideMark/>
          </w:tcPr>
          <w:p w14:paraId="7701B3AC" w14:textId="65246ADB" w:rsidR="00B94AE1" w:rsidRPr="007B437F" w:rsidRDefault="00B94AE1" w:rsidP="00B94AE1">
            <w:pPr>
              <w:jc w:val="center"/>
              <w:rPr>
                <w:rFonts w:ascii="Calibri" w:hAnsi="Calibri" w:cs="Calibri"/>
                <w:b/>
                <w:bCs/>
                <w:color w:val="FFFFFF"/>
                <w:sz w:val="16"/>
                <w:szCs w:val="16"/>
              </w:rPr>
            </w:pPr>
            <w:r>
              <w:rPr>
                <w:rFonts w:ascii="Calibri" w:hAnsi="Calibri" w:cs="Calibri"/>
                <w:b/>
                <w:bCs/>
                <w:color w:val="FFFFFF"/>
                <w:sz w:val="16"/>
                <w:szCs w:val="16"/>
              </w:rPr>
              <w:t>8</w:t>
            </w:r>
          </w:p>
        </w:tc>
        <w:tc>
          <w:tcPr>
            <w:tcW w:w="851" w:type="dxa"/>
            <w:tcBorders>
              <w:top w:val="nil"/>
              <w:left w:val="nil"/>
              <w:bottom w:val="single" w:sz="8" w:space="0" w:color="auto"/>
              <w:right w:val="single" w:sz="4" w:space="0" w:color="auto"/>
            </w:tcBorders>
            <w:shd w:val="clear" w:color="auto" w:fill="8EA9DB"/>
            <w:vAlign w:val="center"/>
            <w:hideMark/>
          </w:tcPr>
          <w:p w14:paraId="1756C90B"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776B72B3"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01C36B5"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31DCC7D4" w14:textId="77777777" w:rsidTr="00852D64">
        <w:trPr>
          <w:trHeight w:val="12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114C32CA"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19</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334523FC"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br/>
              <w:t>Vende të hapura pune të proceduara përmes SIMBNj</w:t>
            </w:r>
          </w:p>
        </w:tc>
        <w:tc>
          <w:tcPr>
            <w:tcW w:w="2173" w:type="dxa"/>
            <w:tcBorders>
              <w:top w:val="nil"/>
              <w:left w:val="nil"/>
              <w:bottom w:val="single" w:sz="4" w:space="0" w:color="000000" w:themeColor="text1"/>
              <w:right w:val="single" w:sz="4" w:space="0" w:color="000000" w:themeColor="text1"/>
            </w:tcBorders>
            <w:shd w:val="clear" w:color="auto" w:fill="FFC000"/>
            <w:vAlign w:val="center"/>
            <w:hideMark/>
          </w:tcPr>
          <w:p w14:paraId="7E8241A6"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1 pikë nëse rezultati në SMPK është 50% - 89.99%,</w:t>
            </w:r>
            <w:r w:rsidRPr="007B437F">
              <w:rPr>
                <w:rFonts w:ascii="Calibri" w:hAnsi="Calibri" w:cs="Calibri"/>
                <w:color w:val="000000"/>
                <w:sz w:val="16"/>
                <w:szCs w:val="16"/>
              </w:rPr>
              <w:br/>
              <w:t>• 2 pikë nëse rezultati në SMPK është i barabartë ose më i madh se 90%.</w:t>
            </w:r>
          </w:p>
        </w:tc>
        <w:tc>
          <w:tcPr>
            <w:tcW w:w="986" w:type="dxa"/>
            <w:tcBorders>
              <w:top w:val="nil"/>
              <w:left w:val="single" w:sz="4" w:space="0" w:color="000000" w:themeColor="text1"/>
              <w:bottom w:val="nil"/>
              <w:right w:val="single" w:sz="4" w:space="0" w:color="000000" w:themeColor="text1"/>
            </w:tcBorders>
            <w:shd w:val="clear" w:color="auto" w:fill="FFC000"/>
            <w:vAlign w:val="center"/>
            <w:hideMark/>
          </w:tcPr>
          <w:p w14:paraId="661D8BF7"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14:paraId="168F7CF1"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14:paraId="19B8E6D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C000"/>
            <w:vAlign w:val="center"/>
            <w:hideMark/>
          </w:tcPr>
          <w:p w14:paraId="657CB645" w14:textId="77777777" w:rsidR="00B94AE1" w:rsidRPr="00DC7362"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sidRPr="007B437F">
              <w:rPr>
                <w:rFonts w:ascii="Calibri" w:hAnsi="Calibri" w:cs="Calibri"/>
                <w:color w:val="000000"/>
                <w:sz w:val="16"/>
                <w:szCs w:val="16"/>
              </w:rPr>
              <w:br/>
            </w:r>
            <w:r w:rsidRPr="00DC7362">
              <w:rPr>
                <w:rFonts w:ascii="Calibri" w:hAnsi="Calibri" w:cs="Calibri"/>
                <w:color w:val="000000"/>
                <w:sz w:val="16"/>
                <w:szCs w:val="16"/>
              </w:rPr>
              <w:t xml:space="preserve"> Numri i treguesit</w:t>
            </w:r>
          </w:p>
          <w:p w14:paraId="7C69720B"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3.5.2</w:t>
            </w:r>
          </w:p>
        </w:tc>
        <w:tc>
          <w:tcPr>
            <w:tcW w:w="1171" w:type="dxa"/>
            <w:gridSpan w:val="2"/>
            <w:tcBorders>
              <w:top w:val="nil"/>
              <w:left w:val="nil"/>
              <w:bottom w:val="single" w:sz="4" w:space="0" w:color="000000" w:themeColor="text1"/>
              <w:right w:val="single" w:sz="8" w:space="0" w:color="auto"/>
            </w:tcBorders>
            <w:shd w:val="clear" w:color="auto" w:fill="FFC000"/>
            <w:vAlign w:val="bottom"/>
            <w:hideMark/>
          </w:tcPr>
          <w:p w14:paraId="74490F4C" w14:textId="6C306F80"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Ky </w:t>
            </w:r>
            <w:r>
              <w:rPr>
                <w:rFonts w:ascii="Calibri" w:hAnsi="Calibri" w:cs="Calibri"/>
                <w:color w:val="000000"/>
                <w:sz w:val="16"/>
                <w:szCs w:val="16"/>
              </w:rPr>
              <w:t xml:space="preserve">tregues </w:t>
            </w:r>
            <w:r w:rsidRPr="007B437F">
              <w:rPr>
                <w:rFonts w:ascii="Calibri" w:hAnsi="Calibri" w:cs="Calibri"/>
                <w:color w:val="000000"/>
                <w:sz w:val="16"/>
                <w:szCs w:val="16"/>
              </w:rPr>
              <w:t xml:space="preserve">nuk është vlerësuar. Për më shumë sqarime, mund t’i referoheni Rregullave të Grantit të Performancës </w:t>
            </w:r>
            <w:r>
              <w:rPr>
                <w:rFonts w:ascii="Calibri" w:hAnsi="Calibri" w:cs="Calibri"/>
                <w:color w:val="000000"/>
                <w:sz w:val="16"/>
                <w:szCs w:val="16"/>
              </w:rPr>
              <w:t xml:space="preserve">Komunale </w:t>
            </w:r>
            <w:r w:rsidRPr="007B437F">
              <w:rPr>
                <w:rFonts w:ascii="Calibri" w:hAnsi="Calibri" w:cs="Calibri"/>
                <w:color w:val="000000"/>
                <w:sz w:val="16"/>
                <w:szCs w:val="16"/>
              </w:rPr>
              <w:t>për Vitin Fiskal 202</w:t>
            </w:r>
            <w:r>
              <w:rPr>
                <w:rFonts w:ascii="Calibri" w:hAnsi="Calibri" w:cs="Calibri"/>
                <w:color w:val="000000"/>
                <w:sz w:val="16"/>
                <w:szCs w:val="16"/>
              </w:rPr>
              <w:t>3</w:t>
            </w:r>
            <w:r w:rsidRPr="007B437F">
              <w:rPr>
                <w:rFonts w:ascii="Calibri" w:hAnsi="Calibri" w:cs="Calibri"/>
                <w:color w:val="000000"/>
                <w:sz w:val="16"/>
                <w:szCs w:val="16"/>
              </w:rPr>
              <w:t>.</w:t>
            </w:r>
          </w:p>
        </w:tc>
      </w:tr>
      <w:tr w:rsidR="00B94AE1" w:rsidRPr="007B437F" w14:paraId="4BD3BD13"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DEAD52C"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20</w:t>
            </w:r>
          </w:p>
        </w:tc>
        <w:tc>
          <w:tcPr>
            <w:tcW w:w="2846"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3500EBED"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Gratë në pozita udhëheqëse në institucionet e arsimit, shëndetësisë dhe kulturës</w:t>
            </w:r>
          </w:p>
        </w:tc>
        <w:tc>
          <w:tcPr>
            <w:tcW w:w="2173"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7F67AF25"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 - 79.99%,</w:t>
            </w:r>
            <w:r w:rsidRPr="007B437F">
              <w:rPr>
                <w:rFonts w:ascii="Calibri" w:hAnsi="Calibri" w:cs="Calibri"/>
                <w:color w:val="000000"/>
                <w:sz w:val="16"/>
                <w:szCs w:val="16"/>
              </w:rPr>
              <w:br/>
              <w:t>• 5 pikë nëse rezultati në SMPK është i barabartë ose më i madh se 80%.</w:t>
            </w:r>
          </w:p>
        </w:tc>
        <w:tc>
          <w:tcPr>
            <w:tcW w:w="986"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vAlign w:val="center"/>
            <w:hideMark/>
          </w:tcPr>
          <w:p w14:paraId="47B72CA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 </w:t>
            </w:r>
          </w:p>
        </w:tc>
        <w:tc>
          <w:tcPr>
            <w:tcW w:w="573"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938F994"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9CB86B7"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FFC2686"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w:t>
            </w:r>
          </w:p>
          <w:p w14:paraId="575EA8E3"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Numri i treguesit</w:t>
            </w:r>
          </w:p>
          <w:p w14:paraId="6581EDDF"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16.1.2</w:t>
            </w:r>
          </w:p>
        </w:tc>
        <w:tc>
          <w:tcPr>
            <w:tcW w:w="1171" w:type="dxa"/>
            <w:gridSpan w:val="2"/>
            <w:tcBorders>
              <w:top w:val="single" w:sz="8" w:space="0" w:color="auto"/>
              <w:left w:val="nil"/>
              <w:bottom w:val="single" w:sz="4" w:space="0" w:color="000000" w:themeColor="text1"/>
              <w:right w:val="single" w:sz="8" w:space="0" w:color="auto"/>
            </w:tcBorders>
            <w:shd w:val="clear" w:color="auto" w:fill="auto"/>
            <w:hideMark/>
          </w:tcPr>
          <w:p w14:paraId="448F62F2" w14:textId="77777777" w:rsidR="00B94AE1" w:rsidRPr="007B437F" w:rsidRDefault="00B94AE1" w:rsidP="00B94AE1">
            <w:pPr>
              <w:rPr>
                <w:rFonts w:ascii="Calibri" w:hAnsi="Calibri" w:cs="Calibri"/>
                <w:color w:val="000000"/>
                <w:sz w:val="16"/>
                <w:szCs w:val="16"/>
              </w:rPr>
            </w:pPr>
          </w:p>
        </w:tc>
      </w:tr>
      <w:tr w:rsidR="00B94AE1" w:rsidRPr="007B437F" w14:paraId="655C79CE"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15094F9B"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21</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13FAEA6" w14:textId="77777777" w:rsidR="00B94AE1" w:rsidRPr="007B437F" w:rsidRDefault="00B94AE1" w:rsidP="00B94AE1">
            <w:pPr>
              <w:rPr>
                <w:rFonts w:ascii="Calibri" w:hAnsi="Calibri" w:cs="Calibri"/>
                <w:color w:val="000000"/>
                <w:sz w:val="16"/>
                <w:szCs w:val="16"/>
              </w:rPr>
            </w:pPr>
            <w:r>
              <w:rPr>
                <w:rFonts w:ascii="Calibri" w:hAnsi="Calibri" w:cs="Calibri"/>
                <w:color w:val="000000"/>
                <w:sz w:val="16"/>
                <w:szCs w:val="16"/>
              </w:rPr>
              <w:t>Gra t</w:t>
            </w:r>
            <w:r w:rsidRPr="007B437F">
              <w:rPr>
                <w:rFonts w:ascii="Calibri" w:hAnsi="Calibri" w:cs="Calibri"/>
                <w:color w:val="000000"/>
                <w:sz w:val="16"/>
                <w:szCs w:val="16"/>
              </w:rPr>
              <w:t>ë</w:t>
            </w:r>
            <w:r>
              <w:rPr>
                <w:rFonts w:ascii="Calibri" w:hAnsi="Calibri" w:cs="Calibri"/>
                <w:color w:val="000000"/>
                <w:sz w:val="16"/>
                <w:szCs w:val="16"/>
              </w:rPr>
              <w:t xml:space="preserve"> em</w:t>
            </w:r>
            <w:r w:rsidRPr="007B437F">
              <w:rPr>
                <w:rFonts w:ascii="Calibri" w:hAnsi="Calibri" w:cs="Calibri"/>
                <w:color w:val="000000"/>
                <w:sz w:val="16"/>
                <w:szCs w:val="16"/>
              </w:rPr>
              <w:t>ë</w:t>
            </w:r>
            <w:r>
              <w:rPr>
                <w:rFonts w:ascii="Calibri" w:hAnsi="Calibri" w:cs="Calibri"/>
                <w:color w:val="000000"/>
                <w:sz w:val="16"/>
                <w:szCs w:val="16"/>
              </w:rPr>
              <w:t>ruara n</w:t>
            </w:r>
            <w:r w:rsidRPr="007B437F">
              <w:rPr>
                <w:rFonts w:ascii="Calibri" w:hAnsi="Calibri" w:cs="Calibri"/>
                <w:color w:val="000000"/>
                <w:sz w:val="16"/>
                <w:szCs w:val="16"/>
              </w:rPr>
              <w:t>ë</w:t>
            </w:r>
            <w:r>
              <w:rPr>
                <w:rFonts w:ascii="Calibri" w:hAnsi="Calibri" w:cs="Calibri"/>
                <w:color w:val="000000"/>
                <w:sz w:val="16"/>
                <w:szCs w:val="16"/>
              </w:rPr>
              <w:t xml:space="preserve"> postet politike n</w:t>
            </w:r>
            <w:r w:rsidRPr="007B437F">
              <w:rPr>
                <w:rFonts w:ascii="Calibri" w:hAnsi="Calibri" w:cs="Calibri"/>
                <w:color w:val="000000"/>
                <w:sz w:val="16"/>
                <w:szCs w:val="16"/>
              </w:rPr>
              <w:t>ë</w:t>
            </w:r>
            <w:r>
              <w:rPr>
                <w:rFonts w:ascii="Calibri" w:hAnsi="Calibri" w:cs="Calibri"/>
                <w:color w:val="000000"/>
                <w:sz w:val="16"/>
                <w:szCs w:val="16"/>
              </w:rPr>
              <w:t xml:space="preserve"> komun</w:t>
            </w:r>
            <w:r w:rsidRPr="007B437F">
              <w:rPr>
                <w:rFonts w:ascii="Calibri" w:hAnsi="Calibri" w:cs="Calibri"/>
                <w:color w:val="000000"/>
                <w:sz w:val="16"/>
                <w:szCs w:val="16"/>
              </w:rPr>
              <w:t>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31BD8C5"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w:t>
            </w:r>
            <w:r>
              <w:rPr>
                <w:rFonts w:ascii="Calibri" w:hAnsi="Calibri" w:cs="Calibri"/>
                <w:color w:val="000000"/>
                <w:sz w:val="16"/>
                <w:szCs w:val="16"/>
              </w:rPr>
              <w:t>ezultati në SMPK është deri në 5</w:t>
            </w:r>
            <w:r w:rsidRPr="007B437F">
              <w:rPr>
                <w:rFonts w:ascii="Calibri" w:hAnsi="Calibri" w:cs="Calibri"/>
                <w:color w:val="000000"/>
                <w:sz w:val="16"/>
                <w:szCs w:val="16"/>
              </w:rPr>
              <w:t>9.99%,</w:t>
            </w:r>
            <w:r w:rsidRPr="007B437F">
              <w:rPr>
                <w:rFonts w:ascii="Calibri" w:hAnsi="Calibri" w:cs="Calibri"/>
                <w:color w:val="000000"/>
                <w:sz w:val="16"/>
                <w:szCs w:val="16"/>
              </w:rPr>
              <w:br/>
              <w:t>• 1 pikë</w:t>
            </w:r>
            <w:r>
              <w:rPr>
                <w:rFonts w:ascii="Calibri" w:hAnsi="Calibri" w:cs="Calibri"/>
                <w:color w:val="000000"/>
                <w:sz w:val="16"/>
                <w:szCs w:val="16"/>
              </w:rPr>
              <w:t xml:space="preserve"> nëse rezultati në SMPK është 60</w:t>
            </w:r>
            <w:r w:rsidRPr="007B437F">
              <w:rPr>
                <w:rFonts w:ascii="Calibri" w:hAnsi="Calibri" w:cs="Calibri"/>
                <w:color w:val="000000"/>
                <w:sz w:val="16"/>
                <w:szCs w:val="16"/>
              </w:rPr>
              <w:t xml:space="preserve">% - </w:t>
            </w:r>
            <w:r>
              <w:rPr>
                <w:rFonts w:ascii="Calibri" w:hAnsi="Calibri" w:cs="Calibri"/>
                <w:color w:val="000000"/>
                <w:sz w:val="16"/>
                <w:szCs w:val="16"/>
              </w:rPr>
              <w:t>99</w:t>
            </w:r>
            <w:r w:rsidRPr="007B437F">
              <w:rPr>
                <w:rFonts w:ascii="Calibri" w:hAnsi="Calibri" w:cs="Calibri"/>
                <w:color w:val="000000"/>
                <w:sz w:val="16"/>
                <w:szCs w:val="16"/>
              </w:rPr>
              <w:t>.99%,</w:t>
            </w:r>
            <w:r w:rsidRPr="007B437F">
              <w:rPr>
                <w:rFonts w:ascii="Calibri" w:hAnsi="Calibri" w:cs="Calibri"/>
                <w:color w:val="000000"/>
                <w:sz w:val="16"/>
                <w:szCs w:val="16"/>
              </w:rPr>
              <w:br/>
              <w:t>• 3 pikë në</w:t>
            </w:r>
            <w:r>
              <w:rPr>
                <w:rFonts w:ascii="Calibri" w:hAnsi="Calibri" w:cs="Calibri"/>
                <w:color w:val="000000"/>
                <w:sz w:val="16"/>
                <w:szCs w:val="16"/>
              </w:rPr>
              <w:t>se rezultati në SMPK është i barabartë me 100</w:t>
            </w:r>
            <w:r w:rsidRPr="007B437F">
              <w:rPr>
                <w:rFonts w:ascii="Calibri" w:hAnsi="Calibri" w:cs="Calibri"/>
                <w:color w:val="000000"/>
                <w:sz w:val="16"/>
                <w:szCs w:val="16"/>
              </w:rPr>
              <w:t xml:space="preserve">%. </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E57B576"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05D95D0B"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ED3152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2DEA4A7"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325F5257"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16.1.3</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0DE6ABE0"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6D486EA0" w14:textId="77777777" w:rsidTr="003F7BB9">
        <w:trPr>
          <w:trHeight w:val="412"/>
        </w:trPr>
        <w:tc>
          <w:tcPr>
            <w:tcW w:w="557" w:type="dxa"/>
            <w:tcBorders>
              <w:top w:val="nil"/>
              <w:left w:val="single" w:sz="8" w:space="0" w:color="auto"/>
              <w:bottom w:val="nil"/>
              <w:right w:val="single" w:sz="8" w:space="0" w:color="auto"/>
            </w:tcBorders>
            <w:shd w:val="clear" w:color="auto" w:fill="305496"/>
            <w:noWrap/>
            <w:vAlign w:val="center"/>
            <w:hideMark/>
          </w:tcPr>
          <w:p w14:paraId="27B9ADFA"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3</w:t>
            </w:r>
          </w:p>
        </w:tc>
        <w:tc>
          <w:tcPr>
            <w:tcW w:w="6005" w:type="dxa"/>
            <w:gridSpan w:val="3"/>
            <w:tcBorders>
              <w:top w:val="single" w:sz="8" w:space="0" w:color="auto"/>
              <w:left w:val="nil"/>
              <w:bottom w:val="single" w:sz="8" w:space="0" w:color="auto"/>
              <w:right w:val="single" w:sz="4" w:space="0" w:color="000000" w:themeColor="text1"/>
            </w:tcBorders>
            <w:shd w:val="clear" w:color="auto" w:fill="305496"/>
            <w:vAlign w:val="center"/>
            <w:hideMark/>
          </w:tcPr>
          <w:p w14:paraId="19541701"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br/>
              <w:t xml:space="preserve">Ofrimi i shërbimeve                                                                             </w:t>
            </w:r>
            <w:r>
              <w:rPr>
                <w:rFonts w:ascii="Calibri" w:hAnsi="Calibri" w:cs="Calibri"/>
                <w:b/>
                <w:bCs/>
                <w:color w:val="FFFFFF"/>
                <w:sz w:val="16"/>
                <w:szCs w:val="16"/>
              </w:rPr>
              <w:t xml:space="preserve">                      </w:t>
            </w:r>
          </w:p>
        </w:tc>
        <w:tc>
          <w:tcPr>
            <w:tcW w:w="573" w:type="dxa"/>
            <w:tcBorders>
              <w:top w:val="nil"/>
              <w:left w:val="nil"/>
              <w:bottom w:val="single" w:sz="8" w:space="0" w:color="auto"/>
              <w:right w:val="single" w:sz="4" w:space="0" w:color="auto"/>
            </w:tcBorders>
            <w:shd w:val="clear" w:color="auto" w:fill="305496"/>
            <w:vAlign w:val="center"/>
            <w:hideMark/>
          </w:tcPr>
          <w:p w14:paraId="4A034A45" w14:textId="27584C6A" w:rsidR="00B94AE1" w:rsidRPr="007B437F" w:rsidRDefault="00B94AE1" w:rsidP="00B94AE1">
            <w:pPr>
              <w:jc w:val="center"/>
              <w:rPr>
                <w:rFonts w:ascii="Calibri" w:hAnsi="Calibri" w:cs="Calibri"/>
                <w:b/>
                <w:bCs/>
                <w:color w:val="FFFFFF"/>
                <w:sz w:val="16"/>
                <w:szCs w:val="16"/>
              </w:rPr>
            </w:pPr>
            <w:r>
              <w:rPr>
                <w:rFonts w:ascii="Calibri" w:hAnsi="Calibri" w:cs="Calibri"/>
                <w:b/>
                <w:bCs/>
                <w:color w:val="FFFFFF"/>
                <w:sz w:val="16"/>
                <w:szCs w:val="16"/>
              </w:rPr>
              <w:t>26</w:t>
            </w:r>
          </w:p>
        </w:tc>
        <w:tc>
          <w:tcPr>
            <w:tcW w:w="851" w:type="dxa"/>
            <w:tcBorders>
              <w:top w:val="nil"/>
              <w:left w:val="nil"/>
              <w:bottom w:val="single" w:sz="8" w:space="0" w:color="auto"/>
              <w:right w:val="single" w:sz="4" w:space="0" w:color="auto"/>
            </w:tcBorders>
            <w:shd w:val="clear" w:color="auto" w:fill="305496"/>
            <w:vAlign w:val="center"/>
            <w:hideMark/>
          </w:tcPr>
          <w:p w14:paraId="7B4508C9"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305496"/>
            <w:vAlign w:val="center"/>
            <w:hideMark/>
          </w:tcPr>
          <w:p w14:paraId="226F116A"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305496"/>
            <w:vAlign w:val="center"/>
            <w:hideMark/>
          </w:tcPr>
          <w:p w14:paraId="19FBD5DE"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43597CDE" w14:textId="77777777" w:rsidTr="003F7BB9">
        <w:trPr>
          <w:trHeight w:val="430"/>
        </w:trPr>
        <w:tc>
          <w:tcPr>
            <w:tcW w:w="557" w:type="dxa"/>
            <w:tcBorders>
              <w:top w:val="nil"/>
              <w:left w:val="single" w:sz="8" w:space="0" w:color="auto"/>
              <w:bottom w:val="nil"/>
              <w:right w:val="single" w:sz="8" w:space="0" w:color="auto"/>
            </w:tcBorders>
            <w:shd w:val="clear" w:color="auto" w:fill="8EA9DB"/>
            <w:noWrap/>
            <w:vAlign w:val="center"/>
            <w:hideMark/>
          </w:tcPr>
          <w:p w14:paraId="0EC8ED2F"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VII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4D3FDDB2"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 xml:space="preserve">Shërbimet administrative                                                                    </w:t>
            </w:r>
            <w:r>
              <w:rPr>
                <w:rFonts w:ascii="Calibri" w:hAnsi="Calibri" w:cs="Calibri"/>
                <w:b/>
                <w:bCs/>
                <w:color w:val="FFFFFF"/>
                <w:sz w:val="16"/>
                <w:szCs w:val="16"/>
              </w:rPr>
              <w:t xml:space="preserve">         </w:t>
            </w:r>
          </w:p>
        </w:tc>
        <w:tc>
          <w:tcPr>
            <w:tcW w:w="573" w:type="dxa"/>
            <w:tcBorders>
              <w:top w:val="nil"/>
              <w:left w:val="nil"/>
              <w:bottom w:val="single" w:sz="8" w:space="0" w:color="auto"/>
              <w:right w:val="single" w:sz="4" w:space="0" w:color="auto"/>
            </w:tcBorders>
            <w:shd w:val="clear" w:color="auto" w:fill="8EA9DB"/>
            <w:vAlign w:val="center"/>
            <w:hideMark/>
          </w:tcPr>
          <w:p w14:paraId="2628C34B"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6</w:t>
            </w:r>
          </w:p>
        </w:tc>
        <w:tc>
          <w:tcPr>
            <w:tcW w:w="851" w:type="dxa"/>
            <w:tcBorders>
              <w:top w:val="nil"/>
              <w:left w:val="nil"/>
              <w:bottom w:val="single" w:sz="8" w:space="0" w:color="auto"/>
              <w:right w:val="single" w:sz="4" w:space="0" w:color="auto"/>
            </w:tcBorders>
            <w:shd w:val="clear" w:color="auto" w:fill="8EA9DB"/>
            <w:vAlign w:val="center"/>
            <w:hideMark/>
          </w:tcPr>
          <w:p w14:paraId="04D8CE9F"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0C7B49FC"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0D20011"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7F9C6E6E"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5B1831AE"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22</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A36C2AB" w14:textId="77777777" w:rsidR="00B94AE1" w:rsidRPr="007B437F" w:rsidRDefault="00B94AE1" w:rsidP="00B94AE1">
            <w:pPr>
              <w:rPr>
                <w:rFonts w:ascii="Calibri" w:hAnsi="Calibri" w:cs="Calibri"/>
                <w:sz w:val="16"/>
                <w:szCs w:val="16"/>
              </w:rPr>
            </w:pPr>
            <w:r>
              <w:rPr>
                <w:rFonts w:ascii="Calibri" w:hAnsi="Calibri" w:cs="Calibri"/>
                <w:sz w:val="16"/>
                <w:szCs w:val="16"/>
              </w:rPr>
              <w:t>K</w:t>
            </w:r>
            <w:r w:rsidRPr="007B437F">
              <w:rPr>
                <w:rFonts w:ascii="Calibri" w:hAnsi="Calibri" w:cs="Calibri"/>
                <w:sz w:val="16"/>
                <w:szCs w:val="16"/>
              </w:rPr>
              <w:t>ërkesa</w:t>
            </w:r>
            <w:r>
              <w:rPr>
                <w:rFonts w:ascii="Calibri" w:hAnsi="Calibri" w:cs="Calibri"/>
                <w:sz w:val="16"/>
                <w:szCs w:val="16"/>
              </w:rPr>
              <w:t>t</w:t>
            </w:r>
            <w:r w:rsidRPr="007B437F">
              <w:rPr>
                <w:rFonts w:ascii="Calibri" w:hAnsi="Calibri" w:cs="Calibri"/>
                <w:sz w:val="16"/>
                <w:szCs w:val="16"/>
              </w:rPr>
              <w:t xml:space="preserve"> administrative të shqyrtuara brenda afateve ligjore</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1D6E786"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49.99%,</w:t>
            </w:r>
            <w:r w:rsidRPr="007B437F">
              <w:rPr>
                <w:rFonts w:ascii="Calibri" w:hAnsi="Calibri" w:cs="Calibri"/>
                <w:sz w:val="16"/>
                <w:szCs w:val="16"/>
              </w:rPr>
              <w:br/>
              <w:t>• 1 pikë nëse rezultati në SMPK është 50% - 69.99%,</w:t>
            </w:r>
            <w:r w:rsidRPr="007B437F">
              <w:rPr>
                <w:rFonts w:ascii="Calibri" w:hAnsi="Calibri" w:cs="Calibri"/>
                <w:sz w:val="16"/>
                <w:szCs w:val="16"/>
              </w:rPr>
              <w:br/>
              <w:t>• 2 pikë nëse rezultati në SMPK është 70% - 89.99%,</w:t>
            </w:r>
            <w:r w:rsidRPr="007B437F">
              <w:rPr>
                <w:rFonts w:ascii="Calibri" w:hAnsi="Calibri" w:cs="Calibri"/>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1C7CCB8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A980D2B"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363E2DBF"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A6DCD6F"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316ED505"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03EEF56A"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1.1.2</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014999C3"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11EFB29B"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2F4572B1"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23</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64DB191" w14:textId="77777777" w:rsidR="00B94AE1" w:rsidRPr="007B437F" w:rsidRDefault="00B94AE1" w:rsidP="00B94AE1">
            <w:pPr>
              <w:rPr>
                <w:rFonts w:ascii="Calibri" w:hAnsi="Calibri" w:cs="Calibri"/>
                <w:sz w:val="16"/>
                <w:szCs w:val="16"/>
              </w:rPr>
            </w:pPr>
            <w:r w:rsidRPr="007B437F">
              <w:rPr>
                <w:rFonts w:ascii="Calibri" w:hAnsi="Calibri" w:cs="Calibri"/>
                <w:sz w:val="16"/>
                <w:szCs w:val="16"/>
              </w:rPr>
              <w:t xml:space="preserve">Kërkesat </w:t>
            </w:r>
            <w:r>
              <w:rPr>
                <w:rFonts w:ascii="Calibri" w:hAnsi="Calibri" w:cs="Calibri"/>
                <w:sz w:val="16"/>
                <w:szCs w:val="16"/>
              </w:rPr>
              <w:t>të</w:t>
            </w:r>
            <w:r w:rsidRPr="007B437F">
              <w:rPr>
                <w:rFonts w:ascii="Calibri" w:hAnsi="Calibri" w:cs="Calibri"/>
                <w:sz w:val="16"/>
                <w:szCs w:val="16"/>
              </w:rPr>
              <w:t xml:space="preserve"> shqyrtuara për leje të ndërtimit</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DA1C32B" w14:textId="77777777" w:rsidR="00B94AE1" w:rsidRDefault="00B94AE1" w:rsidP="00B94AE1">
            <w:pPr>
              <w:rPr>
                <w:rFonts w:ascii="Calibri" w:hAnsi="Calibri" w:cs="Calibri"/>
                <w:sz w:val="16"/>
                <w:szCs w:val="16"/>
              </w:rPr>
            </w:pPr>
            <w:r w:rsidRPr="007B437F">
              <w:rPr>
                <w:rFonts w:ascii="Calibri" w:hAnsi="Calibri" w:cs="Calibri"/>
                <w:sz w:val="16"/>
                <w:szCs w:val="16"/>
              </w:rPr>
              <w:t>• 0 pikë nëse rezultati në SMPK është deri në 49.99%,</w:t>
            </w:r>
            <w:r w:rsidRPr="007B437F">
              <w:rPr>
                <w:rFonts w:ascii="Calibri" w:hAnsi="Calibri" w:cs="Calibri"/>
                <w:sz w:val="16"/>
                <w:szCs w:val="16"/>
              </w:rPr>
              <w:br/>
              <w:t>• 1 pikë nëse rezultati në SMPK është 50% - 89.99%</w:t>
            </w:r>
            <w:r w:rsidRPr="007B437F">
              <w:rPr>
                <w:rFonts w:ascii="Calibri" w:hAnsi="Calibri" w:cs="Calibri"/>
                <w:sz w:val="16"/>
                <w:szCs w:val="16"/>
              </w:rPr>
              <w:br/>
              <w:t>• 2 pikë nëse rezultati në SMPK është i barabartë ose më i madh se 90%.</w:t>
            </w:r>
          </w:p>
          <w:p w14:paraId="01C92B02" w14:textId="77777777" w:rsidR="00B94AE1" w:rsidRPr="007B437F" w:rsidRDefault="00B94AE1" w:rsidP="00B94AE1">
            <w:pPr>
              <w:rPr>
                <w:rFonts w:ascii="Calibri" w:hAnsi="Calibri" w:cs="Calibri"/>
                <w:sz w:val="16"/>
                <w:szCs w:val="16"/>
              </w:rPr>
            </w:pP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1D838BCC"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 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A96E10F"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944E605"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3394B66"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180E4C04"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7.2.1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778705A0" w14:textId="77777777" w:rsidR="00B94AE1" w:rsidRPr="007B437F" w:rsidRDefault="00B94AE1" w:rsidP="00B94AE1">
            <w:pPr>
              <w:rPr>
                <w:rFonts w:ascii="Calibri" w:hAnsi="Calibri" w:cs="Calibri"/>
                <w:color w:val="000000"/>
                <w:sz w:val="16"/>
                <w:szCs w:val="16"/>
              </w:rPr>
            </w:pPr>
          </w:p>
        </w:tc>
      </w:tr>
      <w:tr w:rsidR="00B94AE1" w:rsidRPr="007B437F" w14:paraId="293A9ED4" w14:textId="77777777" w:rsidTr="003F7BB9">
        <w:trPr>
          <w:trHeight w:val="406"/>
        </w:trPr>
        <w:tc>
          <w:tcPr>
            <w:tcW w:w="557" w:type="dxa"/>
            <w:tcBorders>
              <w:top w:val="nil"/>
              <w:left w:val="single" w:sz="8" w:space="0" w:color="auto"/>
              <w:bottom w:val="nil"/>
              <w:right w:val="single" w:sz="8" w:space="0" w:color="auto"/>
            </w:tcBorders>
            <w:shd w:val="clear" w:color="auto" w:fill="8EA9DB"/>
            <w:noWrap/>
            <w:vAlign w:val="center"/>
            <w:hideMark/>
          </w:tcPr>
          <w:p w14:paraId="33A391F1"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VIII</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252295C8"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 xml:space="preserve">Planifikimi hapësinor, transporti publik dhe mbrojtja e mjedisit         </w:t>
            </w:r>
          </w:p>
        </w:tc>
        <w:tc>
          <w:tcPr>
            <w:tcW w:w="573" w:type="dxa"/>
            <w:tcBorders>
              <w:top w:val="nil"/>
              <w:left w:val="nil"/>
              <w:bottom w:val="single" w:sz="8" w:space="0" w:color="auto"/>
              <w:right w:val="single" w:sz="4" w:space="0" w:color="auto"/>
            </w:tcBorders>
            <w:shd w:val="clear" w:color="auto" w:fill="8EA9DB"/>
            <w:vAlign w:val="center"/>
            <w:hideMark/>
          </w:tcPr>
          <w:p w14:paraId="3AD8DB38"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8</w:t>
            </w:r>
          </w:p>
        </w:tc>
        <w:tc>
          <w:tcPr>
            <w:tcW w:w="851" w:type="dxa"/>
            <w:tcBorders>
              <w:top w:val="nil"/>
              <w:left w:val="nil"/>
              <w:bottom w:val="single" w:sz="8" w:space="0" w:color="auto"/>
              <w:right w:val="single" w:sz="4" w:space="0" w:color="auto"/>
            </w:tcBorders>
            <w:shd w:val="clear" w:color="auto" w:fill="8EA9DB"/>
            <w:vAlign w:val="center"/>
            <w:hideMark/>
          </w:tcPr>
          <w:p w14:paraId="2C5ECAB6"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4B937A03"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3BCB362"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0D2238E1"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48EBF7F7"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F94AD7A" w14:textId="44DFE3A0" w:rsidR="00B94AE1" w:rsidRPr="007B437F" w:rsidRDefault="00B94AE1" w:rsidP="00B94AE1">
            <w:pPr>
              <w:rPr>
                <w:rFonts w:ascii="Calibri" w:hAnsi="Calibri" w:cs="Calibri"/>
                <w:color w:val="000000"/>
                <w:sz w:val="16"/>
                <w:szCs w:val="16"/>
              </w:rPr>
            </w:pPr>
            <w:r w:rsidRPr="00DC7362">
              <w:rPr>
                <w:rFonts w:ascii="Calibri" w:hAnsi="Calibri" w:cs="Calibri"/>
                <w:color w:val="000000"/>
                <w:sz w:val="16"/>
                <w:szCs w:val="16"/>
              </w:rPr>
              <w:t>Sipërfaqja e territorit të komunës e mbuluar me plane rregulluese  (të hollësishme)</w:t>
            </w:r>
            <w:r>
              <w:rPr>
                <w:rFonts w:ascii="Calibri" w:hAnsi="Calibri" w:cs="Calibri"/>
                <w:color w:val="000000"/>
                <w:sz w:val="16"/>
                <w:szCs w:val="16"/>
              </w:rPr>
              <w:t xml:space="preserve"> ose harta zonale</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5CFE6A2"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29.99%,</w:t>
            </w:r>
            <w:r w:rsidRPr="007B437F">
              <w:rPr>
                <w:rFonts w:ascii="Calibri" w:hAnsi="Calibri" w:cs="Calibri"/>
                <w:color w:val="000000"/>
                <w:sz w:val="16"/>
                <w:szCs w:val="16"/>
              </w:rPr>
              <w:br/>
              <w:t>• 1 pikë nëse rezultati në SMPK është 30% - 69.99%,</w:t>
            </w:r>
            <w:r w:rsidRPr="007B437F">
              <w:rPr>
                <w:rFonts w:ascii="Calibri" w:hAnsi="Calibri" w:cs="Calibri"/>
                <w:color w:val="000000"/>
                <w:sz w:val="16"/>
                <w:szCs w:val="16"/>
              </w:rPr>
              <w:br/>
              <w:t>• 3 pikë nëse rezultati në SMPK është  është i barabartë ose më i madh se 70%.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3CF8901"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BC7AF06"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69253D7"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6A75710"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3CC3F9AC"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Numri i treguesit,</w:t>
            </w:r>
          </w:p>
          <w:p w14:paraId="454E14CD"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7.1.1</w:t>
            </w:r>
          </w:p>
          <w:p w14:paraId="5F80C3BA" w14:textId="77777777" w:rsidR="00B94AE1" w:rsidRDefault="00B94AE1" w:rsidP="00B94AE1">
            <w:pPr>
              <w:jc w:val="center"/>
              <w:rPr>
                <w:rFonts w:ascii="Calibri" w:hAnsi="Calibri" w:cs="Calibri"/>
                <w:color w:val="000000"/>
                <w:sz w:val="16"/>
                <w:szCs w:val="16"/>
              </w:rPr>
            </w:pPr>
          </w:p>
          <w:p w14:paraId="69E1ACCE"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11AF4CCE"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36594A3F"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ECD27F"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C544C45"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Vendbanimet e </w:t>
            </w:r>
            <w:r>
              <w:rPr>
                <w:rFonts w:ascii="Calibri" w:hAnsi="Calibri" w:cs="Calibri"/>
                <w:color w:val="000000"/>
                <w:sz w:val="16"/>
                <w:szCs w:val="16"/>
              </w:rPr>
              <w:t>përfshira në</w:t>
            </w:r>
            <w:r w:rsidRPr="007B437F">
              <w:rPr>
                <w:rFonts w:ascii="Calibri" w:hAnsi="Calibri" w:cs="Calibri"/>
                <w:color w:val="000000"/>
                <w:sz w:val="16"/>
                <w:szCs w:val="16"/>
              </w:rPr>
              <w:t xml:space="preserve"> transport</w:t>
            </w:r>
            <w:r>
              <w:rPr>
                <w:rFonts w:ascii="Calibri" w:hAnsi="Calibri" w:cs="Calibri"/>
                <w:color w:val="000000"/>
                <w:sz w:val="16"/>
                <w:szCs w:val="16"/>
              </w:rPr>
              <w:t>in lokal</w:t>
            </w:r>
            <w:r w:rsidRPr="007B437F">
              <w:rPr>
                <w:rFonts w:ascii="Calibri" w:hAnsi="Calibri" w:cs="Calibri"/>
                <w:color w:val="000000"/>
                <w:sz w:val="16"/>
                <w:szCs w:val="16"/>
              </w:rPr>
              <w:t xml:space="preserve"> publik </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8FECFE8"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ështëderi në 49.99%,</w:t>
            </w:r>
            <w:r w:rsidRPr="007B437F">
              <w:rPr>
                <w:rFonts w:ascii="Calibri" w:hAnsi="Calibri" w:cs="Calibri"/>
                <w:color w:val="000000"/>
                <w:sz w:val="16"/>
                <w:szCs w:val="16"/>
              </w:rPr>
              <w:br/>
              <w:t>• 1 pikë nëse rezultati në SMPK është 50% - 79.99%,</w:t>
            </w:r>
            <w:r w:rsidRPr="007B437F">
              <w:rPr>
                <w:rFonts w:ascii="Calibri" w:hAnsi="Calibri" w:cs="Calibri"/>
                <w:color w:val="000000"/>
                <w:sz w:val="16"/>
                <w:szCs w:val="16"/>
              </w:rPr>
              <w:br/>
              <w:t>• 3 pikë nëse rezultati në SMPK është i barabartë ose më i madh se 80%.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27AACC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74342A9"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A61043E"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56EC96DD"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4D647C0B"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22F79115"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10.1.2</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0E85995D"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648E68CA"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1A8214FA"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26</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0B6B763E" w14:textId="77777777" w:rsidR="00B94AE1" w:rsidRPr="007B437F" w:rsidRDefault="00B94AE1" w:rsidP="00B94AE1">
            <w:pPr>
              <w:rPr>
                <w:rFonts w:ascii="Calibri" w:hAnsi="Calibri" w:cs="Calibri"/>
                <w:color w:val="000000"/>
                <w:sz w:val="16"/>
                <w:szCs w:val="16"/>
              </w:rPr>
            </w:pPr>
            <w:r>
              <w:rPr>
                <w:rFonts w:ascii="Calibri" w:hAnsi="Calibri" w:cs="Calibri"/>
                <w:color w:val="000000"/>
                <w:sz w:val="16"/>
                <w:szCs w:val="16"/>
              </w:rPr>
              <w:t>Realizimi i</w:t>
            </w:r>
            <w:r w:rsidRPr="007B437F">
              <w:rPr>
                <w:rFonts w:ascii="Calibri" w:hAnsi="Calibri" w:cs="Calibri"/>
                <w:color w:val="000000"/>
                <w:sz w:val="16"/>
                <w:szCs w:val="16"/>
              </w:rPr>
              <w:t xml:space="preserve"> Planit Lokal të Veprimit </w:t>
            </w:r>
            <w:r>
              <w:rPr>
                <w:rFonts w:ascii="Calibri" w:hAnsi="Calibri" w:cs="Calibri"/>
                <w:color w:val="000000"/>
                <w:sz w:val="16"/>
                <w:szCs w:val="16"/>
              </w:rPr>
              <w:t>në mjedis</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4A3DD93"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xml:space="preserve">• 1 pikë nëse </w:t>
            </w:r>
            <w:r>
              <w:rPr>
                <w:rFonts w:ascii="Calibri" w:hAnsi="Calibri" w:cs="Calibri"/>
                <w:color w:val="000000"/>
                <w:sz w:val="16"/>
                <w:szCs w:val="16"/>
              </w:rPr>
              <w:t>rezultati në SMPk është 50% - 89.99</w:t>
            </w:r>
            <w:r w:rsidRPr="007B437F">
              <w:rPr>
                <w:rFonts w:ascii="Calibri" w:hAnsi="Calibri" w:cs="Calibri"/>
                <w:color w:val="000000"/>
                <w:sz w:val="16"/>
                <w:szCs w:val="16"/>
              </w:rPr>
              <w:t>%</w:t>
            </w:r>
            <w:r w:rsidRPr="007B437F">
              <w:rPr>
                <w:rFonts w:ascii="Calibri" w:hAnsi="Calibri" w:cs="Calibri"/>
                <w:color w:val="000000"/>
                <w:sz w:val="16"/>
                <w:szCs w:val="16"/>
              </w:rPr>
              <w:br/>
              <w:t>• 2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0D781AF6"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3AEF894"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A831BDB"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2D09573"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67021E0A"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15.1.1</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5747477D"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w:t>
            </w:r>
          </w:p>
        </w:tc>
      </w:tr>
      <w:tr w:rsidR="00B94AE1" w:rsidRPr="007B437F" w14:paraId="564CD3F7" w14:textId="77777777" w:rsidTr="003F7BB9">
        <w:trPr>
          <w:trHeight w:val="322"/>
        </w:trPr>
        <w:tc>
          <w:tcPr>
            <w:tcW w:w="557" w:type="dxa"/>
            <w:tcBorders>
              <w:top w:val="nil"/>
              <w:left w:val="single" w:sz="8" w:space="0" w:color="auto"/>
              <w:bottom w:val="nil"/>
              <w:right w:val="single" w:sz="8" w:space="0" w:color="auto"/>
            </w:tcBorders>
            <w:shd w:val="clear" w:color="auto" w:fill="8EA9DB"/>
            <w:noWrap/>
            <w:vAlign w:val="center"/>
            <w:hideMark/>
          </w:tcPr>
          <w:p w14:paraId="4656FA2E"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IX</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11C886AA" w14:textId="77777777" w:rsidR="00B94AE1" w:rsidRPr="007B437F"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 xml:space="preserve">Arsimi para-universitar                                                                              </w:t>
            </w:r>
          </w:p>
        </w:tc>
        <w:tc>
          <w:tcPr>
            <w:tcW w:w="573" w:type="dxa"/>
            <w:tcBorders>
              <w:top w:val="nil"/>
              <w:left w:val="nil"/>
              <w:bottom w:val="single" w:sz="8" w:space="0" w:color="auto"/>
              <w:right w:val="single" w:sz="4" w:space="0" w:color="auto"/>
            </w:tcBorders>
            <w:shd w:val="clear" w:color="auto" w:fill="8EA9DB"/>
            <w:vAlign w:val="center"/>
            <w:hideMark/>
          </w:tcPr>
          <w:p w14:paraId="54E2D3F7" w14:textId="01783EBA" w:rsidR="00B94AE1" w:rsidRPr="007B437F" w:rsidRDefault="00B94AE1" w:rsidP="00B94AE1">
            <w:pPr>
              <w:jc w:val="center"/>
              <w:rPr>
                <w:rFonts w:ascii="Calibri" w:hAnsi="Calibri" w:cs="Calibri"/>
                <w:b/>
                <w:bCs/>
                <w:color w:val="FFFFFF"/>
                <w:sz w:val="16"/>
                <w:szCs w:val="16"/>
              </w:rPr>
            </w:pPr>
            <w:r>
              <w:rPr>
                <w:rFonts w:ascii="Calibri" w:hAnsi="Calibri" w:cs="Calibri"/>
                <w:b/>
                <w:bCs/>
                <w:color w:val="FFFFFF"/>
                <w:sz w:val="16"/>
                <w:szCs w:val="16"/>
              </w:rPr>
              <w:t>4</w:t>
            </w:r>
          </w:p>
        </w:tc>
        <w:tc>
          <w:tcPr>
            <w:tcW w:w="851" w:type="dxa"/>
            <w:tcBorders>
              <w:top w:val="nil"/>
              <w:left w:val="nil"/>
              <w:bottom w:val="single" w:sz="8" w:space="0" w:color="auto"/>
              <w:right w:val="single" w:sz="4" w:space="0" w:color="auto"/>
            </w:tcBorders>
            <w:shd w:val="clear" w:color="auto" w:fill="8EA9DB"/>
            <w:vAlign w:val="center"/>
            <w:hideMark/>
          </w:tcPr>
          <w:p w14:paraId="1CEA8B04"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6CE3DB96"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C6C001A"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3EF2A8AD" w14:textId="77777777" w:rsidTr="00852D64">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5C6C8192"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27</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49B3ABE2" w14:textId="77777777" w:rsidR="00B94AE1" w:rsidRPr="007B437F" w:rsidRDefault="00B94AE1" w:rsidP="00B94AE1">
            <w:pPr>
              <w:rPr>
                <w:rFonts w:ascii="Calibri" w:hAnsi="Calibri" w:cs="Calibri"/>
                <w:color w:val="000000"/>
                <w:sz w:val="16"/>
                <w:szCs w:val="16"/>
              </w:rPr>
            </w:pPr>
            <w:r w:rsidRPr="0052538C">
              <w:rPr>
                <w:rFonts w:ascii="Calibri" w:hAnsi="Calibri" w:cs="Calibri"/>
                <w:color w:val="000000"/>
                <w:sz w:val="16"/>
                <w:szCs w:val="16"/>
              </w:rPr>
              <w:t>Fëmijët që vijojnë kopshtin - rural dhe përgjithësi</w:t>
            </w:r>
            <w:r w:rsidRPr="00DC7362" w:rsidDel="00DC7362">
              <w:rPr>
                <w:rFonts w:asciiTheme="majorHAnsi" w:hAnsiTheme="majorHAnsi" w:cstheme="majorHAnsi"/>
                <w:color w:val="000000"/>
                <w:sz w:val="19"/>
                <w:szCs w:val="19"/>
              </w:rPr>
              <w:t xml:space="preserve"> </w:t>
            </w:r>
          </w:p>
        </w:tc>
        <w:tc>
          <w:tcPr>
            <w:tcW w:w="2173" w:type="dxa"/>
            <w:tcBorders>
              <w:top w:val="nil"/>
              <w:left w:val="nil"/>
              <w:bottom w:val="single" w:sz="4" w:space="0" w:color="000000" w:themeColor="text1"/>
              <w:right w:val="single" w:sz="4" w:space="0" w:color="000000" w:themeColor="text1"/>
            </w:tcBorders>
            <w:shd w:val="clear" w:color="auto" w:fill="FFC000"/>
            <w:vAlign w:val="center"/>
            <w:hideMark/>
          </w:tcPr>
          <w:p w14:paraId="0CD5E1E2"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 - 79.99%,</w:t>
            </w:r>
            <w:r w:rsidRPr="007B437F">
              <w:rPr>
                <w:rFonts w:ascii="Calibri" w:hAnsi="Calibri" w:cs="Calibri"/>
                <w:color w:val="000000"/>
                <w:sz w:val="16"/>
                <w:szCs w:val="16"/>
              </w:rPr>
              <w:br/>
              <w:t>• 4 pikë nëse rezultati në SMPK është i barabartë ose më i madh se 80%.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C000"/>
            <w:vAlign w:val="center"/>
            <w:hideMark/>
          </w:tcPr>
          <w:p w14:paraId="04475A5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4061A12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7C6F73E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C000"/>
            <w:vAlign w:val="center"/>
            <w:hideMark/>
          </w:tcPr>
          <w:p w14:paraId="5ABE9453"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5C4D1688"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14664C35"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17.3.1</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C000"/>
            <w:vAlign w:val="bottom"/>
            <w:hideMark/>
          </w:tcPr>
          <w:p w14:paraId="338636D7" w14:textId="19326CBA"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xml:space="preserve">Ky </w:t>
            </w:r>
            <w:r>
              <w:rPr>
                <w:rFonts w:ascii="Calibri" w:hAnsi="Calibri" w:cs="Calibri"/>
                <w:color w:val="000000"/>
                <w:sz w:val="16"/>
                <w:szCs w:val="16"/>
              </w:rPr>
              <w:t xml:space="preserve">tregues </w:t>
            </w:r>
            <w:r w:rsidRPr="007B437F">
              <w:rPr>
                <w:rFonts w:ascii="Calibri" w:hAnsi="Calibri" w:cs="Calibri"/>
                <w:color w:val="000000"/>
                <w:sz w:val="16"/>
                <w:szCs w:val="16"/>
              </w:rPr>
              <w:t xml:space="preserve">nuk është vlerësuar. Për më shumë sqarime, mund t’i referoheni Rregullave të Grantit të Performancës </w:t>
            </w:r>
            <w:r>
              <w:rPr>
                <w:rFonts w:ascii="Calibri" w:hAnsi="Calibri" w:cs="Calibri"/>
                <w:color w:val="000000"/>
                <w:sz w:val="16"/>
                <w:szCs w:val="16"/>
              </w:rPr>
              <w:t xml:space="preserve">Komunale </w:t>
            </w:r>
            <w:r w:rsidRPr="007B437F">
              <w:rPr>
                <w:rFonts w:ascii="Calibri" w:hAnsi="Calibri" w:cs="Calibri"/>
                <w:color w:val="000000"/>
                <w:sz w:val="16"/>
                <w:szCs w:val="16"/>
              </w:rPr>
              <w:t>për Vitin Fiskal 202</w:t>
            </w:r>
            <w:r>
              <w:rPr>
                <w:rFonts w:ascii="Calibri" w:hAnsi="Calibri" w:cs="Calibri"/>
                <w:color w:val="000000"/>
                <w:sz w:val="16"/>
                <w:szCs w:val="16"/>
              </w:rPr>
              <w:t>3</w:t>
            </w:r>
            <w:r w:rsidRPr="007B437F">
              <w:rPr>
                <w:rFonts w:ascii="Calibri" w:hAnsi="Calibri" w:cs="Calibri"/>
                <w:color w:val="000000"/>
                <w:sz w:val="16"/>
                <w:szCs w:val="16"/>
              </w:rPr>
              <w:t>.</w:t>
            </w:r>
          </w:p>
        </w:tc>
      </w:tr>
      <w:tr w:rsidR="00B94AE1" w:rsidRPr="007B437F" w14:paraId="00A49414"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E3DD521"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28</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5263C7D"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Kalueshmëria në testin e maturës kombëtare kl.12 (ndarja sipas gjinisë)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46EB57A9"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 - 89.99%,</w:t>
            </w:r>
            <w:r w:rsidRPr="007B437F">
              <w:rPr>
                <w:rFonts w:ascii="Calibri" w:hAnsi="Calibri" w:cs="Calibri"/>
                <w:color w:val="000000"/>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4D8EB67A"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6FB361E"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E5807E6"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3233C4B8"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070E893C"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53B373B9"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17.3.5</w:t>
            </w:r>
          </w:p>
          <w:p w14:paraId="266B7180"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02EE078E" w14:textId="77777777" w:rsidR="00B94AE1" w:rsidRPr="007B437F" w:rsidRDefault="00B94AE1" w:rsidP="00B94AE1">
            <w:pPr>
              <w:rPr>
                <w:rFonts w:ascii="Calibri" w:hAnsi="Calibri" w:cs="Calibri"/>
                <w:color w:val="000000"/>
                <w:sz w:val="16"/>
                <w:szCs w:val="16"/>
              </w:rPr>
            </w:pPr>
          </w:p>
        </w:tc>
      </w:tr>
      <w:tr w:rsidR="00B94AE1" w:rsidRPr="007B437F" w14:paraId="2D8C6ADC" w14:textId="77777777" w:rsidTr="003F7BB9">
        <w:trPr>
          <w:trHeight w:val="250"/>
        </w:trPr>
        <w:tc>
          <w:tcPr>
            <w:tcW w:w="557" w:type="dxa"/>
            <w:tcBorders>
              <w:top w:val="nil"/>
              <w:left w:val="single" w:sz="8" w:space="0" w:color="auto"/>
              <w:bottom w:val="nil"/>
              <w:right w:val="single" w:sz="8" w:space="0" w:color="auto"/>
            </w:tcBorders>
            <w:shd w:val="clear" w:color="auto" w:fill="8EA9DB"/>
            <w:noWrap/>
            <w:vAlign w:val="center"/>
            <w:hideMark/>
          </w:tcPr>
          <w:p w14:paraId="44D16D4E"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X</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315B0FFD" w14:textId="77777777" w:rsidR="00B94AE1" w:rsidRDefault="00B94AE1" w:rsidP="00B94AE1">
            <w:pPr>
              <w:rPr>
                <w:rFonts w:ascii="Calibri" w:hAnsi="Calibri" w:cs="Calibri"/>
                <w:b/>
                <w:bCs/>
                <w:color w:val="FFFFFF"/>
                <w:sz w:val="16"/>
                <w:szCs w:val="16"/>
              </w:rPr>
            </w:pPr>
            <w:r w:rsidRPr="007B437F">
              <w:rPr>
                <w:rFonts w:ascii="Calibri" w:hAnsi="Calibri" w:cs="Calibri"/>
                <w:b/>
                <w:bCs/>
                <w:color w:val="FFFFFF"/>
                <w:sz w:val="16"/>
                <w:szCs w:val="16"/>
              </w:rPr>
              <w:t xml:space="preserve">Kujdesi shëndetësor primar                                                                        </w:t>
            </w:r>
          </w:p>
          <w:p w14:paraId="0D812EA9" w14:textId="77777777" w:rsidR="00B94AE1" w:rsidRPr="007B437F" w:rsidRDefault="00B94AE1" w:rsidP="00B94AE1">
            <w:pPr>
              <w:rPr>
                <w:rFonts w:ascii="Calibri" w:hAnsi="Calibri" w:cs="Calibri"/>
                <w:b/>
                <w:bCs/>
                <w:color w:val="FFFFFF"/>
                <w:sz w:val="16"/>
                <w:szCs w:val="16"/>
              </w:rPr>
            </w:pPr>
          </w:p>
        </w:tc>
        <w:tc>
          <w:tcPr>
            <w:tcW w:w="573" w:type="dxa"/>
            <w:tcBorders>
              <w:top w:val="nil"/>
              <w:left w:val="nil"/>
              <w:bottom w:val="single" w:sz="8" w:space="0" w:color="auto"/>
              <w:right w:val="single" w:sz="4" w:space="0" w:color="auto"/>
            </w:tcBorders>
            <w:shd w:val="clear" w:color="auto" w:fill="8EA9DB"/>
            <w:vAlign w:val="center"/>
            <w:hideMark/>
          </w:tcPr>
          <w:p w14:paraId="2FE7C364"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8</w:t>
            </w:r>
          </w:p>
        </w:tc>
        <w:tc>
          <w:tcPr>
            <w:tcW w:w="851" w:type="dxa"/>
            <w:tcBorders>
              <w:top w:val="nil"/>
              <w:left w:val="nil"/>
              <w:bottom w:val="single" w:sz="8" w:space="0" w:color="auto"/>
              <w:right w:val="single" w:sz="4" w:space="0" w:color="auto"/>
            </w:tcBorders>
            <w:shd w:val="clear" w:color="auto" w:fill="8EA9DB"/>
            <w:vAlign w:val="center"/>
            <w:hideMark/>
          </w:tcPr>
          <w:p w14:paraId="693F9D6E"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48877773"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0FFE6599"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B94AE1" w:rsidRPr="007B437F" w14:paraId="4ACB40D8"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95B3D7" w:themeFill="accent1" w:themeFillTint="99"/>
            <w:noWrap/>
            <w:vAlign w:val="center"/>
            <w:hideMark/>
          </w:tcPr>
          <w:p w14:paraId="7EEC5050"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29</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4AD1F776" w14:textId="77777777" w:rsidR="00B94AE1" w:rsidRPr="007B437F" w:rsidRDefault="00B94AE1" w:rsidP="00B94AE1">
            <w:pPr>
              <w:rPr>
                <w:rFonts w:ascii="Calibri" w:hAnsi="Calibri" w:cs="Calibri"/>
                <w:color w:val="000000"/>
                <w:sz w:val="16"/>
                <w:szCs w:val="16"/>
              </w:rPr>
            </w:pPr>
            <w:r>
              <w:rPr>
                <w:rFonts w:ascii="Calibri" w:hAnsi="Calibri" w:cs="Calibri"/>
                <w:color w:val="000000"/>
                <w:sz w:val="16"/>
                <w:szCs w:val="16"/>
              </w:rPr>
              <w:t>m²</w:t>
            </w:r>
            <w:r w:rsidRPr="00B8159A">
              <w:rPr>
                <w:rFonts w:ascii="Calibri" w:hAnsi="Calibri" w:cs="Calibri"/>
                <w:color w:val="000000"/>
                <w:sz w:val="16"/>
                <w:szCs w:val="16"/>
              </w:rPr>
              <w:t xml:space="preserve"> të hapësirave K</w:t>
            </w:r>
            <w:r>
              <w:rPr>
                <w:rFonts w:ascii="Calibri" w:hAnsi="Calibri" w:cs="Calibri"/>
                <w:color w:val="000000"/>
                <w:sz w:val="16"/>
                <w:szCs w:val="16"/>
              </w:rPr>
              <w:t xml:space="preserve">ujdesit </w:t>
            </w:r>
            <w:r w:rsidRPr="00B8159A">
              <w:rPr>
                <w:rFonts w:ascii="Calibri" w:hAnsi="Calibri" w:cs="Calibri"/>
                <w:color w:val="000000"/>
                <w:sz w:val="16"/>
                <w:szCs w:val="16"/>
              </w:rPr>
              <w:t>P</w:t>
            </w:r>
            <w:r>
              <w:rPr>
                <w:rFonts w:ascii="Calibri" w:hAnsi="Calibri" w:cs="Calibri"/>
                <w:color w:val="000000"/>
                <w:sz w:val="16"/>
                <w:szCs w:val="16"/>
              </w:rPr>
              <w:t xml:space="preserve">rimar </w:t>
            </w:r>
            <w:r w:rsidRPr="00B8159A">
              <w:rPr>
                <w:rFonts w:ascii="Calibri" w:hAnsi="Calibri" w:cs="Calibri"/>
                <w:color w:val="000000"/>
                <w:sz w:val="16"/>
                <w:szCs w:val="16"/>
              </w:rPr>
              <w:t>S</w:t>
            </w:r>
            <w:r>
              <w:rPr>
                <w:rFonts w:ascii="Calibri" w:hAnsi="Calibri" w:cs="Calibri"/>
                <w:color w:val="000000"/>
                <w:sz w:val="16"/>
                <w:szCs w:val="16"/>
              </w:rPr>
              <w:t>hëndetësor</w:t>
            </w:r>
            <w:r w:rsidRPr="00B8159A">
              <w:rPr>
                <w:rFonts w:ascii="Calibri" w:hAnsi="Calibri" w:cs="Calibri"/>
                <w:color w:val="000000"/>
                <w:sz w:val="16"/>
                <w:szCs w:val="16"/>
              </w:rPr>
              <w:t xml:space="preserve"> për 10000 banorë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740F4102"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1 pikë nëse rezultati në SMPK është 50% - 89.99%,</w:t>
            </w:r>
            <w:r w:rsidRPr="007B437F">
              <w:rPr>
                <w:rFonts w:ascii="Calibri" w:hAnsi="Calibri" w:cs="Calibri"/>
                <w:color w:val="000000"/>
                <w:sz w:val="16"/>
                <w:szCs w:val="16"/>
              </w:rPr>
              <w:br/>
              <w:t>• 3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083DCD16"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5F17313"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AD86E93"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3C16F2F7"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5773C758"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0FB35E1A"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18.1.1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6F2DCAD5" w14:textId="77777777" w:rsidR="00B94AE1" w:rsidRPr="007B437F" w:rsidRDefault="00B94AE1" w:rsidP="00B94AE1">
            <w:pPr>
              <w:rPr>
                <w:rFonts w:ascii="Calibri" w:hAnsi="Calibri" w:cs="Calibri"/>
                <w:color w:val="000000"/>
                <w:sz w:val="16"/>
                <w:szCs w:val="16"/>
              </w:rPr>
            </w:pPr>
          </w:p>
        </w:tc>
      </w:tr>
      <w:tr w:rsidR="00B94AE1" w:rsidRPr="007B437F" w14:paraId="7C70A1F4" w14:textId="77777777" w:rsidTr="003F7BB9">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28374DC" w14:textId="77777777" w:rsidR="00B94AE1" w:rsidRPr="007B437F" w:rsidRDefault="00B94AE1" w:rsidP="00B94AE1">
            <w:pPr>
              <w:jc w:val="center"/>
              <w:rPr>
                <w:rFonts w:ascii="Calibri" w:hAnsi="Calibri" w:cs="Calibri"/>
                <w:b/>
                <w:bCs/>
                <w:color w:val="000000"/>
                <w:sz w:val="16"/>
                <w:szCs w:val="16"/>
              </w:rPr>
            </w:pPr>
            <w:r w:rsidRPr="007B437F">
              <w:rPr>
                <w:rFonts w:ascii="Calibri" w:hAnsi="Calibri" w:cs="Calibri"/>
                <w:b/>
                <w:bCs/>
                <w:color w:val="000000"/>
                <w:sz w:val="16"/>
                <w:szCs w:val="16"/>
              </w:rPr>
              <w:t>30</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8270652"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br/>
            </w:r>
            <w:r w:rsidRPr="00B8159A">
              <w:rPr>
                <w:rFonts w:ascii="Calibri" w:hAnsi="Calibri" w:cs="Calibri"/>
                <w:bCs/>
                <w:color w:val="000000"/>
                <w:sz w:val="16"/>
                <w:szCs w:val="16"/>
              </w:rPr>
              <w:t xml:space="preserve">Niveli i pajtueshmërisë me raportin 1 </w:t>
            </w:r>
            <w:r>
              <w:rPr>
                <w:rFonts w:ascii="Calibri" w:hAnsi="Calibri" w:cs="Calibri"/>
                <w:bCs/>
                <w:color w:val="000000"/>
                <w:sz w:val="16"/>
                <w:szCs w:val="16"/>
              </w:rPr>
              <w:t xml:space="preserve">specialist i mjekësisë </w:t>
            </w:r>
            <w:r w:rsidRPr="00B8159A">
              <w:rPr>
                <w:rFonts w:ascii="Calibri" w:hAnsi="Calibri" w:cs="Calibri"/>
                <w:bCs/>
                <w:color w:val="000000"/>
                <w:sz w:val="16"/>
                <w:szCs w:val="16"/>
              </w:rPr>
              <w:t>familjar</w:t>
            </w:r>
            <w:r>
              <w:rPr>
                <w:rFonts w:ascii="Calibri" w:hAnsi="Calibri" w:cs="Calibri"/>
                <w:bCs/>
                <w:color w:val="000000"/>
                <w:sz w:val="16"/>
                <w:szCs w:val="16"/>
              </w:rPr>
              <w:t>e</w:t>
            </w:r>
            <w:r w:rsidRPr="00B8159A">
              <w:rPr>
                <w:rFonts w:ascii="Calibri" w:hAnsi="Calibri" w:cs="Calibri"/>
                <w:bCs/>
                <w:color w:val="000000"/>
                <w:sz w:val="16"/>
                <w:szCs w:val="16"/>
              </w:rPr>
              <w:t xml:space="preserve"> edhe 2 infermier</w:t>
            </w:r>
            <w:r>
              <w:rPr>
                <w:rFonts w:ascii="Calibri" w:hAnsi="Calibri" w:cs="Calibri"/>
                <w:bCs/>
                <w:color w:val="000000"/>
                <w:sz w:val="16"/>
                <w:szCs w:val="16"/>
              </w:rPr>
              <w:t>ë</w:t>
            </w:r>
            <w:r w:rsidRPr="00B8159A">
              <w:rPr>
                <w:rFonts w:ascii="Calibri" w:hAnsi="Calibri" w:cs="Calibri"/>
                <w:bCs/>
                <w:color w:val="000000"/>
                <w:sz w:val="16"/>
                <w:szCs w:val="16"/>
              </w:rPr>
              <w:t xml:space="preserve"> për 2000 banorë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4C2A4EEE" w14:textId="77777777" w:rsidR="00B94AE1" w:rsidRPr="007B437F" w:rsidRDefault="00B94AE1" w:rsidP="00B94AE1">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29.99%,</w:t>
            </w:r>
            <w:r w:rsidRPr="007B437F">
              <w:rPr>
                <w:rFonts w:ascii="Calibri" w:hAnsi="Calibri" w:cs="Calibri"/>
                <w:color w:val="000000"/>
                <w:sz w:val="16"/>
                <w:szCs w:val="16"/>
              </w:rPr>
              <w:br/>
              <w:t>• 1 pikë nëse rezultati në SMPK është 30% - 59.99%,</w:t>
            </w:r>
            <w:r w:rsidRPr="007B437F">
              <w:rPr>
                <w:rFonts w:ascii="Calibri" w:hAnsi="Calibri" w:cs="Calibri"/>
                <w:color w:val="000000"/>
                <w:sz w:val="16"/>
                <w:szCs w:val="16"/>
              </w:rPr>
              <w:br/>
              <w:t>• 3 pikë nëse rezultati në SMPK është 60% - 89.99%</w:t>
            </w:r>
            <w:r w:rsidRPr="007B437F">
              <w:rPr>
                <w:rFonts w:ascii="Calibri" w:hAnsi="Calibri" w:cs="Calibri"/>
                <w:color w:val="000000"/>
                <w:sz w:val="16"/>
                <w:szCs w:val="16"/>
              </w:rPr>
              <w:br/>
              <w:t>• 5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0E22E3D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6B8A9D38"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FBE5472" w14:textId="77777777" w:rsidR="00B94AE1" w:rsidRPr="007B437F"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3BA70DC" w14:textId="77777777" w:rsidR="00B94AE1" w:rsidRDefault="00B94AE1" w:rsidP="00B94AE1">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22885A6D" w14:textId="77777777" w:rsidR="00B94AE1" w:rsidRDefault="00B94AE1" w:rsidP="00B94AE1">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6401CB68" w14:textId="77777777" w:rsidR="00B94AE1" w:rsidRPr="007B437F" w:rsidRDefault="00B94AE1" w:rsidP="00B94AE1">
            <w:pPr>
              <w:jc w:val="center"/>
              <w:rPr>
                <w:rFonts w:ascii="Calibri" w:hAnsi="Calibri" w:cs="Calibri"/>
                <w:color w:val="000000"/>
                <w:sz w:val="16"/>
                <w:szCs w:val="16"/>
              </w:rPr>
            </w:pPr>
            <w:r>
              <w:rPr>
                <w:rFonts w:ascii="Calibri" w:hAnsi="Calibri" w:cs="Calibri"/>
                <w:color w:val="000000"/>
                <w:sz w:val="16"/>
                <w:szCs w:val="16"/>
              </w:rPr>
              <w:t>18.2.1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33E53D62" w14:textId="77777777" w:rsidR="00B94AE1" w:rsidRPr="007B437F" w:rsidRDefault="00B94AE1" w:rsidP="00B94AE1">
            <w:pPr>
              <w:rPr>
                <w:rFonts w:ascii="Calibri" w:hAnsi="Calibri" w:cs="Calibri"/>
                <w:color w:val="000000"/>
                <w:sz w:val="16"/>
                <w:szCs w:val="16"/>
              </w:rPr>
            </w:pPr>
          </w:p>
        </w:tc>
      </w:tr>
      <w:tr w:rsidR="00B94AE1" w:rsidRPr="007B437F" w14:paraId="37139A68" w14:textId="77777777" w:rsidTr="003F7BB9">
        <w:trPr>
          <w:trHeight w:val="358"/>
        </w:trPr>
        <w:tc>
          <w:tcPr>
            <w:tcW w:w="5576" w:type="dxa"/>
            <w:gridSpan w:val="3"/>
            <w:tcBorders>
              <w:top w:val="single" w:sz="8" w:space="0" w:color="auto"/>
              <w:left w:val="single" w:sz="8" w:space="0" w:color="auto"/>
              <w:bottom w:val="single" w:sz="8" w:space="0" w:color="auto"/>
              <w:right w:val="single" w:sz="4" w:space="0" w:color="000000" w:themeColor="text1"/>
            </w:tcBorders>
            <w:shd w:val="clear" w:color="auto" w:fill="203764"/>
            <w:vAlign w:val="center"/>
            <w:hideMark/>
          </w:tcPr>
          <w:p w14:paraId="0802072E" w14:textId="77777777" w:rsidR="00B94AE1" w:rsidRPr="007B437F" w:rsidRDefault="00B94AE1" w:rsidP="00B94AE1">
            <w:pPr>
              <w:jc w:val="right"/>
              <w:rPr>
                <w:rFonts w:ascii="Calibri" w:hAnsi="Calibri" w:cs="Calibri"/>
                <w:b/>
                <w:bCs/>
                <w:color w:val="FFFFFF"/>
                <w:sz w:val="16"/>
                <w:szCs w:val="16"/>
              </w:rPr>
            </w:pPr>
            <w:r w:rsidRPr="007B437F">
              <w:rPr>
                <w:rFonts w:ascii="Calibri" w:hAnsi="Calibri" w:cs="Calibri"/>
                <w:b/>
                <w:bCs/>
                <w:color w:val="FFFFFF"/>
                <w:sz w:val="16"/>
                <w:szCs w:val="16"/>
              </w:rPr>
              <w:lastRenderedPageBreak/>
              <w:t>Rezultati përfundimtar</w:t>
            </w:r>
          </w:p>
        </w:tc>
        <w:tc>
          <w:tcPr>
            <w:tcW w:w="986" w:type="dxa"/>
            <w:tcBorders>
              <w:top w:val="nil"/>
              <w:left w:val="nil"/>
              <w:bottom w:val="single" w:sz="8" w:space="0" w:color="auto"/>
              <w:right w:val="single" w:sz="4" w:space="0" w:color="000000" w:themeColor="text1"/>
            </w:tcBorders>
            <w:shd w:val="clear" w:color="auto" w:fill="203764"/>
            <w:vAlign w:val="center"/>
            <w:hideMark/>
          </w:tcPr>
          <w:p w14:paraId="50DA14CD" w14:textId="77777777" w:rsidR="00B94AE1" w:rsidRPr="007B437F" w:rsidRDefault="00B94AE1" w:rsidP="00B94AE1">
            <w:pPr>
              <w:jc w:val="right"/>
              <w:rPr>
                <w:rFonts w:ascii="Calibri" w:hAnsi="Calibri" w:cs="Calibri"/>
                <w:b/>
                <w:bCs/>
                <w:color w:val="FFFFFF"/>
                <w:sz w:val="16"/>
                <w:szCs w:val="16"/>
              </w:rPr>
            </w:pPr>
            <w:r w:rsidRPr="007B437F">
              <w:rPr>
                <w:rFonts w:ascii="Calibri" w:hAnsi="Calibri" w:cs="Calibri"/>
                <w:b/>
                <w:bCs/>
                <w:color w:val="FFFFFF"/>
                <w:sz w:val="16"/>
                <w:szCs w:val="16"/>
              </w:rPr>
              <w:t> </w:t>
            </w:r>
          </w:p>
        </w:tc>
        <w:tc>
          <w:tcPr>
            <w:tcW w:w="573" w:type="dxa"/>
            <w:tcBorders>
              <w:top w:val="nil"/>
              <w:left w:val="nil"/>
              <w:bottom w:val="single" w:sz="8" w:space="0" w:color="auto"/>
              <w:right w:val="single" w:sz="4" w:space="0" w:color="000000" w:themeColor="text1"/>
            </w:tcBorders>
            <w:shd w:val="clear" w:color="auto" w:fill="203764"/>
            <w:vAlign w:val="center"/>
            <w:hideMark/>
          </w:tcPr>
          <w:p w14:paraId="595CD2F0" w14:textId="759E121D" w:rsidR="00B94AE1" w:rsidRPr="007B437F" w:rsidRDefault="00B94AE1" w:rsidP="00B94AE1">
            <w:pPr>
              <w:jc w:val="right"/>
              <w:rPr>
                <w:rFonts w:ascii="Calibri" w:hAnsi="Calibri" w:cs="Calibri"/>
                <w:b/>
                <w:bCs/>
                <w:color w:val="FFFFFF"/>
                <w:sz w:val="16"/>
                <w:szCs w:val="16"/>
              </w:rPr>
            </w:pPr>
            <w:r>
              <w:rPr>
                <w:rFonts w:ascii="Calibri" w:hAnsi="Calibri" w:cs="Calibri"/>
                <w:b/>
                <w:bCs/>
                <w:color w:val="FFFFFF"/>
                <w:sz w:val="16"/>
                <w:szCs w:val="16"/>
              </w:rPr>
              <w:t>92</w:t>
            </w:r>
          </w:p>
        </w:tc>
        <w:tc>
          <w:tcPr>
            <w:tcW w:w="851" w:type="dxa"/>
            <w:tcBorders>
              <w:top w:val="nil"/>
              <w:left w:val="nil"/>
              <w:bottom w:val="single" w:sz="8" w:space="0" w:color="auto"/>
              <w:right w:val="single" w:sz="4" w:space="0" w:color="000000" w:themeColor="text1"/>
            </w:tcBorders>
            <w:shd w:val="clear" w:color="auto" w:fill="203764"/>
            <w:noWrap/>
            <w:vAlign w:val="center"/>
            <w:hideMark/>
          </w:tcPr>
          <w:p w14:paraId="5915328E"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000000" w:themeColor="text1"/>
            </w:tcBorders>
            <w:shd w:val="clear" w:color="auto" w:fill="203764"/>
            <w:noWrap/>
            <w:vAlign w:val="center"/>
            <w:hideMark/>
          </w:tcPr>
          <w:p w14:paraId="1D41449C" w14:textId="77777777" w:rsidR="00B94AE1" w:rsidRPr="007B437F" w:rsidRDefault="00B94AE1" w:rsidP="00B94AE1">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203764"/>
            <w:noWrap/>
            <w:vAlign w:val="center"/>
            <w:hideMark/>
          </w:tcPr>
          <w:p w14:paraId="6BF1D209" w14:textId="77777777" w:rsidR="00B94AE1" w:rsidRPr="007B437F" w:rsidRDefault="00B94AE1" w:rsidP="00B94AE1">
            <w:pPr>
              <w:jc w:val="right"/>
              <w:rPr>
                <w:rFonts w:ascii="Calibri" w:hAnsi="Calibri" w:cs="Calibri"/>
                <w:b/>
                <w:bCs/>
                <w:color w:val="FFFFFF"/>
                <w:sz w:val="16"/>
                <w:szCs w:val="16"/>
              </w:rPr>
            </w:pPr>
            <w:r w:rsidRPr="007B437F">
              <w:rPr>
                <w:rFonts w:ascii="Calibri" w:hAnsi="Calibri" w:cs="Calibri"/>
                <w:b/>
                <w:bCs/>
                <w:color w:val="FFFFFF"/>
                <w:sz w:val="16"/>
                <w:szCs w:val="16"/>
              </w:rPr>
              <w:t> </w:t>
            </w:r>
          </w:p>
        </w:tc>
      </w:tr>
    </w:tbl>
    <w:p w14:paraId="06175A6E" w14:textId="4C29D673" w:rsidR="00694E35" w:rsidRDefault="00694E35"/>
    <w:tbl>
      <w:tblPr>
        <w:tblpPr w:leftFromText="180" w:rightFromText="180" w:vertAnchor="text" w:horzAnchor="margin" w:tblpY="-1439"/>
        <w:tblW w:w="9350" w:type="dxa"/>
        <w:tblLook w:val="04A0" w:firstRow="1" w:lastRow="0" w:firstColumn="1" w:lastColumn="0" w:noHBand="0" w:noVBand="1"/>
      </w:tblPr>
      <w:tblGrid>
        <w:gridCol w:w="257"/>
        <w:gridCol w:w="5872"/>
        <w:gridCol w:w="256"/>
        <w:gridCol w:w="256"/>
        <w:gridCol w:w="256"/>
        <w:gridCol w:w="2453"/>
      </w:tblGrid>
      <w:tr w:rsidR="008E424A" w:rsidRPr="007B437F" w14:paraId="31A02793" w14:textId="77777777" w:rsidTr="00694E35">
        <w:trPr>
          <w:trHeight w:val="615"/>
        </w:trPr>
        <w:tc>
          <w:tcPr>
            <w:tcW w:w="0" w:type="auto"/>
            <w:tcBorders>
              <w:top w:val="nil"/>
              <w:left w:val="nil"/>
              <w:bottom w:val="nil"/>
              <w:right w:val="nil"/>
            </w:tcBorders>
            <w:shd w:val="clear" w:color="auto" w:fill="auto"/>
            <w:noWrap/>
            <w:vAlign w:val="bottom"/>
            <w:hideMark/>
          </w:tcPr>
          <w:p w14:paraId="48F4EED9" w14:textId="77777777" w:rsidR="008E424A" w:rsidRPr="007B437F" w:rsidRDefault="008E424A" w:rsidP="008E424A">
            <w:pPr>
              <w:rPr>
                <w:sz w:val="16"/>
                <w:szCs w:val="16"/>
              </w:rPr>
            </w:pPr>
          </w:p>
        </w:tc>
        <w:tc>
          <w:tcPr>
            <w:tcW w:w="0" w:type="auto"/>
            <w:tcBorders>
              <w:top w:val="nil"/>
              <w:left w:val="nil"/>
              <w:bottom w:val="nil"/>
              <w:right w:val="nil"/>
            </w:tcBorders>
            <w:shd w:val="clear" w:color="auto" w:fill="auto"/>
            <w:vAlign w:val="bottom"/>
            <w:hideMark/>
          </w:tcPr>
          <w:p w14:paraId="777BE035" w14:textId="77777777" w:rsidR="008E424A" w:rsidRPr="007B437F" w:rsidRDefault="008E424A" w:rsidP="00694E35">
            <w:pPr>
              <w:rPr>
                <w:rFonts w:ascii="Calibri" w:hAnsi="Calibri" w:cs="Calibri"/>
                <w:color w:val="000000"/>
                <w:sz w:val="16"/>
                <w:szCs w:val="16"/>
              </w:rPr>
            </w:pPr>
            <w:r w:rsidRPr="007B437F">
              <w:rPr>
                <w:rFonts w:ascii="Calibri" w:hAnsi="Calibri" w:cs="Calibri"/>
                <w:color w:val="000000"/>
                <w:sz w:val="16"/>
                <w:szCs w:val="16"/>
              </w:rPr>
              <w:t>** Rezultati i referohet versionit në gjuhën shqipe të burimit të të dhënave</w:t>
            </w:r>
            <w:r w:rsidRPr="007B437F">
              <w:rPr>
                <w:rFonts w:ascii="Calibri" w:hAnsi="Calibri" w:cs="Calibri"/>
                <w:color w:val="000000"/>
                <w:sz w:val="16"/>
                <w:szCs w:val="16"/>
              </w:rPr>
              <w:br/>
            </w:r>
          </w:p>
        </w:tc>
        <w:tc>
          <w:tcPr>
            <w:tcW w:w="0" w:type="auto"/>
            <w:tcBorders>
              <w:top w:val="nil"/>
              <w:left w:val="nil"/>
              <w:bottom w:val="nil"/>
              <w:right w:val="nil"/>
            </w:tcBorders>
            <w:shd w:val="clear" w:color="auto" w:fill="auto"/>
            <w:vAlign w:val="bottom"/>
            <w:hideMark/>
          </w:tcPr>
          <w:p w14:paraId="6655483D" w14:textId="77777777" w:rsidR="008E424A" w:rsidRPr="007B437F" w:rsidRDefault="008E424A" w:rsidP="008E424A">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0C13715" w14:textId="77777777" w:rsidR="008E424A" w:rsidRPr="007B437F" w:rsidRDefault="008E424A" w:rsidP="008E424A">
            <w:pPr>
              <w:rPr>
                <w:sz w:val="16"/>
                <w:szCs w:val="16"/>
              </w:rPr>
            </w:pPr>
          </w:p>
        </w:tc>
        <w:tc>
          <w:tcPr>
            <w:tcW w:w="0" w:type="auto"/>
            <w:tcBorders>
              <w:top w:val="nil"/>
              <w:left w:val="nil"/>
              <w:bottom w:val="nil"/>
              <w:right w:val="nil"/>
            </w:tcBorders>
            <w:shd w:val="clear" w:color="auto" w:fill="auto"/>
            <w:noWrap/>
            <w:vAlign w:val="bottom"/>
            <w:hideMark/>
          </w:tcPr>
          <w:p w14:paraId="3F6B0230" w14:textId="77777777" w:rsidR="008E424A" w:rsidRPr="007B437F" w:rsidRDefault="008E424A" w:rsidP="008E424A">
            <w:pPr>
              <w:rPr>
                <w:sz w:val="16"/>
                <w:szCs w:val="16"/>
              </w:rPr>
            </w:pPr>
          </w:p>
        </w:tc>
        <w:tc>
          <w:tcPr>
            <w:tcW w:w="2453" w:type="dxa"/>
            <w:tcBorders>
              <w:top w:val="nil"/>
              <w:left w:val="nil"/>
              <w:bottom w:val="nil"/>
              <w:right w:val="nil"/>
            </w:tcBorders>
            <w:shd w:val="clear" w:color="auto" w:fill="auto"/>
            <w:noWrap/>
            <w:vAlign w:val="bottom"/>
            <w:hideMark/>
          </w:tcPr>
          <w:p w14:paraId="073FB219" w14:textId="77777777" w:rsidR="008E424A" w:rsidRPr="007B437F" w:rsidRDefault="008E424A" w:rsidP="008E424A">
            <w:pPr>
              <w:rPr>
                <w:sz w:val="16"/>
                <w:szCs w:val="16"/>
              </w:rPr>
            </w:pPr>
          </w:p>
        </w:tc>
      </w:tr>
    </w:tbl>
    <w:p w14:paraId="73DCDA28" w14:textId="77777777" w:rsidR="00A64DB5" w:rsidRDefault="00A64DB5" w:rsidP="002253BA">
      <w:pPr>
        <w:pStyle w:val="Heading1"/>
        <w:shd w:val="clear" w:color="auto" w:fill="D55635"/>
        <w:tabs>
          <w:tab w:val="left" w:pos="540"/>
        </w:tabs>
        <w:spacing w:after="240"/>
        <w:rPr>
          <w:rFonts w:asciiTheme="majorHAnsi" w:hAnsiTheme="majorHAnsi"/>
          <w:color w:val="FFFFFF" w:themeColor="background1"/>
          <w:sz w:val="32"/>
          <w:szCs w:val="32"/>
          <w:lang w:val="sq-AL"/>
        </w:rPr>
      </w:pPr>
      <w:bookmarkStart w:id="87" w:name="_Toc31029017"/>
      <w:bookmarkStart w:id="88" w:name="_Toc31194815"/>
      <w:bookmarkStart w:id="89" w:name="_Toc61062545"/>
    </w:p>
    <w:p w14:paraId="6A53B9B3" w14:textId="77777777" w:rsidR="00A64DB5" w:rsidRDefault="00A64DB5">
      <w:pPr>
        <w:rPr>
          <w:rFonts w:asciiTheme="majorHAnsi" w:hAnsiTheme="majorHAnsi"/>
          <w:b/>
          <w:color w:val="FFFFFF" w:themeColor="background1"/>
          <w:sz w:val="32"/>
          <w:szCs w:val="32"/>
        </w:rPr>
      </w:pPr>
      <w:r>
        <w:rPr>
          <w:rFonts w:asciiTheme="majorHAnsi" w:hAnsiTheme="majorHAnsi"/>
          <w:color w:val="FFFFFF" w:themeColor="background1"/>
          <w:sz w:val="32"/>
          <w:szCs w:val="32"/>
        </w:rPr>
        <w:br w:type="page"/>
      </w:r>
    </w:p>
    <w:p w14:paraId="681AF89C" w14:textId="7AAA177B" w:rsidR="00CF24DF" w:rsidRPr="00C576E1" w:rsidRDefault="00CF24DF" w:rsidP="002253BA">
      <w:pPr>
        <w:pStyle w:val="Heading1"/>
        <w:shd w:val="clear" w:color="auto" w:fill="D55635"/>
        <w:tabs>
          <w:tab w:val="left" w:pos="540"/>
        </w:tabs>
        <w:spacing w:after="240"/>
        <w:rPr>
          <w:rFonts w:asciiTheme="majorHAnsi" w:hAnsiTheme="majorHAnsi"/>
          <w:b w:val="0"/>
          <w:color w:val="FFFFFF" w:themeColor="background1"/>
          <w:sz w:val="32"/>
          <w:szCs w:val="32"/>
          <w:lang w:val="sq-AL"/>
        </w:rPr>
      </w:pPr>
      <w:r w:rsidRPr="002253BA">
        <w:rPr>
          <w:rFonts w:asciiTheme="majorHAnsi" w:hAnsiTheme="majorHAnsi"/>
          <w:color w:val="FFFFFF" w:themeColor="background1"/>
          <w:sz w:val="32"/>
          <w:szCs w:val="32"/>
          <w:lang w:val="sq-AL"/>
        </w:rPr>
        <w:lastRenderedPageBreak/>
        <w:t xml:space="preserve">Shtojca 4: Shablloni për llogaritjen e shumave të </w:t>
      </w:r>
      <w:r w:rsidR="00B42173">
        <w:rPr>
          <w:rFonts w:asciiTheme="majorHAnsi" w:hAnsiTheme="majorHAnsi"/>
          <w:color w:val="FFFFFF" w:themeColor="background1"/>
          <w:sz w:val="32"/>
          <w:szCs w:val="32"/>
          <w:lang w:val="sq-AL"/>
        </w:rPr>
        <w:t>ndara t</w:t>
      </w:r>
      <w:r w:rsidR="00210D4C">
        <w:rPr>
          <w:rFonts w:asciiTheme="majorHAnsi" w:hAnsiTheme="majorHAnsi"/>
          <w:color w:val="FFFFFF" w:themeColor="background1"/>
          <w:sz w:val="32"/>
          <w:szCs w:val="32"/>
          <w:lang w:val="sq-AL"/>
        </w:rPr>
        <w:t>ë</w:t>
      </w:r>
      <w:r w:rsidR="00B42173">
        <w:rPr>
          <w:rFonts w:asciiTheme="majorHAnsi" w:hAnsiTheme="majorHAnsi"/>
          <w:color w:val="FFFFFF" w:themeColor="background1"/>
          <w:sz w:val="32"/>
          <w:szCs w:val="32"/>
          <w:lang w:val="sq-AL"/>
        </w:rPr>
        <w:t xml:space="preserve"> </w:t>
      </w:r>
      <w:r w:rsidR="00C276AD" w:rsidRPr="002253BA">
        <w:rPr>
          <w:rFonts w:asciiTheme="majorHAnsi" w:hAnsiTheme="majorHAnsi"/>
          <w:color w:val="FFFFFF" w:themeColor="background1"/>
          <w:sz w:val="32"/>
          <w:szCs w:val="32"/>
          <w:lang w:val="sq-AL"/>
        </w:rPr>
        <w:t>grantit</w:t>
      </w:r>
      <w:bookmarkEnd w:id="87"/>
      <w:bookmarkEnd w:id="88"/>
      <w:bookmarkEnd w:id="89"/>
      <w:r w:rsidR="00C276AD" w:rsidRPr="002253BA">
        <w:rPr>
          <w:rFonts w:asciiTheme="majorHAnsi" w:hAnsiTheme="majorHAnsi"/>
          <w:color w:val="FFFFFF" w:themeColor="background1"/>
          <w:sz w:val="32"/>
          <w:szCs w:val="32"/>
          <w:lang w:val="sq-AL"/>
        </w:rPr>
        <w:t xml:space="preserve"> </w:t>
      </w:r>
    </w:p>
    <w:p w14:paraId="6DC05A14" w14:textId="77777777" w:rsidR="00CF24DF" w:rsidRPr="00B42173" w:rsidRDefault="00C276AD" w:rsidP="00CF24DF">
      <w:pPr>
        <w:spacing w:before="60" w:line="264" w:lineRule="auto"/>
        <w:ind w:left="284"/>
        <w:jc w:val="both"/>
        <w:rPr>
          <w:rFonts w:asciiTheme="majorHAnsi" w:hAnsiTheme="majorHAnsi"/>
          <w:sz w:val="21"/>
          <w:szCs w:val="21"/>
        </w:rPr>
      </w:pPr>
      <w:r w:rsidRPr="00B42173">
        <w:rPr>
          <w:rFonts w:asciiTheme="majorHAnsi" w:hAnsiTheme="majorHAnsi"/>
          <w:sz w:val="21"/>
          <w:szCs w:val="21"/>
        </w:rPr>
        <w:t>Ndarja e</w:t>
      </w:r>
      <w:r w:rsidR="00CF24DF" w:rsidRPr="00B42173">
        <w:rPr>
          <w:rFonts w:asciiTheme="majorHAnsi" w:hAnsiTheme="majorHAnsi"/>
          <w:sz w:val="21"/>
          <w:szCs w:val="21"/>
        </w:rPr>
        <w:t xml:space="preserve"> grant</w:t>
      </w:r>
      <w:r w:rsidRPr="00B42173">
        <w:rPr>
          <w:rFonts w:asciiTheme="majorHAnsi" w:hAnsiTheme="majorHAnsi"/>
          <w:sz w:val="21"/>
          <w:szCs w:val="21"/>
        </w:rPr>
        <w:t>it</w:t>
      </w:r>
      <w:r w:rsidR="00CF24DF" w:rsidRPr="00B42173">
        <w:rPr>
          <w:rFonts w:asciiTheme="majorHAnsi" w:hAnsiTheme="majorHAnsi"/>
          <w:sz w:val="21"/>
          <w:szCs w:val="21"/>
        </w:rPr>
        <w:t xml:space="preserve"> të performancës komunale, </w:t>
      </w:r>
      <w:r w:rsidR="00B42173" w:rsidRPr="00B42173">
        <w:rPr>
          <w:rFonts w:asciiTheme="majorHAnsi" w:hAnsiTheme="majorHAnsi"/>
          <w:sz w:val="21"/>
          <w:szCs w:val="21"/>
        </w:rPr>
        <w:t xml:space="preserve">i cili ofrohet </w:t>
      </w:r>
      <w:r w:rsidR="00CF24DF" w:rsidRPr="00B42173">
        <w:rPr>
          <w:rFonts w:asciiTheme="majorHAnsi" w:hAnsiTheme="majorHAnsi"/>
          <w:sz w:val="21"/>
          <w:szCs w:val="21"/>
        </w:rPr>
        <w:t>si</w:t>
      </w:r>
      <w:r w:rsidR="00B42173" w:rsidRPr="00B42173">
        <w:rPr>
          <w:rFonts w:asciiTheme="majorHAnsi" w:hAnsiTheme="majorHAnsi"/>
          <w:sz w:val="21"/>
          <w:szCs w:val="21"/>
        </w:rPr>
        <w:t xml:space="preserve"> një </w:t>
      </w:r>
      <w:r w:rsidR="00CF24DF" w:rsidRPr="00B42173">
        <w:rPr>
          <w:rFonts w:asciiTheme="majorHAnsi" w:hAnsiTheme="majorHAnsi"/>
          <w:sz w:val="21"/>
          <w:szCs w:val="21"/>
        </w:rPr>
        <w:t xml:space="preserve">shtesë </w:t>
      </w:r>
      <w:r w:rsidR="00B42173" w:rsidRPr="00B42173">
        <w:rPr>
          <w:rFonts w:asciiTheme="majorHAnsi" w:hAnsiTheme="majorHAnsi"/>
          <w:sz w:val="21"/>
          <w:szCs w:val="21"/>
        </w:rPr>
        <w:t>n</w:t>
      </w:r>
      <w:r w:rsidR="00210D4C">
        <w:rPr>
          <w:rFonts w:asciiTheme="majorHAnsi" w:hAnsiTheme="majorHAnsi"/>
          <w:sz w:val="21"/>
          <w:szCs w:val="21"/>
        </w:rPr>
        <w:t>ë</w:t>
      </w:r>
      <w:r w:rsidR="00B42173" w:rsidRPr="00B42173">
        <w:rPr>
          <w:rFonts w:asciiTheme="majorHAnsi" w:hAnsiTheme="majorHAnsi"/>
          <w:sz w:val="21"/>
          <w:szCs w:val="21"/>
        </w:rPr>
        <w:t xml:space="preserve"> pjes</w:t>
      </w:r>
      <w:r w:rsidR="00210D4C">
        <w:rPr>
          <w:rFonts w:asciiTheme="majorHAnsi" w:hAnsiTheme="majorHAnsi"/>
          <w:sz w:val="21"/>
          <w:szCs w:val="21"/>
        </w:rPr>
        <w:t>ë</w:t>
      </w:r>
      <w:r w:rsidR="00B42173" w:rsidRPr="00B42173">
        <w:rPr>
          <w:rFonts w:asciiTheme="majorHAnsi" w:hAnsiTheme="majorHAnsi"/>
          <w:sz w:val="21"/>
          <w:szCs w:val="21"/>
        </w:rPr>
        <w:t>n e investimeve kapitale t</w:t>
      </w:r>
      <w:r w:rsidR="00210D4C">
        <w:rPr>
          <w:rFonts w:asciiTheme="majorHAnsi" w:hAnsiTheme="majorHAnsi"/>
          <w:sz w:val="21"/>
          <w:szCs w:val="21"/>
        </w:rPr>
        <w:t>ë</w:t>
      </w:r>
      <w:r w:rsidR="00B42173" w:rsidRPr="00B42173">
        <w:rPr>
          <w:rFonts w:asciiTheme="majorHAnsi" w:hAnsiTheme="majorHAnsi"/>
          <w:sz w:val="21"/>
          <w:szCs w:val="21"/>
        </w:rPr>
        <w:t xml:space="preserve"> </w:t>
      </w:r>
      <w:r w:rsidR="00CF24DF" w:rsidRPr="00B42173">
        <w:rPr>
          <w:rFonts w:asciiTheme="majorHAnsi" w:hAnsiTheme="majorHAnsi"/>
          <w:sz w:val="21"/>
          <w:szCs w:val="21"/>
        </w:rPr>
        <w:t>grant</w:t>
      </w:r>
      <w:r w:rsidRPr="00B42173">
        <w:rPr>
          <w:rFonts w:asciiTheme="majorHAnsi" w:hAnsiTheme="majorHAnsi"/>
          <w:sz w:val="21"/>
          <w:szCs w:val="21"/>
        </w:rPr>
        <w:t>i</w:t>
      </w:r>
      <w:r w:rsidR="00B42173" w:rsidRPr="00B42173">
        <w:rPr>
          <w:rFonts w:asciiTheme="majorHAnsi" w:hAnsiTheme="majorHAnsi"/>
          <w:sz w:val="21"/>
          <w:szCs w:val="21"/>
        </w:rPr>
        <w:t>t t</w:t>
      </w:r>
      <w:r w:rsidR="00210D4C">
        <w:rPr>
          <w:rFonts w:asciiTheme="majorHAnsi" w:hAnsiTheme="majorHAnsi"/>
          <w:sz w:val="21"/>
          <w:szCs w:val="21"/>
        </w:rPr>
        <w:t>ë</w:t>
      </w:r>
      <w:r w:rsidR="00B42173" w:rsidRPr="00B42173">
        <w:rPr>
          <w:rFonts w:asciiTheme="majorHAnsi" w:hAnsiTheme="majorHAnsi"/>
          <w:sz w:val="21"/>
          <w:szCs w:val="21"/>
        </w:rPr>
        <w:t xml:space="preserve"> </w:t>
      </w:r>
      <w:r w:rsidR="00CF24DF" w:rsidRPr="00B42173">
        <w:rPr>
          <w:rFonts w:asciiTheme="majorHAnsi" w:hAnsiTheme="majorHAnsi"/>
          <w:sz w:val="21"/>
          <w:szCs w:val="21"/>
        </w:rPr>
        <w:t>përgjithsh</w:t>
      </w:r>
      <w:r w:rsidRPr="00B42173">
        <w:rPr>
          <w:rFonts w:asciiTheme="majorHAnsi" w:hAnsiTheme="majorHAnsi"/>
          <w:sz w:val="21"/>
          <w:szCs w:val="21"/>
        </w:rPr>
        <w:t>ëm</w:t>
      </w:r>
      <w:r w:rsidR="00CF24DF" w:rsidRPr="00B42173">
        <w:rPr>
          <w:rFonts w:asciiTheme="majorHAnsi" w:hAnsiTheme="majorHAnsi"/>
          <w:sz w:val="21"/>
          <w:szCs w:val="21"/>
        </w:rPr>
        <w:t xml:space="preserve">, përcaktohet nga performanca </w:t>
      </w:r>
      <w:r w:rsidR="00EB264B" w:rsidRPr="00B42173">
        <w:rPr>
          <w:rFonts w:asciiTheme="majorHAnsi" w:hAnsiTheme="majorHAnsi"/>
          <w:sz w:val="21"/>
          <w:szCs w:val="21"/>
        </w:rPr>
        <w:t xml:space="preserve">relative </w:t>
      </w:r>
      <w:r w:rsidR="00CF24DF" w:rsidRPr="00B42173">
        <w:rPr>
          <w:rFonts w:asciiTheme="majorHAnsi" w:hAnsiTheme="majorHAnsi"/>
          <w:sz w:val="21"/>
          <w:szCs w:val="21"/>
        </w:rPr>
        <w:t xml:space="preserve">e secilës komunë, të matur kundrejt treguesve të përcaktuar të performancës. Në të njëjtën kohë, performanca është shpërndarë në mënyrë të tillë që </w:t>
      </w:r>
      <w:r w:rsidR="00CF24DF" w:rsidRPr="00B42173">
        <w:rPr>
          <w:rFonts w:asciiTheme="majorHAnsi" w:hAnsiTheme="majorHAnsi"/>
          <w:sz w:val="21"/>
          <w:szCs w:val="21"/>
          <w:u w:val="single"/>
        </w:rPr>
        <w:t xml:space="preserve">dy komuna, që kanë të </w:t>
      </w:r>
      <w:r w:rsidRPr="00B42173">
        <w:rPr>
          <w:rFonts w:asciiTheme="majorHAnsi" w:hAnsiTheme="majorHAnsi"/>
          <w:sz w:val="21"/>
          <w:szCs w:val="21"/>
          <w:u w:val="single"/>
        </w:rPr>
        <w:t>njëjtin</w:t>
      </w:r>
      <w:r w:rsidR="00CF24DF" w:rsidRPr="00B42173">
        <w:rPr>
          <w:rFonts w:asciiTheme="majorHAnsi" w:hAnsiTheme="majorHAnsi"/>
          <w:sz w:val="21"/>
          <w:szCs w:val="21"/>
          <w:u w:val="single"/>
        </w:rPr>
        <w:t xml:space="preserve"> </w:t>
      </w:r>
      <w:r w:rsidRPr="00B42173">
        <w:rPr>
          <w:rFonts w:asciiTheme="majorHAnsi" w:hAnsiTheme="majorHAnsi"/>
          <w:sz w:val="21"/>
          <w:szCs w:val="21"/>
          <w:u w:val="single"/>
        </w:rPr>
        <w:t>rezultat</w:t>
      </w:r>
      <w:r w:rsidR="00CF24DF" w:rsidRPr="00B42173">
        <w:rPr>
          <w:rFonts w:asciiTheme="majorHAnsi" w:hAnsiTheme="majorHAnsi"/>
          <w:sz w:val="21"/>
          <w:szCs w:val="21"/>
          <w:u w:val="single"/>
        </w:rPr>
        <w:t>, do të marrin një</w:t>
      </w:r>
      <w:r w:rsidR="00322558" w:rsidRPr="00B42173">
        <w:rPr>
          <w:rFonts w:asciiTheme="majorHAnsi" w:hAnsiTheme="majorHAnsi"/>
          <w:sz w:val="21"/>
          <w:szCs w:val="21"/>
          <w:u w:val="single"/>
        </w:rPr>
        <w:t xml:space="preserve"> grant</w:t>
      </w:r>
      <w:r w:rsidR="00CF24DF" w:rsidRPr="00B42173">
        <w:rPr>
          <w:rFonts w:asciiTheme="majorHAnsi" w:hAnsiTheme="majorHAnsi"/>
          <w:sz w:val="21"/>
          <w:szCs w:val="21"/>
          <w:u w:val="single"/>
        </w:rPr>
        <w:t xml:space="preserve"> shtesë </w:t>
      </w:r>
      <w:r w:rsidR="00B42173">
        <w:rPr>
          <w:rFonts w:asciiTheme="majorHAnsi" w:hAnsiTheme="majorHAnsi"/>
          <w:sz w:val="21"/>
          <w:szCs w:val="21"/>
          <w:u w:val="single"/>
        </w:rPr>
        <w:t xml:space="preserve">relativ </w:t>
      </w:r>
      <w:r w:rsidR="00CF24DF" w:rsidRPr="00B42173">
        <w:rPr>
          <w:rFonts w:asciiTheme="majorHAnsi" w:hAnsiTheme="majorHAnsi"/>
          <w:sz w:val="21"/>
          <w:szCs w:val="21"/>
          <w:u w:val="single"/>
        </w:rPr>
        <w:t>të barabartë</w:t>
      </w:r>
      <w:r w:rsidR="00CF24DF" w:rsidRPr="00B42173">
        <w:rPr>
          <w:rFonts w:asciiTheme="majorHAnsi" w:hAnsiTheme="majorHAnsi"/>
          <w:sz w:val="21"/>
          <w:szCs w:val="21"/>
        </w:rPr>
        <w:t xml:space="preserve"> (që do të thotë se me të njëjt</w:t>
      </w:r>
      <w:r w:rsidR="005008B2" w:rsidRPr="00B42173">
        <w:rPr>
          <w:rFonts w:asciiTheme="majorHAnsi" w:hAnsiTheme="majorHAnsi"/>
          <w:sz w:val="21"/>
          <w:szCs w:val="21"/>
        </w:rPr>
        <w:t>in</w:t>
      </w:r>
      <w:r w:rsidR="00CF24DF" w:rsidRPr="00B42173">
        <w:rPr>
          <w:rFonts w:asciiTheme="majorHAnsi" w:hAnsiTheme="majorHAnsi"/>
          <w:sz w:val="21"/>
          <w:szCs w:val="21"/>
        </w:rPr>
        <w:t xml:space="preserve"> </w:t>
      </w:r>
      <w:r w:rsidR="00B42173">
        <w:rPr>
          <w:rFonts w:asciiTheme="majorHAnsi" w:hAnsiTheme="majorHAnsi"/>
          <w:sz w:val="21"/>
          <w:szCs w:val="21"/>
        </w:rPr>
        <w:t>rezultat, ato t</w:t>
      </w:r>
      <w:r w:rsidR="00210D4C">
        <w:rPr>
          <w:rFonts w:asciiTheme="majorHAnsi" w:hAnsiTheme="majorHAnsi"/>
          <w:sz w:val="21"/>
          <w:szCs w:val="21"/>
        </w:rPr>
        <w:t>ë</w:t>
      </w:r>
      <w:r w:rsidR="00B42173">
        <w:rPr>
          <w:rFonts w:asciiTheme="majorHAnsi" w:hAnsiTheme="majorHAnsi"/>
          <w:sz w:val="21"/>
          <w:szCs w:val="21"/>
        </w:rPr>
        <w:t xml:space="preserve"> dyja</w:t>
      </w:r>
      <w:r w:rsidR="00CF24DF" w:rsidRPr="00B42173">
        <w:rPr>
          <w:rFonts w:asciiTheme="majorHAnsi" w:hAnsiTheme="majorHAnsi"/>
          <w:sz w:val="21"/>
          <w:szCs w:val="21"/>
        </w:rPr>
        <w:t xml:space="preserve"> do të marrin 5 ose 10% më shumë, ndërsa shumat absolute të </w:t>
      </w:r>
      <w:r w:rsidR="00322558" w:rsidRPr="00B42173">
        <w:rPr>
          <w:rFonts w:asciiTheme="majorHAnsi" w:hAnsiTheme="majorHAnsi"/>
          <w:sz w:val="21"/>
          <w:szCs w:val="21"/>
        </w:rPr>
        <w:t xml:space="preserve">grantit </w:t>
      </w:r>
      <w:r w:rsidR="00CF24DF" w:rsidRPr="00B42173">
        <w:rPr>
          <w:rFonts w:asciiTheme="majorHAnsi" w:hAnsiTheme="majorHAnsi"/>
          <w:sz w:val="21"/>
          <w:szCs w:val="21"/>
        </w:rPr>
        <w:t xml:space="preserve">shtesë do të ndryshojnë).  </w:t>
      </w:r>
    </w:p>
    <w:p w14:paraId="074C9034" w14:textId="77777777" w:rsidR="00CF24DF" w:rsidRPr="00B42173" w:rsidRDefault="00CF24DF" w:rsidP="00CF24DF">
      <w:pPr>
        <w:spacing w:before="60" w:line="264" w:lineRule="auto"/>
        <w:ind w:left="284"/>
        <w:jc w:val="both"/>
        <w:rPr>
          <w:rFonts w:asciiTheme="majorHAnsi" w:hAnsiTheme="majorHAnsi"/>
          <w:sz w:val="21"/>
          <w:szCs w:val="21"/>
        </w:rPr>
      </w:pPr>
      <w:r w:rsidRPr="00B42173">
        <w:rPr>
          <w:rFonts w:asciiTheme="majorHAnsi" w:hAnsiTheme="majorHAnsi"/>
          <w:sz w:val="21"/>
          <w:szCs w:val="21"/>
        </w:rPr>
        <w:t xml:space="preserve">Për të arritur këtë, nevojiten hapat e mëposhtëm për të llogaritur </w:t>
      </w:r>
      <w:r w:rsidR="00D43B5F" w:rsidRPr="00B42173">
        <w:rPr>
          <w:rFonts w:asciiTheme="majorHAnsi" w:hAnsiTheme="majorHAnsi"/>
          <w:sz w:val="21"/>
          <w:szCs w:val="21"/>
        </w:rPr>
        <w:t>alokimet/ndarjet</w:t>
      </w:r>
      <w:r w:rsidRPr="00B42173">
        <w:rPr>
          <w:rFonts w:asciiTheme="majorHAnsi" w:hAnsiTheme="majorHAnsi"/>
          <w:sz w:val="21"/>
          <w:szCs w:val="21"/>
        </w:rPr>
        <w:t xml:space="preserve">: </w:t>
      </w:r>
    </w:p>
    <w:p w14:paraId="1F44D3C3" w14:textId="77777777" w:rsidR="00CF24DF" w:rsidRPr="00B42173" w:rsidRDefault="00CF24DF" w:rsidP="00CF24DF">
      <w:pPr>
        <w:numPr>
          <w:ilvl w:val="0"/>
          <w:numId w:val="8"/>
        </w:numPr>
        <w:spacing w:before="60" w:line="264" w:lineRule="auto"/>
        <w:ind w:left="540" w:hanging="270"/>
        <w:jc w:val="both"/>
        <w:rPr>
          <w:rFonts w:asciiTheme="majorHAnsi" w:hAnsiTheme="majorHAnsi"/>
          <w:sz w:val="21"/>
          <w:szCs w:val="21"/>
          <w:lang w:eastAsia="en-GB"/>
        </w:rPr>
      </w:pPr>
      <w:r w:rsidRPr="00B42173">
        <w:rPr>
          <w:rFonts w:asciiTheme="majorHAnsi" w:hAnsiTheme="majorHAnsi"/>
          <w:sz w:val="21"/>
          <w:szCs w:val="21"/>
          <w:lang w:eastAsia="en-GB"/>
        </w:rPr>
        <w:t xml:space="preserve">Së pari, </w:t>
      </w:r>
      <w:r w:rsidR="00B42BF2" w:rsidRPr="00B42173">
        <w:rPr>
          <w:rFonts w:asciiTheme="majorHAnsi" w:hAnsiTheme="majorHAnsi"/>
          <w:sz w:val="21"/>
          <w:szCs w:val="21"/>
          <w:lang w:eastAsia="en-GB"/>
        </w:rPr>
        <w:t xml:space="preserve">rezultatet e </w:t>
      </w:r>
      <w:r w:rsidRPr="00B42173">
        <w:rPr>
          <w:rFonts w:asciiTheme="majorHAnsi" w:hAnsiTheme="majorHAnsi"/>
          <w:sz w:val="21"/>
          <w:szCs w:val="21"/>
          <w:lang w:eastAsia="en-GB"/>
        </w:rPr>
        <w:t>vlerësimit për secilën komunë peshohen</w:t>
      </w:r>
      <w:r w:rsidR="00D878D7">
        <w:rPr>
          <w:rFonts w:asciiTheme="majorHAnsi" w:hAnsiTheme="majorHAnsi"/>
          <w:sz w:val="21"/>
          <w:szCs w:val="21"/>
          <w:lang w:eastAsia="en-GB"/>
        </w:rPr>
        <w:t>/ponderohen</w:t>
      </w:r>
      <w:r w:rsidRPr="00B42173">
        <w:rPr>
          <w:rFonts w:asciiTheme="majorHAnsi" w:hAnsiTheme="majorHAnsi"/>
          <w:sz w:val="21"/>
          <w:szCs w:val="21"/>
          <w:lang w:eastAsia="en-GB"/>
        </w:rPr>
        <w:t xml:space="preserve"> me pjesën</w:t>
      </w:r>
      <w:r w:rsidR="00EB264B" w:rsidRPr="00B42173">
        <w:rPr>
          <w:rFonts w:asciiTheme="majorHAnsi" w:hAnsiTheme="majorHAnsi"/>
          <w:sz w:val="21"/>
          <w:szCs w:val="21"/>
          <w:lang w:eastAsia="en-GB"/>
        </w:rPr>
        <w:t xml:space="preserve"> </w:t>
      </w:r>
      <w:r w:rsidR="00B42173">
        <w:rPr>
          <w:rFonts w:asciiTheme="majorHAnsi" w:hAnsiTheme="majorHAnsi"/>
          <w:sz w:val="21"/>
          <w:szCs w:val="21"/>
          <w:lang w:eastAsia="en-GB"/>
        </w:rPr>
        <w:t xml:space="preserve">e </w:t>
      </w:r>
      <w:r w:rsidR="005008B2" w:rsidRPr="00B42173">
        <w:rPr>
          <w:rFonts w:asciiTheme="majorHAnsi" w:hAnsiTheme="majorHAnsi"/>
          <w:sz w:val="21"/>
          <w:szCs w:val="21"/>
          <w:lang w:eastAsia="en-GB"/>
        </w:rPr>
        <w:t>g</w:t>
      </w:r>
      <w:r w:rsidRPr="00B42173">
        <w:rPr>
          <w:rFonts w:asciiTheme="majorHAnsi" w:hAnsiTheme="majorHAnsi"/>
          <w:sz w:val="21"/>
          <w:szCs w:val="21"/>
          <w:lang w:eastAsia="en-GB"/>
        </w:rPr>
        <w:t xml:space="preserve">rantit të </w:t>
      </w:r>
      <w:r w:rsidR="005008B2" w:rsidRPr="00B42173">
        <w:rPr>
          <w:rFonts w:asciiTheme="majorHAnsi" w:hAnsiTheme="majorHAnsi"/>
          <w:sz w:val="21"/>
          <w:szCs w:val="21"/>
          <w:lang w:eastAsia="en-GB"/>
        </w:rPr>
        <w:t>p</w:t>
      </w:r>
      <w:r w:rsidRPr="00B42173">
        <w:rPr>
          <w:rFonts w:asciiTheme="majorHAnsi" w:hAnsiTheme="majorHAnsi"/>
          <w:sz w:val="21"/>
          <w:szCs w:val="21"/>
          <w:lang w:eastAsia="en-GB"/>
        </w:rPr>
        <w:t xml:space="preserve">ërgjithshëm që secila </w:t>
      </w:r>
      <w:r w:rsidR="005008B2" w:rsidRPr="00B42173">
        <w:rPr>
          <w:rFonts w:asciiTheme="majorHAnsi" w:hAnsiTheme="majorHAnsi"/>
          <w:sz w:val="21"/>
          <w:szCs w:val="21"/>
          <w:lang w:eastAsia="en-GB"/>
        </w:rPr>
        <w:t>k</w:t>
      </w:r>
      <w:r w:rsidRPr="00B42173">
        <w:rPr>
          <w:rFonts w:asciiTheme="majorHAnsi" w:hAnsiTheme="majorHAnsi"/>
          <w:sz w:val="21"/>
          <w:szCs w:val="21"/>
          <w:lang w:eastAsia="en-GB"/>
        </w:rPr>
        <w:t xml:space="preserve">omunë merr për atë vit (mbi bazën e një formule të </w:t>
      </w:r>
      <w:r w:rsidR="00EB264B" w:rsidRPr="00B42173">
        <w:rPr>
          <w:rFonts w:asciiTheme="majorHAnsi" w:hAnsiTheme="majorHAnsi"/>
          <w:sz w:val="21"/>
          <w:szCs w:val="21"/>
          <w:lang w:eastAsia="en-GB"/>
        </w:rPr>
        <w:t xml:space="preserve">ponderuar </w:t>
      </w:r>
      <w:r w:rsidRPr="00B42173">
        <w:rPr>
          <w:rFonts w:asciiTheme="majorHAnsi" w:hAnsiTheme="majorHAnsi"/>
          <w:sz w:val="21"/>
          <w:szCs w:val="21"/>
          <w:lang w:eastAsia="en-GB"/>
        </w:rPr>
        <w:t xml:space="preserve">të </w:t>
      </w:r>
      <w:r w:rsidR="00B42BF2" w:rsidRPr="00B42173">
        <w:rPr>
          <w:rFonts w:asciiTheme="majorHAnsi" w:hAnsiTheme="majorHAnsi"/>
          <w:sz w:val="21"/>
          <w:szCs w:val="21"/>
          <w:lang w:eastAsia="en-GB"/>
        </w:rPr>
        <w:t>alokim</w:t>
      </w:r>
      <w:r w:rsidR="00EB264B" w:rsidRPr="00B42173">
        <w:rPr>
          <w:rFonts w:asciiTheme="majorHAnsi" w:hAnsiTheme="majorHAnsi"/>
          <w:sz w:val="21"/>
          <w:szCs w:val="21"/>
          <w:lang w:eastAsia="en-GB"/>
        </w:rPr>
        <w:t>it</w:t>
      </w:r>
      <w:r w:rsidRPr="00B42173">
        <w:rPr>
          <w:rFonts w:asciiTheme="majorHAnsi" w:hAnsiTheme="majorHAnsi"/>
          <w:sz w:val="21"/>
          <w:szCs w:val="21"/>
          <w:lang w:eastAsia="en-GB"/>
        </w:rPr>
        <w:t>, duke marrë parasysh</w:t>
      </w:r>
      <w:r w:rsidR="005008B2" w:rsidRPr="00B42173">
        <w:rPr>
          <w:rFonts w:asciiTheme="majorHAnsi" w:hAnsiTheme="majorHAnsi"/>
          <w:sz w:val="21"/>
          <w:szCs w:val="21"/>
          <w:lang w:eastAsia="en-GB"/>
        </w:rPr>
        <w:t xml:space="preserve"> </w:t>
      </w:r>
      <w:r w:rsidRPr="00B42173">
        <w:rPr>
          <w:rFonts w:asciiTheme="majorHAnsi" w:hAnsiTheme="majorHAnsi"/>
          <w:sz w:val="21"/>
          <w:szCs w:val="21"/>
          <w:lang w:eastAsia="en-GB"/>
        </w:rPr>
        <w:t>variablat e ndryshme të bazuara në nevojat për shpenzime, të përcaktuara nga qeveria). K</w:t>
      </w:r>
      <w:r w:rsidR="00B42BF2" w:rsidRPr="00B42173">
        <w:rPr>
          <w:rFonts w:asciiTheme="majorHAnsi" w:hAnsiTheme="majorHAnsi"/>
          <w:sz w:val="21"/>
          <w:szCs w:val="21"/>
          <w:lang w:eastAsia="en-GB"/>
        </w:rPr>
        <w:t xml:space="preserve">y është rezultati i </w:t>
      </w:r>
      <w:r w:rsidRPr="00B42173">
        <w:rPr>
          <w:rFonts w:asciiTheme="majorHAnsi" w:hAnsiTheme="majorHAnsi"/>
          <w:sz w:val="21"/>
          <w:szCs w:val="21"/>
          <w:lang w:eastAsia="en-GB"/>
        </w:rPr>
        <w:t>ponderuar</w:t>
      </w:r>
      <w:r w:rsidR="00B42BF2" w:rsidRPr="00B42173">
        <w:rPr>
          <w:rFonts w:asciiTheme="majorHAnsi" w:hAnsiTheme="majorHAnsi"/>
          <w:sz w:val="21"/>
          <w:szCs w:val="21"/>
          <w:lang w:eastAsia="en-GB"/>
        </w:rPr>
        <w:t>/vlerësuar</w:t>
      </w:r>
      <w:r w:rsidRPr="00B42173">
        <w:rPr>
          <w:rFonts w:asciiTheme="majorHAnsi" w:hAnsiTheme="majorHAnsi"/>
          <w:sz w:val="21"/>
          <w:szCs w:val="21"/>
          <w:lang w:eastAsia="en-GB"/>
        </w:rPr>
        <w:t xml:space="preserve">. </w:t>
      </w:r>
    </w:p>
    <w:p w14:paraId="2E7CB483" w14:textId="77777777" w:rsidR="00CF24DF" w:rsidRPr="00B42173" w:rsidRDefault="00CF24DF" w:rsidP="00CF24DF">
      <w:pPr>
        <w:numPr>
          <w:ilvl w:val="0"/>
          <w:numId w:val="8"/>
        </w:numPr>
        <w:spacing w:before="60" w:line="264" w:lineRule="auto"/>
        <w:ind w:left="540" w:hanging="270"/>
        <w:jc w:val="both"/>
        <w:rPr>
          <w:rFonts w:asciiTheme="majorHAnsi" w:hAnsiTheme="majorHAnsi"/>
          <w:sz w:val="21"/>
          <w:szCs w:val="21"/>
          <w:lang w:eastAsia="en-GB"/>
        </w:rPr>
      </w:pPr>
      <w:r w:rsidRPr="00B42173">
        <w:rPr>
          <w:rFonts w:asciiTheme="majorHAnsi" w:hAnsiTheme="majorHAnsi"/>
          <w:sz w:val="21"/>
          <w:szCs w:val="21"/>
          <w:lang w:eastAsia="en-GB"/>
        </w:rPr>
        <w:t xml:space="preserve">Së dyti, llogaritet pjesa relative e secilës komunë në këtë </w:t>
      </w:r>
      <w:r w:rsidR="00B42BF2" w:rsidRPr="00B42173">
        <w:rPr>
          <w:rFonts w:asciiTheme="majorHAnsi" w:hAnsiTheme="majorHAnsi"/>
          <w:sz w:val="21"/>
          <w:szCs w:val="21"/>
          <w:lang w:eastAsia="en-GB"/>
        </w:rPr>
        <w:t>rezultat</w:t>
      </w:r>
      <w:r w:rsidRPr="00B42173">
        <w:rPr>
          <w:rFonts w:asciiTheme="majorHAnsi" w:hAnsiTheme="majorHAnsi"/>
          <w:sz w:val="21"/>
          <w:szCs w:val="21"/>
          <w:lang w:eastAsia="en-GB"/>
        </w:rPr>
        <w:t xml:space="preserve"> të ponderuar.</w:t>
      </w:r>
    </w:p>
    <w:p w14:paraId="0125C2CF" w14:textId="3E81CC59" w:rsidR="00CF24DF" w:rsidRDefault="00CF24DF" w:rsidP="00B42BF2">
      <w:pPr>
        <w:numPr>
          <w:ilvl w:val="0"/>
          <w:numId w:val="8"/>
        </w:numPr>
        <w:spacing w:before="60" w:line="264" w:lineRule="auto"/>
        <w:ind w:left="540" w:hanging="270"/>
        <w:jc w:val="both"/>
        <w:rPr>
          <w:rFonts w:asciiTheme="majorHAnsi" w:hAnsiTheme="majorHAnsi"/>
          <w:sz w:val="21"/>
          <w:szCs w:val="21"/>
          <w:lang w:eastAsia="en-GB"/>
        </w:rPr>
      </w:pPr>
      <w:r w:rsidRPr="004D2E1C">
        <w:rPr>
          <w:rFonts w:asciiTheme="majorHAnsi" w:hAnsiTheme="majorHAnsi"/>
          <w:sz w:val="21"/>
          <w:szCs w:val="21"/>
          <w:lang w:eastAsia="en-GB"/>
        </w:rPr>
        <w:t>Së treti, kjo pjesë e fundit relative</w:t>
      </w:r>
      <w:r w:rsidR="00EB264B">
        <w:rPr>
          <w:rFonts w:asciiTheme="majorHAnsi" w:hAnsiTheme="majorHAnsi"/>
          <w:sz w:val="21"/>
          <w:szCs w:val="21"/>
          <w:lang w:eastAsia="en-GB"/>
        </w:rPr>
        <w:t xml:space="preserve"> (p</w:t>
      </w:r>
      <w:r w:rsidR="005F1238">
        <w:rPr>
          <w:rFonts w:asciiTheme="majorHAnsi" w:hAnsiTheme="majorHAnsi"/>
          <w:sz w:val="21"/>
          <w:szCs w:val="21"/>
          <w:lang w:eastAsia="en-GB"/>
        </w:rPr>
        <w:t>ë</w:t>
      </w:r>
      <w:r w:rsidR="00EB264B">
        <w:rPr>
          <w:rFonts w:asciiTheme="majorHAnsi" w:hAnsiTheme="majorHAnsi"/>
          <w:sz w:val="21"/>
          <w:szCs w:val="21"/>
          <w:lang w:eastAsia="en-GB"/>
        </w:rPr>
        <w:t>rqindje)</w:t>
      </w:r>
      <w:r w:rsidRPr="004D2E1C">
        <w:rPr>
          <w:rFonts w:asciiTheme="majorHAnsi" w:hAnsiTheme="majorHAnsi"/>
          <w:sz w:val="21"/>
          <w:szCs w:val="21"/>
          <w:lang w:eastAsia="en-GB"/>
        </w:rPr>
        <w:t xml:space="preserve"> në </w:t>
      </w:r>
      <w:r w:rsidR="00B42BF2" w:rsidRPr="004D2E1C">
        <w:rPr>
          <w:rFonts w:asciiTheme="majorHAnsi" w:hAnsiTheme="majorHAnsi"/>
          <w:sz w:val="21"/>
          <w:szCs w:val="21"/>
          <w:lang w:eastAsia="en-GB"/>
        </w:rPr>
        <w:t>rezultatin e ponderuar të</w:t>
      </w:r>
      <w:r w:rsidRPr="004D2E1C">
        <w:rPr>
          <w:rFonts w:asciiTheme="majorHAnsi" w:hAnsiTheme="majorHAnsi"/>
          <w:sz w:val="21"/>
          <w:szCs w:val="21"/>
          <w:lang w:eastAsia="en-GB"/>
        </w:rPr>
        <w:t xml:space="preserve"> performancës shumëzohet me shumën totale, të disponueshme për grantin </w:t>
      </w:r>
      <w:r w:rsidR="00EB264B">
        <w:rPr>
          <w:rFonts w:asciiTheme="majorHAnsi" w:hAnsiTheme="majorHAnsi"/>
          <w:sz w:val="21"/>
          <w:szCs w:val="21"/>
          <w:lang w:eastAsia="en-GB"/>
        </w:rPr>
        <w:t xml:space="preserve">e </w:t>
      </w:r>
      <w:r w:rsidR="00674C44">
        <w:rPr>
          <w:rFonts w:asciiTheme="majorHAnsi" w:hAnsiTheme="majorHAnsi"/>
          <w:sz w:val="21"/>
          <w:szCs w:val="21"/>
          <w:lang w:eastAsia="en-GB"/>
        </w:rPr>
        <w:t>performancës komunale</w:t>
      </w:r>
      <w:r w:rsidR="00EB264B">
        <w:rPr>
          <w:rFonts w:asciiTheme="majorHAnsi" w:hAnsiTheme="majorHAnsi"/>
          <w:sz w:val="21"/>
          <w:szCs w:val="21"/>
          <w:lang w:eastAsia="en-GB"/>
        </w:rPr>
        <w:t xml:space="preserve"> </w:t>
      </w:r>
      <w:r w:rsidRPr="004D2E1C">
        <w:rPr>
          <w:rFonts w:asciiTheme="majorHAnsi" w:hAnsiTheme="majorHAnsi"/>
          <w:sz w:val="21"/>
          <w:szCs w:val="21"/>
          <w:lang w:eastAsia="en-GB"/>
        </w:rPr>
        <w:t>për vit</w:t>
      </w:r>
      <w:r w:rsidR="007F4A75">
        <w:rPr>
          <w:rFonts w:asciiTheme="majorHAnsi" w:hAnsiTheme="majorHAnsi"/>
          <w:sz w:val="21"/>
          <w:szCs w:val="21"/>
          <w:lang w:eastAsia="en-GB"/>
        </w:rPr>
        <w:t>in</w:t>
      </w:r>
      <w:r w:rsidR="0043713A">
        <w:rPr>
          <w:rFonts w:asciiTheme="majorHAnsi" w:hAnsiTheme="majorHAnsi"/>
          <w:sz w:val="21"/>
          <w:szCs w:val="21"/>
          <w:lang w:eastAsia="en-GB"/>
        </w:rPr>
        <w:t xml:space="preserve"> 202</w:t>
      </w:r>
      <w:r w:rsidR="00B94AE1">
        <w:rPr>
          <w:rFonts w:asciiTheme="majorHAnsi" w:hAnsiTheme="majorHAnsi"/>
          <w:sz w:val="21"/>
          <w:szCs w:val="21"/>
          <w:lang w:eastAsia="en-GB"/>
        </w:rPr>
        <w:t>3</w:t>
      </w:r>
      <w:r w:rsidRPr="004D2E1C">
        <w:rPr>
          <w:rFonts w:asciiTheme="majorHAnsi" w:hAnsiTheme="majorHAnsi"/>
          <w:sz w:val="21"/>
          <w:szCs w:val="21"/>
          <w:lang w:eastAsia="en-GB"/>
        </w:rPr>
        <w:t>.</w:t>
      </w:r>
    </w:p>
    <w:p w14:paraId="20AF420A" w14:textId="2A2B579D" w:rsidR="00DE53C1" w:rsidRPr="00C316B4" w:rsidRDefault="00DE53C1" w:rsidP="00DE53C1">
      <w:pPr>
        <w:numPr>
          <w:ilvl w:val="0"/>
          <w:numId w:val="8"/>
        </w:numPr>
        <w:spacing w:before="60" w:line="264" w:lineRule="auto"/>
        <w:ind w:left="540" w:hanging="270"/>
        <w:jc w:val="both"/>
        <w:rPr>
          <w:rFonts w:asciiTheme="majorHAnsi" w:hAnsiTheme="majorHAnsi"/>
          <w:sz w:val="21"/>
          <w:szCs w:val="21"/>
          <w:lang w:eastAsia="en-GB"/>
        </w:rPr>
      </w:pPr>
      <w:r w:rsidRPr="00C316B4">
        <w:rPr>
          <w:rFonts w:asciiTheme="majorHAnsi" w:hAnsiTheme="majorHAnsi"/>
          <w:sz w:val="21"/>
          <w:szCs w:val="21"/>
          <w:lang w:eastAsia="en-GB"/>
        </w:rPr>
        <w:t>Së katërti, g</w:t>
      </w:r>
      <w:r w:rsidRPr="00C316B4">
        <w:rPr>
          <w:rFonts w:asciiTheme="majorHAnsi" w:hAnsiTheme="majorHAnsi"/>
          <w:sz w:val="21"/>
          <w:szCs w:val="21"/>
        </w:rPr>
        <w:t>ranti i performancës komunale ndan shpërblime shtesë për komunat me performancën më të lartë. Dhjetë (10) përqind e shumës totale të grantit i ndahet tri vendeve të para me performancën më të lartë. Vendi i parë i merr 5% të shumës totale të grantit; vendi i dytë i merr 3% të shumës totale të grantit dhe vendi i tretë i merr 2% të shumës totale të grantit. Nëse dy e më shumë komuna gjenden në të njëjtin vend atëherë shuma e shpërblimit për vendin e përcaktuar ndahet në mënyrë proporci</w:t>
      </w:r>
      <w:r w:rsidR="001128D2">
        <w:rPr>
          <w:rFonts w:asciiTheme="majorHAnsi" w:hAnsiTheme="majorHAnsi"/>
          <w:sz w:val="21"/>
          <w:szCs w:val="21"/>
        </w:rPr>
        <w:t>o</w:t>
      </w:r>
      <w:r w:rsidRPr="00C316B4">
        <w:rPr>
          <w:rFonts w:asciiTheme="majorHAnsi" w:hAnsiTheme="majorHAnsi"/>
          <w:sz w:val="21"/>
          <w:szCs w:val="21"/>
        </w:rPr>
        <w:t>nale</w:t>
      </w:r>
      <w:r w:rsidR="009376F7">
        <w:rPr>
          <w:rFonts w:asciiTheme="majorHAnsi" w:hAnsiTheme="majorHAnsi"/>
          <w:sz w:val="21"/>
          <w:szCs w:val="21"/>
        </w:rPr>
        <w:t xml:space="preserve"> p</w:t>
      </w:r>
      <w:r w:rsidR="00E04BE3">
        <w:rPr>
          <w:rFonts w:asciiTheme="majorHAnsi" w:hAnsiTheme="majorHAnsi"/>
          <w:sz w:val="21"/>
          <w:szCs w:val="21"/>
        </w:rPr>
        <w:t>ë</w:t>
      </w:r>
      <w:r w:rsidR="009376F7">
        <w:rPr>
          <w:rFonts w:asciiTheme="majorHAnsi" w:hAnsiTheme="majorHAnsi"/>
          <w:sz w:val="21"/>
          <w:szCs w:val="21"/>
        </w:rPr>
        <w:t>r at</w:t>
      </w:r>
      <w:r w:rsidR="00E04BE3">
        <w:rPr>
          <w:rFonts w:asciiTheme="majorHAnsi" w:hAnsiTheme="majorHAnsi"/>
          <w:sz w:val="21"/>
          <w:szCs w:val="21"/>
        </w:rPr>
        <w:t>ë</w:t>
      </w:r>
      <w:r w:rsidR="009376F7">
        <w:rPr>
          <w:rFonts w:asciiTheme="majorHAnsi" w:hAnsiTheme="majorHAnsi"/>
          <w:sz w:val="21"/>
          <w:szCs w:val="21"/>
        </w:rPr>
        <w:t xml:space="preserve"> num</w:t>
      </w:r>
      <w:r w:rsidR="00E04BE3">
        <w:rPr>
          <w:rFonts w:asciiTheme="majorHAnsi" w:hAnsiTheme="majorHAnsi"/>
          <w:sz w:val="21"/>
          <w:szCs w:val="21"/>
        </w:rPr>
        <w:t>ë</w:t>
      </w:r>
      <w:r w:rsidR="009376F7">
        <w:rPr>
          <w:rFonts w:asciiTheme="majorHAnsi" w:hAnsiTheme="majorHAnsi"/>
          <w:sz w:val="21"/>
          <w:szCs w:val="21"/>
        </w:rPr>
        <w:t>r t</w:t>
      </w:r>
      <w:r w:rsidR="00E04BE3">
        <w:rPr>
          <w:rFonts w:asciiTheme="majorHAnsi" w:hAnsiTheme="majorHAnsi"/>
          <w:sz w:val="21"/>
          <w:szCs w:val="21"/>
        </w:rPr>
        <w:t>ë</w:t>
      </w:r>
      <w:r w:rsidR="009376F7">
        <w:rPr>
          <w:rFonts w:asciiTheme="majorHAnsi" w:hAnsiTheme="majorHAnsi"/>
          <w:sz w:val="21"/>
          <w:szCs w:val="21"/>
        </w:rPr>
        <w:t xml:space="preserve"> komunave me rezultat t</w:t>
      </w:r>
      <w:r w:rsidR="00E04BE3">
        <w:rPr>
          <w:rFonts w:asciiTheme="majorHAnsi" w:hAnsiTheme="majorHAnsi"/>
          <w:sz w:val="21"/>
          <w:szCs w:val="21"/>
        </w:rPr>
        <w:t>ë</w:t>
      </w:r>
      <w:r w:rsidR="009376F7">
        <w:rPr>
          <w:rFonts w:asciiTheme="majorHAnsi" w:hAnsiTheme="majorHAnsi"/>
          <w:sz w:val="21"/>
          <w:szCs w:val="21"/>
        </w:rPr>
        <w:t xml:space="preserve"> njejt</w:t>
      </w:r>
      <w:r w:rsidR="00E04BE3">
        <w:rPr>
          <w:rFonts w:asciiTheme="majorHAnsi" w:hAnsiTheme="majorHAnsi"/>
          <w:sz w:val="21"/>
          <w:szCs w:val="21"/>
        </w:rPr>
        <w:t>ë</w:t>
      </w:r>
      <w:r w:rsidRPr="00C316B4">
        <w:rPr>
          <w:rFonts w:asciiTheme="majorHAnsi" w:hAnsiTheme="majorHAnsi"/>
          <w:sz w:val="21"/>
          <w:szCs w:val="21"/>
        </w:rPr>
        <w:t>.</w:t>
      </w:r>
    </w:p>
    <w:p w14:paraId="7E852E01" w14:textId="77777777" w:rsidR="00CF24DF" w:rsidRPr="004D2E1C" w:rsidRDefault="00CF24DF" w:rsidP="00CF24DF">
      <w:pPr>
        <w:spacing w:before="60" w:line="264" w:lineRule="auto"/>
        <w:ind w:left="284"/>
        <w:jc w:val="both"/>
        <w:rPr>
          <w:rFonts w:asciiTheme="majorHAnsi" w:hAnsiTheme="majorHAnsi"/>
          <w:sz w:val="21"/>
          <w:szCs w:val="21"/>
        </w:rPr>
      </w:pPr>
      <w:r w:rsidRPr="004D2E1C">
        <w:rPr>
          <w:rFonts w:asciiTheme="majorHAnsi" w:hAnsiTheme="majorHAnsi"/>
          <w:sz w:val="21"/>
          <w:szCs w:val="21"/>
        </w:rPr>
        <w:t>Kjo mund të duket e komplikuar, por shembulli më poshtë mund t</w:t>
      </w:r>
      <w:r w:rsidR="00210D4C">
        <w:rPr>
          <w:rFonts w:asciiTheme="majorHAnsi" w:hAnsiTheme="majorHAnsi"/>
          <w:sz w:val="21"/>
          <w:szCs w:val="21"/>
        </w:rPr>
        <w:t>ë</w:t>
      </w:r>
      <w:r w:rsidR="007F4A75">
        <w:rPr>
          <w:rFonts w:asciiTheme="majorHAnsi" w:hAnsiTheme="majorHAnsi"/>
          <w:sz w:val="21"/>
          <w:szCs w:val="21"/>
        </w:rPr>
        <w:t xml:space="preserve"> ndihmoj</w:t>
      </w:r>
      <w:r w:rsidR="00210D4C">
        <w:rPr>
          <w:rFonts w:asciiTheme="majorHAnsi" w:hAnsiTheme="majorHAnsi"/>
          <w:sz w:val="21"/>
          <w:szCs w:val="21"/>
        </w:rPr>
        <w:t>ë</w:t>
      </w:r>
      <w:r w:rsidR="007F4A75">
        <w:rPr>
          <w:rFonts w:asciiTheme="majorHAnsi" w:hAnsiTheme="majorHAnsi"/>
          <w:sz w:val="21"/>
          <w:szCs w:val="21"/>
        </w:rPr>
        <w:t xml:space="preserve"> n</w:t>
      </w:r>
      <w:r w:rsidR="00210D4C">
        <w:rPr>
          <w:rFonts w:asciiTheme="majorHAnsi" w:hAnsiTheme="majorHAnsi"/>
          <w:sz w:val="21"/>
          <w:szCs w:val="21"/>
        </w:rPr>
        <w:t>ë</w:t>
      </w:r>
      <w:r w:rsidR="007F4A75">
        <w:rPr>
          <w:rFonts w:asciiTheme="majorHAnsi" w:hAnsiTheme="majorHAnsi"/>
          <w:sz w:val="21"/>
          <w:szCs w:val="21"/>
        </w:rPr>
        <w:t xml:space="preserve"> sqarimin</w:t>
      </w:r>
      <w:r w:rsidRPr="004D2E1C">
        <w:rPr>
          <w:rFonts w:asciiTheme="majorHAnsi" w:hAnsiTheme="majorHAnsi"/>
          <w:sz w:val="21"/>
          <w:szCs w:val="21"/>
        </w:rPr>
        <w:t>.</w:t>
      </w:r>
    </w:p>
    <w:p w14:paraId="5642E6CB" w14:textId="148955B1" w:rsidR="00CF24DF" w:rsidRPr="004D2E1C" w:rsidRDefault="00CF24DF" w:rsidP="00CF24DF">
      <w:pPr>
        <w:spacing w:before="60" w:line="264" w:lineRule="auto"/>
        <w:ind w:left="284"/>
        <w:jc w:val="both"/>
        <w:rPr>
          <w:rFonts w:asciiTheme="majorHAnsi" w:hAnsiTheme="majorHAnsi"/>
          <w:sz w:val="21"/>
          <w:szCs w:val="21"/>
        </w:rPr>
      </w:pPr>
      <w:r w:rsidRPr="004D2E1C">
        <w:rPr>
          <w:rFonts w:asciiTheme="majorHAnsi" w:hAnsiTheme="majorHAnsi"/>
          <w:sz w:val="21"/>
          <w:szCs w:val="21"/>
        </w:rPr>
        <w:t xml:space="preserve">Tabela në faqen tjetër </w:t>
      </w:r>
      <w:r w:rsidR="00B42BF2" w:rsidRPr="004D2E1C">
        <w:rPr>
          <w:rFonts w:asciiTheme="majorHAnsi" w:hAnsiTheme="majorHAnsi"/>
          <w:sz w:val="21"/>
          <w:szCs w:val="21"/>
        </w:rPr>
        <w:t>jep</w:t>
      </w:r>
      <w:r w:rsidRPr="004D2E1C">
        <w:rPr>
          <w:rFonts w:asciiTheme="majorHAnsi" w:hAnsiTheme="majorHAnsi"/>
          <w:sz w:val="21"/>
          <w:szCs w:val="21"/>
        </w:rPr>
        <w:t xml:space="preserve"> një shembull të llogaritjes së </w:t>
      </w:r>
      <w:r w:rsidR="00B42BF2" w:rsidRPr="004D2E1C">
        <w:rPr>
          <w:rFonts w:asciiTheme="majorHAnsi" w:hAnsiTheme="majorHAnsi"/>
          <w:sz w:val="21"/>
          <w:szCs w:val="21"/>
        </w:rPr>
        <w:t>ndarjes së</w:t>
      </w:r>
      <w:r w:rsidRPr="004D2E1C">
        <w:rPr>
          <w:rFonts w:asciiTheme="majorHAnsi" w:hAnsiTheme="majorHAnsi"/>
          <w:sz w:val="21"/>
          <w:szCs w:val="21"/>
        </w:rPr>
        <w:t xml:space="preserve"> grantit të </w:t>
      </w:r>
      <w:r w:rsidR="00674C44">
        <w:rPr>
          <w:rFonts w:asciiTheme="majorHAnsi" w:hAnsiTheme="majorHAnsi"/>
          <w:sz w:val="21"/>
          <w:szCs w:val="21"/>
        </w:rPr>
        <w:t>performancës komunale</w:t>
      </w:r>
      <w:r w:rsidRPr="004D2E1C">
        <w:rPr>
          <w:rFonts w:asciiTheme="majorHAnsi" w:hAnsiTheme="majorHAnsi"/>
          <w:sz w:val="21"/>
          <w:szCs w:val="21"/>
        </w:rPr>
        <w:t xml:space="preserve">, duke përdorur </w:t>
      </w:r>
      <w:r w:rsidR="00B42BF2" w:rsidRPr="004D2E1C">
        <w:rPr>
          <w:rFonts w:asciiTheme="majorHAnsi" w:hAnsiTheme="majorHAnsi"/>
          <w:sz w:val="21"/>
          <w:szCs w:val="21"/>
        </w:rPr>
        <w:t xml:space="preserve">grantin e përgjithshëm të ndarë </w:t>
      </w:r>
      <w:r w:rsidR="0043713A">
        <w:rPr>
          <w:rFonts w:asciiTheme="majorHAnsi" w:hAnsiTheme="majorHAnsi"/>
          <w:sz w:val="21"/>
          <w:szCs w:val="21"/>
        </w:rPr>
        <w:t>për vitin 202</w:t>
      </w:r>
      <w:r w:rsidR="00B94AE1">
        <w:rPr>
          <w:rFonts w:asciiTheme="majorHAnsi" w:hAnsiTheme="majorHAnsi"/>
          <w:sz w:val="21"/>
          <w:szCs w:val="21"/>
        </w:rPr>
        <w:t>3</w:t>
      </w:r>
      <w:r w:rsidRPr="004D2E1C">
        <w:rPr>
          <w:rFonts w:asciiTheme="majorHAnsi" w:hAnsiTheme="majorHAnsi"/>
          <w:sz w:val="21"/>
          <w:szCs w:val="21"/>
        </w:rPr>
        <w:t xml:space="preserve">, sipas qarkores </w:t>
      </w:r>
      <w:r w:rsidR="00B42BF2" w:rsidRPr="004D2E1C">
        <w:rPr>
          <w:rFonts w:asciiTheme="majorHAnsi" w:hAnsiTheme="majorHAnsi"/>
          <w:sz w:val="21"/>
          <w:szCs w:val="21"/>
        </w:rPr>
        <w:t>buxhetore</w:t>
      </w:r>
      <w:r w:rsidRPr="004D2E1C">
        <w:rPr>
          <w:rFonts w:asciiTheme="majorHAnsi" w:hAnsiTheme="majorHAnsi"/>
          <w:sz w:val="21"/>
          <w:szCs w:val="21"/>
        </w:rPr>
        <w:t xml:space="preserve"> të qeverisë, sipas supozimeve të mëposhtme (për shembull) që (i) të gjitha komunat kanë përmbushur kushtet minimale dhe (ii) që të gjitha komunat kanë arritur saktësisht </w:t>
      </w:r>
      <w:r w:rsidR="00B42BF2" w:rsidRPr="004D2E1C">
        <w:rPr>
          <w:rFonts w:asciiTheme="majorHAnsi" w:hAnsiTheme="majorHAnsi"/>
          <w:sz w:val="21"/>
          <w:szCs w:val="21"/>
        </w:rPr>
        <w:t>rezultat të</w:t>
      </w:r>
      <w:r w:rsidRPr="004D2E1C">
        <w:rPr>
          <w:rFonts w:asciiTheme="majorHAnsi" w:hAnsiTheme="majorHAnsi"/>
          <w:sz w:val="21"/>
          <w:szCs w:val="21"/>
        </w:rPr>
        <w:t xml:space="preserve"> </w:t>
      </w:r>
      <w:r w:rsidR="00B42BF2" w:rsidRPr="004D2E1C">
        <w:rPr>
          <w:rFonts w:asciiTheme="majorHAnsi" w:hAnsiTheme="majorHAnsi"/>
          <w:sz w:val="21"/>
          <w:szCs w:val="21"/>
        </w:rPr>
        <w:t>njëjtë</w:t>
      </w:r>
      <w:r w:rsidR="0043713A">
        <w:rPr>
          <w:rFonts w:asciiTheme="majorHAnsi" w:hAnsiTheme="majorHAnsi"/>
          <w:sz w:val="21"/>
          <w:szCs w:val="21"/>
        </w:rPr>
        <w:t xml:space="preserve"> </w:t>
      </w:r>
      <w:r w:rsidR="0043713A" w:rsidRPr="001B3A01">
        <w:rPr>
          <w:rFonts w:asciiTheme="majorHAnsi" w:hAnsiTheme="majorHAnsi"/>
          <w:sz w:val="21"/>
          <w:szCs w:val="21"/>
        </w:rPr>
        <w:t>prej 9</w:t>
      </w:r>
      <w:r w:rsidR="003F7BB9" w:rsidRPr="00852D64">
        <w:rPr>
          <w:rFonts w:asciiTheme="majorHAnsi" w:hAnsiTheme="majorHAnsi"/>
          <w:sz w:val="21"/>
          <w:szCs w:val="21"/>
        </w:rPr>
        <w:t>2</w:t>
      </w:r>
      <w:r w:rsidR="007F4A75">
        <w:rPr>
          <w:rFonts w:asciiTheme="majorHAnsi" w:hAnsiTheme="majorHAnsi"/>
          <w:sz w:val="21"/>
          <w:szCs w:val="21"/>
        </w:rPr>
        <w:t xml:space="preserve"> </w:t>
      </w:r>
      <w:r w:rsidR="00812182">
        <w:rPr>
          <w:rFonts w:asciiTheme="majorHAnsi" w:hAnsiTheme="majorHAnsi"/>
          <w:sz w:val="21"/>
          <w:szCs w:val="21"/>
        </w:rPr>
        <w:t xml:space="preserve">pikëve </w:t>
      </w:r>
      <w:r w:rsidRPr="004D2E1C">
        <w:rPr>
          <w:rFonts w:asciiTheme="majorHAnsi" w:hAnsiTheme="majorHAnsi"/>
          <w:sz w:val="21"/>
          <w:szCs w:val="21"/>
        </w:rPr>
        <w:t xml:space="preserve">(gjë që nuk ka gjasa në realitet, por që lejon që çdo komunë të trajtohet në mënyrë të barabartë në këtë shembull). </w:t>
      </w:r>
    </w:p>
    <w:p w14:paraId="5F9CD6BB" w14:textId="77777777" w:rsidR="00CF24DF" w:rsidRPr="004D2E1C" w:rsidRDefault="00CF24DF" w:rsidP="00CF24DF">
      <w:pPr>
        <w:spacing w:before="60" w:line="264" w:lineRule="auto"/>
        <w:ind w:left="284"/>
        <w:jc w:val="both"/>
        <w:rPr>
          <w:rFonts w:asciiTheme="majorHAnsi" w:hAnsiTheme="majorHAnsi"/>
          <w:sz w:val="21"/>
          <w:szCs w:val="21"/>
        </w:rPr>
      </w:pPr>
      <w:r w:rsidRPr="004D2E1C">
        <w:rPr>
          <w:rFonts w:asciiTheme="majorHAnsi" w:hAnsiTheme="majorHAnsi"/>
          <w:sz w:val="21"/>
          <w:szCs w:val="21"/>
        </w:rPr>
        <w:t xml:space="preserve">Hapat e mëposhtëm merren për të llogaritur </w:t>
      </w:r>
      <w:r w:rsidR="00566A07" w:rsidRPr="004D2E1C">
        <w:rPr>
          <w:rFonts w:asciiTheme="majorHAnsi" w:hAnsiTheme="majorHAnsi"/>
          <w:sz w:val="21"/>
          <w:szCs w:val="21"/>
        </w:rPr>
        <w:t>alokimet</w:t>
      </w:r>
      <w:r w:rsidRPr="004D2E1C">
        <w:rPr>
          <w:rFonts w:asciiTheme="majorHAnsi" w:hAnsiTheme="majorHAnsi"/>
          <w:sz w:val="21"/>
          <w:szCs w:val="21"/>
        </w:rPr>
        <w:t>:</w:t>
      </w:r>
    </w:p>
    <w:p w14:paraId="1EE6ADBC" w14:textId="77777777" w:rsidR="00CF24DF" w:rsidRPr="004D2E1C" w:rsidRDefault="00CF24DF" w:rsidP="009A3BEC">
      <w:pPr>
        <w:numPr>
          <w:ilvl w:val="0"/>
          <w:numId w:val="19"/>
        </w:numPr>
        <w:spacing w:before="60" w:after="20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 xml:space="preserve">Pjesa e grantit komunal në grantin e përgjithshëm përcaktohet duke </w:t>
      </w:r>
      <w:r w:rsidR="00566A07" w:rsidRPr="004D2E1C">
        <w:rPr>
          <w:rFonts w:asciiTheme="majorHAnsi" w:hAnsiTheme="majorHAnsi"/>
          <w:sz w:val="21"/>
          <w:szCs w:val="21"/>
          <w:lang w:eastAsia="en-GB"/>
        </w:rPr>
        <w:t>pjestuar</w:t>
      </w:r>
      <w:r w:rsidRPr="004D2E1C">
        <w:rPr>
          <w:rFonts w:asciiTheme="majorHAnsi" w:hAnsiTheme="majorHAnsi"/>
          <w:sz w:val="21"/>
          <w:szCs w:val="21"/>
          <w:lang w:eastAsia="en-GB"/>
        </w:rPr>
        <w:t xml:space="preserve"> grantin e përgjithshëm komunal (kolona 3) me grantin </w:t>
      </w:r>
      <w:r w:rsidR="007F4A75">
        <w:rPr>
          <w:rFonts w:asciiTheme="majorHAnsi" w:hAnsiTheme="majorHAnsi"/>
          <w:sz w:val="21"/>
          <w:szCs w:val="21"/>
          <w:lang w:eastAsia="en-GB"/>
        </w:rPr>
        <w:t xml:space="preserve">e </w:t>
      </w:r>
      <w:r w:rsidRPr="004D2E1C">
        <w:rPr>
          <w:rFonts w:asciiTheme="majorHAnsi" w:hAnsiTheme="majorHAnsi"/>
          <w:sz w:val="21"/>
          <w:szCs w:val="21"/>
          <w:lang w:eastAsia="en-GB"/>
        </w:rPr>
        <w:t xml:space="preserve">përgjithshëm </w:t>
      </w:r>
      <w:r w:rsidR="007F4A75">
        <w:rPr>
          <w:rFonts w:asciiTheme="majorHAnsi" w:hAnsiTheme="majorHAnsi"/>
          <w:sz w:val="21"/>
          <w:szCs w:val="21"/>
          <w:lang w:eastAsia="en-GB"/>
        </w:rPr>
        <w:t xml:space="preserve">total </w:t>
      </w:r>
      <w:r w:rsidRPr="004D2E1C">
        <w:rPr>
          <w:rFonts w:asciiTheme="majorHAnsi" w:hAnsiTheme="majorHAnsi"/>
          <w:sz w:val="21"/>
          <w:szCs w:val="21"/>
          <w:lang w:eastAsia="en-GB"/>
        </w:rPr>
        <w:t xml:space="preserve">(totali i kolonës 3). Kjo është një përqindje </w:t>
      </w:r>
      <w:r w:rsidR="00566A07" w:rsidRPr="004D2E1C">
        <w:rPr>
          <w:rFonts w:asciiTheme="majorHAnsi" w:hAnsiTheme="majorHAnsi"/>
          <w:sz w:val="21"/>
          <w:szCs w:val="21"/>
          <w:lang w:eastAsia="en-GB"/>
        </w:rPr>
        <w:t>që quhet</w:t>
      </w:r>
      <w:r w:rsidRPr="004D2E1C">
        <w:rPr>
          <w:rFonts w:asciiTheme="majorHAnsi" w:hAnsiTheme="majorHAnsi"/>
          <w:sz w:val="21"/>
          <w:szCs w:val="21"/>
          <w:lang w:eastAsia="en-GB"/>
        </w:rPr>
        <w:t xml:space="preserve"> 'pjesa relative e grantit të përgjithshëm' (kolona 4);</w:t>
      </w:r>
    </w:p>
    <w:p w14:paraId="12A3CB0F" w14:textId="77777777" w:rsidR="00CF24DF" w:rsidRPr="004D2E1C" w:rsidRDefault="00CF24DF" w:rsidP="009A3BEC">
      <w:pPr>
        <w:numPr>
          <w:ilvl w:val="0"/>
          <w:numId w:val="19"/>
        </w:numPr>
        <w:spacing w:before="6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 xml:space="preserve">Pastaj </w:t>
      </w:r>
      <w:r w:rsidR="00566A07" w:rsidRPr="004D2E1C">
        <w:rPr>
          <w:rFonts w:asciiTheme="majorHAnsi" w:hAnsiTheme="majorHAnsi"/>
          <w:sz w:val="21"/>
          <w:szCs w:val="21"/>
          <w:lang w:eastAsia="en-GB"/>
        </w:rPr>
        <w:t>rezultat</w:t>
      </w:r>
      <w:r w:rsidR="007F4A75">
        <w:rPr>
          <w:rFonts w:asciiTheme="majorHAnsi" w:hAnsiTheme="majorHAnsi"/>
          <w:sz w:val="21"/>
          <w:szCs w:val="21"/>
          <w:lang w:eastAsia="en-GB"/>
        </w:rPr>
        <w:t xml:space="preserve">i i </w:t>
      </w:r>
      <w:r w:rsidRPr="004D2E1C">
        <w:rPr>
          <w:rFonts w:asciiTheme="majorHAnsi" w:hAnsiTheme="majorHAnsi"/>
          <w:sz w:val="21"/>
          <w:szCs w:val="21"/>
          <w:lang w:eastAsia="en-GB"/>
        </w:rPr>
        <w:t>ponderuar</w:t>
      </w:r>
      <w:r w:rsidR="007F4A75">
        <w:rPr>
          <w:rFonts w:asciiTheme="majorHAnsi" w:hAnsiTheme="majorHAnsi"/>
          <w:sz w:val="21"/>
          <w:szCs w:val="21"/>
          <w:lang w:eastAsia="en-GB"/>
        </w:rPr>
        <w:t xml:space="preserve"> i </w:t>
      </w:r>
      <w:r w:rsidRPr="004D2E1C">
        <w:rPr>
          <w:rFonts w:asciiTheme="majorHAnsi" w:hAnsiTheme="majorHAnsi"/>
          <w:sz w:val="21"/>
          <w:szCs w:val="21"/>
          <w:lang w:eastAsia="en-GB"/>
        </w:rPr>
        <w:t>performancës llogarite</w:t>
      </w:r>
      <w:r w:rsidR="007F4A75">
        <w:rPr>
          <w:rFonts w:asciiTheme="majorHAnsi" w:hAnsiTheme="majorHAnsi"/>
          <w:sz w:val="21"/>
          <w:szCs w:val="21"/>
          <w:lang w:eastAsia="en-GB"/>
        </w:rPr>
        <w:t>t</w:t>
      </w:r>
      <w:r w:rsidRPr="004D2E1C">
        <w:rPr>
          <w:rFonts w:asciiTheme="majorHAnsi" w:hAnsiTheme="majorHAnsi"/>
          <w:sz w:val="21"/>
          <w:szCs w:val="21"/>
          <w:lang w:eastAsia="en-GB"/>
        </w:rPr>
        <w:t xml:space="preserve"> si</w:t>
      </w:r>
      <w:r w:rsidR="007F4A75">
        <w:rPr>
          <w:rFonts w:asciiTheme="majorHAnsi" w:hAnsiTheme="majorHAnsi"/>
          <w:sz w:val="21"/>
          <w:szCs w:val="21"/>
          <w:lang w:eastAsia="en-GB"/>
        </w:rPr>
        <w:t>ç</w:t>
      </w:r>
      <w:r w:rsidRPr="004D2E1C">
        <w:rPr>
          <w:rFonts w:asciiTheme="majorHAnsi" w:hAnsiTheme="majorHAnsi"/>
          <w:sz w:val="21"/>
          <w:szCs w:val="21"/>
          <w:lang w:eastAsia="en-GB"/>
        </w:rPr>
        <w:t xml:space="preserve"> tregohet në kolonën (7) duke shumëzuar </w:t>
      </w:r>
      <w:r w:rsidR="00566A07" w:rsidRPr="004D2E1C">
        <w:rPr>
          <w:rFonts w:asciiTheme="majorHAnsi" w:hAnsiTheme="majorHAnsi"/>
          <w:sz w:val="21"/>
          <w:szCs w:val="21"/>
          <w:lang w:eastAsia="en-GB"/>
        </w:rPr>
        <w:t xml:space="preserve">rezultatet e </w:t>
      </w:r>
      <w:r w:rsidRPr="004D2E1C">
        <w:rPr>
          <w:rFonts w:asciiTheme="majorHAnsi" w:hAnsiTheme="majorHAnsi"/>
          <w:sz w:val="21"/>
          <w:szCs w:val="21"/>
          <w:lang w:eastAsia="en-GB"/>
        </w:rPr>
        <w:t xml:space="preserve">vlerësimit të performancës (kolona 6) me pjesën relative </w:t>
      </w:r>
      <w:r w:rsidR="007F4A75">
        <w:rPr>
          <w:rFonts w:asciiTheme="majorHAnsi" w:hAnsiTheme="majorHAnsi"/>
          <w:sz w:val="21"/>
          <w:szCs w:val="21"/>
          <w:lang w:eastAsia="en-GB"/>
        </w:rPr>
        <w:t>n</w:t>
      </w:r>
      <w:r w:rsidR="00210D4C">
        <w:rPr>
          <w:rFonts w:asciiTheme="majorHAnsi" w:hAnsiTheme="majorHAnsi"/>
          <w:sz w:val="21"/>
          <w:szCs w:val="21"/>
          <w:lang w:eastAsia="en-GB"/>
        </w:rPr>
        <w:t>ë</w:t>
      </w:r>
      <w:r w:rsidRPr="004D2E1C">
        <w:rPr>
          <w:rFonts w:asciiTheme="majorHAnsi" w:hAnsiTheme="majorHAnsi"/>
          <w:sz w:val="21"/>
          <w:szCs w:val="21"/>
          <w:lang w:eastAsia="en-GB"/>
        </w:rPr>
        <w:t xml:space="preserve"> granti</w:t>
      </w:r>
      <w:r w:rsidR="007F4A75">
        <w:rPr>
          <w:rFonts w:asciiTheme="majorHAnsi" w:hAnsiTheme="majorHAnsi"/>
          <w:sz w:val="21"/>
          <w:szCs w:val="21"/>
          <w:lang w:eastAsia="en-GB"/>
        </w:rPr>
        <w:t>n</w:t>
      </w:r>
      <w:r w:rsidRPr="004D2E1C">
        <w:rPr>
          <w:rFonts w:asciiTheme="majorHAnsi" w:hAnsiTheme="majorHAnsi"/>
          <w:sz w:val="21"/>
          <w:szCs w:val="21"/>
          <w:lang w:eastAsia="en-GB"/>
        </w:rPr>
        <w:t xml:space="preserve"> </w:t>
      </w:r>
      <w:r w:rsidR="007F4A75">
        <w:rPr>
          <w:rFonts w:asciiTheme="majorHAnsi" w:hAnsiTheme="majorHAnsi"/>
          <w:sz w:val="21"/>
          <w:szCs w:val="21"/>
          <w:lang w:eastAsia="en-GB"/>
        </w:rPr>
        <w:t xml:space="preserve">e </w:t>
      </w:r>
      <w:r w:rsidRPr="004D2E1C">
        <w:rPr>
          <w:rFonts w:asciiTheme="majorHAnsi" w:hAnsiTheme="majorHAnsi"/>
          <w:sz w:val="21"/>
          <w:szCs w:val="21"/>
          <w:lang w:eastAsia="en-GB"/>
        </w:rPr>
        <w:t xml:space="preserve">përgjithshëm dhe rezultatet e përmbushjes së kushteve minimale (të pasqyruara në kolonën 5), që është ose 1 nëse kushtet minimale janë plotësuar ose "0" nëse kushtet minimale nuk janë plotësuar (kolona 5). Një komunë që nuk i plotëson kushtet minimale përjashtohet nga llogaritjet e mëtejshme (dhe </w:t>
      </w:r>
      <w:r w:rsidR="002817BE" w:rsidRPr="004D2E1C">
        <w:rPr>
          <w:rFonts w:asciiTheme="majorHAnsi" w:hAnsiTheme="majorHAnsi"/>
          <w:sz w:val="21"/>
          <w:szCs w:val="21"/>
          <w:lang w:eastAsia="en-GB"/>
        </w:rPr>
        <w:t xml:space="preserve">vlera </w:t>
      </w:r>
      <w:r w:rsidR="00AD65B0">
        <w:rPr>
          <w:rFonts w:asciiTheme="majorHAnsi" w:hAnsiTheme="majorHAnsi"/>
          <w:sz w:val="21"/>
          <w:szCs w:val="21"/>
          <w:lang w:eastAsia="en-GB"/>
        </w:rPr>
        <w:t>n</w:t>
      </w:r>
      <w:r w:rsidR="00210D4C">
        <w:rPr>
          <w:rFonts w:asciiTheme="majorHAnsi" w:hAnsiTheme="majorHAnsi"/>
          <w:sz w:val="21"/>
          <w:szCs w:val="21"/>
          <w:lang w:eastAsia="en-GB"/>
        </w:rPr>
        <w:t>ë</w:t>
      </w:r>
      <w:r w:rsidR="002817BE" w:rsidRPr="004D2E1C">
        <w:rPr>
          <w:rFonts w:asciiTheme="majorHAnsi" w:hAnsiTheme="majorHAnsi"/>
          <w:sz w:val="21"/>
          <w:szCs w:val="21"/>
          <w:lang w:eastAsia="en-GB"/>
        </w:rPr>
        <w:t xml:space="preserve"> </w:t>
      </w:r>
      <w:r w:rsidRPr="004D2E1C">
        <w:rPr>
          <w:rFonts w:asciiTheme="majorHAnsi" w:hAnsiTheme="majorHAnsi"/>
          <w:sz w:val="21"/>
          <w:szCs w:val="21"/>
          <w:lang w:eastAsia="en-GB"/>
        </w:rPr>
        <w:t xml:space="preserve">kolonat 6 deri 10 do të </w:t>
      </w:r>
      <w:r w:rsidR="002817BE" w:rsidRPr="004D2E1C">
        <w:rPr>
          <w:rFonts w:asciiTheme="majorHAnsi" w:hAnsiTheme="majorHAnsi"/>
          <w:sz w:val="21"/>
          <w:szCs w:val="21"/>
          <w:lang w:eastAsia="en-GB"/>
        </w:rPr>
        <w:t>paraqitet si</w:t>
      </w:r>
      <w:r w:rsidRPr="004D2E1C">
        <w:rPr>
          <w:rFonts w:asciiTheme="majorHAnsi" w:hAnsiTheme="majorHAnsi"/>
          <w:sz w:val="21"/>
          <w:szCs w:val="21"/>
          <w:lang w:eastAsia="en-GB"/>
        </w:rPr>
        <w:t xml:space="preserve"> “0”).</w:t>
      </w:r>
    </w:p>
    <w:p w14:paraId="30B1B60C" w14:textId="77777777" w:rsidR="00CF24DF" w:rsidRPr="004D2E1C" w:rsidRDefault="00CF24DF" w:rsidP="009A3BEC">
      <w:pPr>
        <w:numPr>
          <w:ilvl w:val="0"/>
          <w:numId w:val="19"/>
        </w:numPr>
        <w:spacing w:before="60" w:after="20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w:t>
      </w:r>
      <w:r w:rsidR="009340E1" w:rsidRPr="004D2E1C">
        <w:rPr>
          <w:rFonts w:asciiTheme="majorHAnsi" w:hAnsiTheme="majorHAnsi"/>
          <w:sz w:val="21"/>
          <w:szCs w:val="21"/>
          <w:lang w:eastAsia="en-GB"/>
        </w:rPr>
        <w:t>Rezultat</w:t>
      </w:r>
      <w:r w:rsidR="00AD65B0">
        <w:rPr>
          <w:rFonts w:asciiTheme="majorHAnsi" w:hAnsiTheme="majorHAnsi"/>
          <w:sz w:val="21"/>
          <w:szCs w:val="21"/>
          <w:lang w:eastAsia="en-GB"/>
        </w:rPr>
        <w:t xml:space="preserve">i i </w:t>
      </w:r>
      <w:r w:rsidRPr="004D2E1C">
        <w:rPr>
          <w:rFonts w:asciiTheme="majorHAnsi" w:hAnsiTheme="majorHAnsi"/>
          <w:sz w:val="21"/>
          <w:szCs w:val="21"/>
          <w:lang w:eastAsia="en-GB"/>
        </w:rPr>
        <w:t>ponderuar</w:t>
      </w:r>
      <w:r w:rsidR="00AD65B0">
        <w:rPr>
          <w:rFonts w:asciiTheme="majorHAnsi" w:hAnsiTheme="majorHAnsi"/>
          <w:sz w:val="21"/>
          <w:szCs w:val="21"/>
          <w:lang w:eastAsia="en-GB"/>
        </w:rPr>
        <w:t xml:space="preserve"> i</w:t>
      </w:r>
      <w:r w:rsidRPr="004D2E1C">
        <w:rPr>
          <w:rFonts w:asciiTheme="majorHAnsi" w:hAnsiTheme="majorHAnsi"/>
          <w:sz w:val="21"/>
          <w:szCs w:val="21"/>
          <w:lang w:eastAsia="en-GB"/>
        </w:rPr>
        <w:t xml:space="preserve"> llogaritur' </w:t>
      </w:r>
      <w:r w:rsidR="00AD65B0">
        <w:rPr>
          <w:rFonts w:asciiTheme="majorHAnsi" w:hAnsiTheme="majorHAnsi"/>
          <w:sz w:val="21"/>
          <w:szCs w:val="21"/>
          <w:lang w:eastAsia="en-GB"/>
        </w:rPr>
        <w:t xml:space="preserve">i </w:t>
      </w:r>
      <w:r w:rsidRPr="004D2E1C">
        <w:rPr>
          <w:rFonts w:asciiTheme="majorHAnsi" w:hAnsiTheme="majorHAnsi"/>
          <w:sz w:val="21"/>
          <w:szCs w:val="21"/>
          <w:lang w:eastAsia="en-GB"/>
        </w:rPr>
        <w:t xml:space="preserve">komunës (në kolonën 7) </w:t>
      </w:r>
      <w:r w:rsidR="00AD65B0">
        <w:rPr>
          <w:rFonts w:asciiTheme="majorHAnsi" w:hAnsiTheme="majorHAnsi"/>
          <w:sz w:val="21"/>
          <w:szCs w:val="21"/>
          <w:lang w:eastAsia="en-GB"/>
        </w:rPr>
        <w:t xml:space="preserve">pastaj </w:t>
      </w:r>
      <w:r w:rsidR="009340E1" w:rsidRPr="004D2E1C">
        <w:rPr>
          <w:rFonts w:asciiTheme="majorHAnsi" w:hAnsiTheme="majorHAnsi"/>
          <w:sz w:val="21"/>
          <w:szCs w:val="21"/>
          <w:lang w:eastAsia="en-GB"/>
        </w:rPr>
        <w:t>pjesëtohe</w:t>
      </w:r>
      <w:r w:rsidR="00AD65B0">
        <w:rPr>
          <w:rFonts w:asciiTheme="majorHAnsi" w:hAnsiTheme="majorHAnsi"/>
          <w:sz w:val="21"/>
          <w:szCs w:val="21"/>
          <w:lang w:eastAsia="en-GB"/>
        </w:rPr>
        <w:t>t</w:t>
      </w:r>
      <w:r w:rsidRPr="004D2E1C">
        <w:rPr>
          <w:rFonts w:asciiTheme="majorHAnsi" w:hAnsiTheme="majorHAnsi"/>
          <w:sz w:val="21"/>
          <w:szCs w:val="21"/>
          <w:lang w:eastAsia="en-GB"/>
        </w:rPr>
        <w:t xml:space="preserve"> me totalin e '</w:t>
      </w:r>
      <w:r w:rsidR="009340E1" w:rsidRPr="004D2E1C">
        <w:rPr>
          <w:rFonts w:asciiTheme="majorHAnsi" w:hAnsiTheme="majorHAnsi"/>
          <w:sz w:val="21"/>
          <w:szCs w:val="21"/>
          <w:lang w:eastAsia="en-GB"/>
        </w:rPr>
        <w:t>rezultat</w:t>
      </w:r>
      <w:r w:rsidR="00AD65B0">
        <w:rPr>
          <w:rFonts w:asciiTheme="majorHAnsi" w:hAnsiTheme="majorHAnsi"/>
          <w:sz w:val="21"/>
          <w:szCs w:val="21"/>
          <w:lang w:eastAsia="en-GB"/>
        </w:rPr>
        <w:t xml:space="preserve">it </w:t>
      </w:r>
      <w:r w:rsidRPr="004D2E1C">
        <w:rPr>
          <w:rFonts w:asciiTheme="majorHAnsi" w:hAnsiTheme="majorHAnsi"/>
          <w:sz w:val="21"/>
          <w:szCs w:val="21"/>
          <w:lang w:eastAsia="en-GB"/>
        </w:rPr>
        <w:t>të ponderuara të llogaritur' (</w:t>
      </w:r>
      <w:r w:rsidR="009340E1" w:rsidRPr="004D2E1C">
        <w:rPr>
          <w:rFonts w:asciiTheme="majorHAnsi" w:hAnsiTheme="majorHAnsi"/>
          <w:sz w:val="21"/>
          <w:szCs w:val="21"/>
          <w:lang w:eastAsia="en-GB"/>
        </w:rPr>
        <w:t>d.m.th.</w:t>
      </w:r>
      <w:r w:rsidRPr="004D2E1C">
        <w:rPr>
          <w:rFonts w:asciiTheme="majorHAnsi" w:hAnsiTheme="majorHAnsi"/>
          <w:sz w:val="21"/>
          <w:szCs w:val="21"/>
          <w:lang w:eastAsia="en-GB"/>
        </w:rPr>
        <w:t xml:space="preserve"> totalin e kolonës 7), për të marrë '</w:t>
      </w:r>
      <w:r w:rsidR="009340E1" w:rsidRPr="004D2E1C">
        <w:rPr>
          <w:rFonts w:asciiTheme="majorHAnsi" w:hAnsiTheme="majorHAnsi"/>
          <w:sz w:val="21"/>
          <w:szCs w:val="21"/>
          <w:lang w:eastAsia="en-GB"/>
        </w:rPr>
        <w:t>pjesën relative të rezultatit të</w:t>
      </w:r>
      <w:r w:rsidRPr="004D2E1C">
        <w:rPr>
          <w:rFonts w:asciiTheme="majorHAnsi" w:hAnsiTheme="majorHAnsi"/>
          <w:sz w:val="21"/>
          <w:szCs w:val="21"/>
          <w:lang w:eastAsia="en-GB"/>
        </w:rPr>
        <w:t xml:space="preserve"> ponderuar </w:t>
      </w:r>
      <w:r w:rsidR="009340E1" w:rsidRPr="004D2E1C">
        <w:rPr>
          <w:rFonts w:asciiTheme="majorHAnsi" w:hAnsiTheme="majorHAnsi"/>
          <w:sz w:val="21"/>
          <w:szCs w:val="21"/>
          <w:lang w:eastAsia="en-GB"/>
        </w:rPr>
        <w:t xml:space="preserve">' </w:t>
      </w:r>
      <w:r w:rsidRPr="004D2E1C">
        <w:rPr>
          <w:rFonts w:asciiTheme="majorHAnsi" w:hAnsiTheme="majorHAnsi"/>
          <w:sz w:val="21"/>
          <w:szCs w:val="21"/>
          <w:lang w:eastAsia="en-GB"/>
        </w:rPr>
        <w:t>(kolona 8);</w:t>
      </w:r>
    </w:p>
    <w:p w14:paraId="2CA1BBA8" w14:textId="77777777" w:rsidR="00CF24DF" w:rsidRDefault="00CF24DF" w:rsidP="009A3BEC">
      <w:pPr>
        <w:numPr>
          <w:ilvl w:val="0"/>
          <w:numId w:val="19"/>
        </w:numPr>
        <w:spacing w:before="6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lastRenderedPageBreak/>
        <w:t xml:space="preserve"> Përfundimisht, k</w:t>
      </w:r>
      <w:r w:rsidR="009340E1" w:rsidRPr="004D2E1C">
        <w:rPr>
          <w:rFonts w:asciiTheme="majorHAnsi" w:hAnsiTheme="majorHAnsi"/>
          <w:sz w:val="21"/>
          <w:szCs w:val="21"/>
          <w:lang w:eastAsia="en-GB"/>
        </w:rPr>
        <w:t>jo</w:t>
      </w:r>
      <w:r w:rsidRPr="004D2E1C">
        <w:rPr>
          <w:rFonts w:asciiTheme="majorHAnsi" w:hAnsiTheme="majorHAnsi"/>
          <w:sz w:val="21"/>
          <w:szCs w:val="21"/>
          <w:lang w:eastAsia="en-GB"/>
        </w:rPr>
        <w:t xml:space="preserve"> "pjes</w:t>
      </w:r>
      <w:r w:rsidR="009340E1" w:rsidRPr="004D2E1C">
        <w:rPr>
          <w:rFonts w:asciiTheme="majorHAnsi" w:hAnsiTheme="majorHAnsi"/>
          <w:sz w:val="21"/>
          <w:szCs w:val="21"/>
          <w:lang w:eastAsia="en-GB"/>
        </w:rPr>
        <w:t>ë</w:t>
      </w:r>
      <w:r w:rsidRPr="004D2E1C">
        <w:rPr>
          <w:rFonts w:asciiTheme="majorHAnsi" w:hAnsiTheme="majorHAnsi"/>
          <w:sz w:val="21"/>
          <w:szCs w:val="21"/>
          <w:lang w:eastAsia="en-GB"/>
        </w:rPr>
        <w:t xml:space="preserve"> relative e </w:t>
      </w:r>
      <w:r w:rsidR="009340E1" w:rsidRPr="004D2E1C">
        <w:rPr>
          <w:rFonts w:asciiTheme="majorHAnsi" w:hAnsiTheme="majorHAnsi"/>
          <w:sz w:val="21"/>
          <w:szCs w:val="21"/>
          <w:lang w:eastAsia="en-GB"/>
        </w:rPr>
        <w:t>rezultatit</w:t>
      </w:r>
      <w:r w:rsidRPr="004D2E1C">
        <w:rPr>
          <w:rFonts w:asciiTheme="majorHAnsi" w:hAnsiTheme="majorHAnsi"/>
          <w:sz w:val="21"/>
          <w:szCs w:val="21"/>
          <w:lang w:eastAsia="en-GB"/>
        </w:rPr>
        <w:t xml:space="preserve"> të ponderuar" shumëzohe</w:t>
      </w:r>
      <w:r w:rsidR="009340E1" w:rsidRPr="004D2E1C">
        <w:rPr>
          <w:rFonts w:asciiTheme="majorHAnsi" w:hAnsiTheme="majorHAnsi"/>
          <w:sz w:val="21"/>
          <w:szCs w:val="21"/>
          <w:lang w:eastAsia="en-GB"/>
        </w:rPr>
        <w:t xml:space="preserve">t </w:t>
      </w:r>
      <w:r w:rsidRPr="004D2E1C">
        <w:rPr>
          <w:rFonts w:asciiTheme="majorHAnsi" w:hAnsiTheme="majorHAnsi"/>
          <w:sz w:val="21"/>
          <w:szCs w:val="21"/>
          <w:lang w:eastAsia="en-GB"/>
        </w:rPr>
        <w:t xml:space="preserve">me shumën totale të fondeve të disponueshme për grantin e </w:t>
      </w:r>
      <w:r w:rsidR="00674C44">
        <w:rPr>
          <w:rFonts w:asciiTheme="majorHAnsi" w:hAnsiTheme="majorHAnsi"/>
          <w:sz w:val="21"/>
          <w:szCs w:val="21"/>
          <w:lang w:eastAsia="en-GB"/>
        </w:rPr>
        <w:t>performancës komunale</w:t>
      </w:r>
      <w:r w:rsidRPr="004D2E1C">
        <w:rPr>
          <w:rFonts w:asciiTheme="majorHAnsi" w:hAnsiTheme="majorHAnsi"/>
          <w:sz w:val="21"/>
          <w:szCs w:val="21"/>
          <w:lang w:eastAsia="en-GB"/>
        </w:rPr>
        <w:t xml:space="preserve"> në një vit (shuma totale e grantit të </w:t>
      </w:r>
      <w:r w:rsidR="00674C44">
        <w:rPr>
          <w:rFonts w:asciiTheme="majorHAnsi" w:hAnsiTheme="majorHAnsi"/>
          <w:sz w:val="21"/>
          <w:szCs w:val="21"/>
          <w:lang w:eastAsia="en-GB"/>
        </w:rPr>
        <w:t>performancës komunale</w:t>
      </w:r>
      <w:r w:rsidRPr="004D2E1C">
        <w:rPr>
          <w:rFonts w:asciiTheme="majorHAnsi" w:hAnsiTheme="majorHAnsi"/>
          <w:sz w:val="21"/>
          <w:szCs w:val="21"/>
          <w:lang w:eastAsia="en-GB"/>
        </w:rPr>
        <w:t xml:space="preserve">). Kjo çon në </w:t>
      </w:r>
      <w:r w:rsidR="009340E1" w:rsidRPr="004D2E1C">
        <w:rPr>
          <w:rFonts w:asciiTheme="majorHAnsi" w:hAnsiTheme="majorHAnsi"/>
          <w:sz w:val="21"/>
          <w:szCs w:val="21"/>
          <w:lang w:eastAsia="en-GB"/>
        </w:rPr>
        <w:t>ndarjen/alokimin e</w:t>
      </w:r>
      <w:r w:rsidRPr="004D2E1C">
        <w:rPr>
          <w:rFonts w:asciiTheme="majorHAnsi" w:hAnsiTheme="majorHAnsi"/>
          <w:sz w:val="21"/>
          <w:szCs w:val="21"/>
          <w:lang w:eastAsia="en-GB"/>
        </w:rPr>
        <w:t xml:space="preserve"> grantit të performancës komunale siç pasqyrohet në kolonën 9. </w:t>
      </w:r>
    </w:p>
    <w:p w14:paraId="53A8F8F1" w14:textId="72CD04ED" w:rsidR="000079E8" w:rsidRDefault="000079E8" w:rsidP="000079E8">
      <w:pPr>
        <w:spacing w:before="60" w:line="252" w:lineRule="auto"/>
        <w:jc w:val="both"/>
        <w:rPr>
          <w:rFonts w:asciiTheme="majorHAnsi" w:hAnsiTheme="majorHAnsi"/>
          <w:sz w:val="21"/>
          <w:szCs w:val="21"/>
          <w:lang w:eastAsia="en-GB"/>
        </w:rPr>
      </w:pPr>
    </w:p>
    <w:p w14:paraId="199BBE83" w14:textId="1C88E3E4" w:rsidR="004A2B83" w:rsidRDefault="006F502B" w:rsidP="000079E8">
      <w:pPr>
        <w:spacing w:before="60" w:line="252" w:lineRule="auto"/>
        <w:jc w:val="both"/>
        <w:rPr>
          <w:rFonts w:asciiTheme="majorHAnsi" w:hAnsiTheme="majorHAnsi"/>
          <w:sz w:val="21"/>
          <w:szCs w:val="21"/>
          <w:lang w:eastAsia="en-GB"/>
        </w:rPr>
      </w:pPr>
      <w:r w:rsidRPr="006F502B">
        <w:drawing>
          <wp:inline distT="0" distB="0" distL="0" distR="0" wp14:anchorId="5E3837AB" wp14:editId="2ACE2C2D">
            <wp:extent cx="5276215" cy="48672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215" cy="4867275"/>
                    </a:xfrm>
                    <a:prstGeom prst="rect">
                      <a:avLst/>
                    </a:prstGeom>
                    <a:noFill/>
                    <a:ln>
                      <a:noFill/>
                    </a:ln>
                  </pic:spPr>
                </pic:pic>
              </a:graphicData>
            </a:graphic>
          </wp:inline>
        </w:drawing>
      </w:r>
    </w:p>
    <w:p w14:paraId="563A0C3E" w14:textId="77777777" w:rsidR="004A2B83" w:rsidRDefault="004A2B83" w:rsidP="000079E8">
      <w:pPr>
        <w:jc w:val="both"/>
        <w:rPr>
          <w:rFonts w:asciiTheme="majorHAnsi" w:hAnsiTheme="majorHAnsi" w:cstheme="majorBidi"/>
          <w:sz w:val="21"/>
          <w:szCs w:val="21"/>
        </w:rPr>
      </w:pPr>
    </w:p>
    <w:p w14:paraId="06AEDB8D" w14:textId="6CF1DC9F" w:rsidR="000079E8" w:rsidRPr="00B9588F" w:rsidRDefault="000079E8" w:rsidP="000079E8">
      <w:pPr>
        <w:jc w:val="both"/>
        <w:rPr>
          <w:rFonts w:asciiTheme="majorHAnsi" w:hAnsiTheme="majorHAnsi" w:cstheme="majorHAnsi"/>
          <w:color w:val="000000" w:themeColor="text1"/>
          <w:sz w:val="21"/>
          <w:szCs w:val="21"/>
        </w:rPr>
      </w:pPr>
      <w:r w:rsidRPr="07D96137">
        <w:rPr>
          <w:rFonts w:asciiTheme="majorHAnsi" w:hAnsiTheme="majorHAnsi" w:cstheme="majorBidi"/>
          <w:sz w:val="21"/>
          <w:szCs w:val="21"/>
        </w:rPr>
        <w:t xml:space="preserve">Kolona 10 tregon ndarjen e grantit për secilën komunë si përqindje e ndarjes së grantit të </w:t>
      </w:r>
      <w:r w:rsidRPr="07D96137">
        <w:rPr>
          <w:rFonts w:asciiTheme="majorHAnsi" w:hAnsiTheme="majorHAnsi" w:cstheme="majorBidi"/>
          <w:color w:val="000000" w:themeColor="text1"/>
          <w:sz w:val="21"/>
          <w:szCs w:val="21"/>
        </w:rPr>
        <w:t>përgjithshëm (kolona 3). Në këtë shembull, kjo tregon që të gjitha komunat marrin një rritje</w:t>
      </w:r>
      <w:r w:rsidR="00445B71">
        <w:rPr>
          <w:rFonts w:asciiTheme="majorHAnsi" w:hAnsiTheme="majorHAnsi" w:cstheme="majorBidi"/>
          <w:color w:val="000000" w:themeColor="text1"/>
          <w:sz w:val="21"/>
          <w:szCs w:val="21"/>
        </w:rPr>
        <w:t xml:space="preserve"> </w:t>
      </w:r>
      <w:r w:rsidR="00445B71" w:rsidRPr="00B9588F">
        <w:rPr>
          <w:rFonts w:asciiTheme="majorHAnsi" w:hAnsiTheme="majorHAnsi" w:cstheme="majorBidi"/>
          <w:color w:val="000000" w:themeColor="text1"/>
          <w:sz w:val="21"/>
          <w:szCs w:val="21"/>
        </w:rPr>
        <w:t>mesatare</w:t>
      </w:r>
      <w:r w:rsidRPr="00B9588F">
        <w:rPr>
          <w:rFonts w:asciiTheme="majorHAnsi" w:hAnsiTheme="majorHAnsi" w:cstheme="majorBidi"/>
          <w:color w:val="000000" w:themeColor="text1"/>
          <w:sz w:val="21"/>
          <w:szCs w:val="21"/>
        </w:rPr>
        <w:t xml:space="preserve"> prej </w:t>
      </w:r>
      <w:r w:rsidR="007C1C4A" w:rsidRPr="00B9588F">
        <w:rPr>
          <w:rFonts w:asciiTheme="majorHAnsi" w:hAnsiTheme="majorHAnsi" w:cstheme="majorBidi"/>
          <w:color w:val="000000" w:themeColor="text1"/>
          <w:sz w:val="21"/>
          <w:szCs w:val="21"/>
        </w:rPr>
        <w:t>3.</w:t>
      </w:r>
      <w:r w:rsidR="00416ED3">
        <w:rPr>
          <w:rFonts w:asciiTheme="majorHAnsi" w:hAnsiTheme="majorHAnsi" w:cstheme="majorBidi"/>
          <w:color w:val="000000" w:themeColor="text1"/>
          <w:sz w:val="21"/>
          <w:szCs w:val="21"/>
        </w:rPr>
        <w:t>05</w:t>
      </w:r>
      <w:r w:rsidRPr="00B9588F">
        <w:rPr>
          <w:rFonts w:asciiTheme="majorHAnsi" w:hAnsiTheme="majorHAnsi" w:cstheme="majorBidi"/>
          <w:color w:val="000000" w:themeColor="text1"/>
          <w:sz w:val="21"/>
          <w:szCs w:val="21"/>
        </w:rPr>
        <w:t>% në ndarjen e grantit të përgjithshëm.</w:t>
      </w:r>
      <w:r w:rsidRPr="00B9588F">
        <w:rPr>
          <w:rFonts w:asciiTheme="majorHAnsi" w:hAnsiTheme="majorHAnsi" w:cstheme="majorBidi"/>
          <w:color w:val="000000" w:themeColor="text1"/>
          <w:sz w:val="21"/>
          <w:szCs w:val="21"/>
          <w:vertAlign w:val="superscript"/>
          <w:lang w:eastAsia="en-GB"/>
        </w:rPr>
        <w:t xml:space="preserve"> </w:t>
      </w:r>
      <w:r w:rsidRPr="00B9588F">
        <w:rPr>
          <w:rFonts w:asciiTheme="majorHAnsi" w:hAnsiTheme="majorHAnsi" w:cstheme="majorBidi"/>
          <w:color w:val="000000" w:themeColor="text1"/>
          <w:sz w:val="21"/>
          <w:szCs w:val="21"/>
          <w:vertAlign w:val="superscript"/>
          <w:lang w:eastAsia="en-GB"/>
        </w:rPr>
        <w:footnoteReference w:id="12"/>
      </w:r>
      <w:r w:rsidRPr="00B9588F">
        <w:rPr>
          <w:rFonts w:asciiTheme="majorHAnsi" w:hAnsiTheme="majorHAnsi" w:cstheme="majorBidi"/>
          <w:color w:val="000000" w:themeColor="text1"/>
          <w:sz w:val="21"/>
          <w:szCs w:val="21"/>
          <w:lang w:eastAsia="en-GB"/>
        </w:rPr>
        <w:t xml:space="preserve"> </w:t>
      </w:r>
      <w:r w:rsidRPr="00B9588F">
        <w:rPr>
          <w:rFonts w:asciiTheme="majorHAnsi" w:hAnsiTheme="majorHAnsi" w:cstheme="majorBidi"/>
          <w:color w:val="000000" w:themeColor="text1"/>
          <w:sz w:val="21"/>
          <w:szCs w:val="21"/>
        </w:rPr>
        <w:t xml:space="preserve">  </w:t>
      </w:r>
    </w:p>
    <w:p w14:paraId="7D295B61" w14:textId="77777777" w:rsidR="000079E8" w:rsidRPr="00B9588F" w:rsidRDefault="000079E8" w:rsidP="000079E8">
      <w:pPr>
        <w:jc w:val="both"/>
        <w:rPr>
          <w:rFonts w:asciiTheme="majorHAnsi" w:hAnsiTheme="majorHAnsi" w:cstheme="majorHAnsi"/>
          <w:sz w:val="21"/>
          <w:szCs w:val="21"/>
        </w:rPr>
      </w:pPr>
      <w:r w:rsidRPr="00B9588F">
        <w:rPr>
          <w:rFonts w:asciiTheme="majorHAnsi" w:hAnsiTheme="majorHAnsi" w:cstheme="majorHAnsi"/>
          <w:color w:val="000000" w:themeColor="text1"/>
          <w:sz w:val="21"/>
          <w:szCs w:val="21"/>
        </w:rPr>
        <w:t xml:space="preserve">Kolona </w:t>
      </w:r>
      <w:r w:rsidRPr="00B9588F">
        <w:rPr>
          <w:rFonts w:asciiTheme="majorHAnsi" w:hAnsiTheme="majorHAnsi" w:cstheme="majorHAnsi"/>
          <w:sz w:val="21"/>
          <w:szCs w:val="21"/>
        </w:rPr>
        <w:t xml:space="preserve">11 tregon ndarjen e shpërblimit duke supozuar që të gjitha komunat kanë performancë të njëjtë. </w:t>
      </w:r>
    </w:p>
    <w:p w14:paraId="36A38A0E" w14:textId="77777777" w:rsidR="000079E8" w:rsidRPr="00B9588F" w:rsidRDefault="000079E8" w:rsidP="000079E8">
      <w:pPr>
        <w:jc w:val="both"/>
        <w:rPr>
          <w:rFonts w:asciiTheme="majorHAnsi" w:hAnsiTheme="majorHAnsi" w:cstheme="majorHAnsi"/>
          <w:sz w:val="21"/>
          <w:szCs w:val="21"/>
        </w:rPr>
      </w:pPr>
      <w:r w:rsidRPr="00B9588F">
        <w:rPr>
          <w:rFonts w:asciiTheme="majorHAnsi" w:hAnsiTheme="majorHAnsi" w:cstheme="majorHAnsi"/>
          <w:sz w:val="21"/>
          <w:szCs w:val="21"/>
        </w:rPr>
        <w:t xml:space="preserve">Kolona 12 tregon vlerën totale të grantit të performancës komunale për secilën komunë pas ndarjes së shpërbilimit. Pra kolonës 9 – vlera e kalkuluar për GPK i shtohet shuma e shpërblimit dhe na jep totalin e vlerës së GPK për secilën komunë.  </w:t>
      </w:r>
    </w:p>
    <w:p w14:paraId="3AF411A1" w14:textId="5D82252C" w:rsidR="000079E8" w:rsidRPr="00B9588F" w:rsidRDefault="000079E8" w:rsidP="000079E8">
      <w:pPr>
        <w:jc w:val="both"/>
        <w:rPr>
          <w:rFonts w:asciiTheme="majorHAnsi" w:hAnsiTheme="majorHAnsi" w:cstheme="majorHAnsi"/>
          <w:color w:val="000000" w:themeColor="text1"/>
          <w:sz w:val="21"/>
          <w:szCs w:val="21"/>
        </w:rPr>
      </w:pPr>
      <w:r w:rsidRPr="00B9588F">
        <w:rPr>
          <w:rFonts w:asciiTheme="majorHAnsi" w:hAnsiTheme="majorHAnsi" w:cstheme="majorHAnsi"/>
          <w:sz w:val="21"/>
          <w:szCs w:val="21"/>
        </w:rPr>
        <w:lastRenderedPageBreak/>
        <w:t xml:space="preserve">Kolona 13 tregon ndarjen e grantit për secilën komunë si përqindje e ndarjes së grantit të </w:t>
      </w:r>
      <w:r w:rsidRPr="00B9588F">
        <w:rPr>
          <w:rFonts w:asciiTheme="majorHAnsi" w:hAnsiTheme="majorHAnsi" w:cstheme="majorHAnsi"/>
          <w:color w:val="000000" w:themeColor="text1"/>
          <w:sz w:val="21"/>
          <w:szCs w:val="21"/>
        </w:rPr>
        <w:t xml:space="preserve">përgjithshëm (kolona 3). Në këtë shembull, kjo tregon që të gjitha komunat marrin një rritje prej </w:t>
      </w:r>
      <w:r w:rsidR="004A2B83" w:rsidRPr="00CD55EA">
        <w:rPr>
          <w:rFonts w:asciiTheme="majorHAnsi" w:hAnsiTheme="majorHAnsi" w:cstheme="majorHAnsi"/>
          <w:color w:val="000000" w:themeColor="text1"/>
          <w:sz w:val="21"/>
          <w:szCs w:val="21"/>
        </w:rPr>
        <w:t>2.8</w:t>
      </w:r>
      <w:r w:rsidRPr="00B9588F">
        <w:rPr>
          <w:rFonts w:asciiTheme="majorHAnsi" w:hAnsiTheme="majorHAnsi" w:cstheme="majorHAnsi"/>
          <w:color w:val="000000" w:themeColor="text1"/>
          <w:sz w:val="21"/>
          <w:szCs w:val="21"/>
        </w:rPr>
        <w:t>%-</w:t>
      </w:r>
      <w:r w:rsidR="004A2B83" w:rsidRPr="00CD55EA">
        <w:rPr>
          <w:rFonts w:asciiTheme="majorHAnsi" w:hAnsiTheme="majorHAnsi" w:cstheme="majorHAnsi"/>
          <w:color w:val="000000" w:themeColor="text1"/>
          <w:sz w:val="21"/>
          <w:szCs w:val="21"/>
        </w:rPr>
        <w:t>6.</w:t>
      </w:r>
      <w:r w:rsidR="006F502B">
        <w:rPr>
          <w:rFonts w:asciiTheme="majorHAnsi" w:hAnsiTheme="majorHAnsi" w:cstheme="majorHAnsi"/>
          <w:color w:val="000000" w:themeColor="text1"/>
          <w:sz w:val="21"/>
          <w:szCs w:val="21"/>
        </w:rPr>
        <w:t>5</w:t>
      </w:r>
      <w:r w:rsidRPr="00B9588F">
        <w:rPr>
          <w:rFonts w:asciiTheme="majorHAnsi" w:hAnsiTheme="majorHAnsi" w:cstheme="majorHAnsi"/>
          <w:color w:val="000000" w:themeColor="text1"/>
          <w:sz w:val="21"/>
          <w:szCs w:val="21"/>
        </w:rPr>
        <w:t>% në ndarjen e grantit të përgjithshëm.</w:t>
      </w:r>
    </w:p>
    <w:p w14:paraId="40551F76" w14:textId="77777777" w:rsidR="000079E8" w:rsidRPr="000079E8" w:rsidRDefault="000079E8" w:rsidP="000079E8">
      <w:pPr>
        <w:jc w:val="both"/>
        <w:rPr>
          <w:rFonts w:asciiTheme="majorHAnsi" w:hAnsiTheme="majorHAnsi" w:cstheme="majorHAnsi"/>
          <w:sz w:val="21"/>
          <w:szCs w:val="21"/>
        </w:rPr>
      </w:pPr>
      <w:r w:rsidRPr="00B9588F">
        <w:rPr>
          <w:rFonts w:asciiTheme="majorHAnsi" w:hAnsiTheme="majorHAnsi" w:cstheme="majorHAnsi"/>
          <w:color w:val="000000" w:themeColor="text1"/>
          <w:sz w:val="21"/>
          <w:szCs w:val="21"/>
        </w:rPr>
        <w:t>Në fakt, dhe pasi që jo të</w:t>
      </w:r>
      <w:r w:rsidRPr="00F421DA">
        <w:rPr>
          <w:rFonts w:asciiTheme="majorHAnsi" w:hAnsiTheme="majorHAnsi" w:cstheme="majorHAnsi"/>
          <w:color w:val="000000" w:themeColor="text1"/>
          <w:sz w:val="21"/>
          <w:szCs w:val="21"/>
        </w:rPr>
        <w:t xml:space="preserve"> gjitha komunat do të përmbushin tre kushtet minimale, parashikohet që përmes grantit të performancës komunale, komunat me një rezultat mbi mesataren do të shohin një rritje </w:t>
      </w:r>
      <w:r w:rsidRPr="000079E8">
        <w:rPr>
          <w:rFonts w:asciiTheme="majorHAnsi" w:hAnsiTheme="majorHAnsi" w:cstheme="majorHAnsi"/>
          <w:sz w:val="21"/>
          <w:szCs w:val="21"/>
        </w:rPr>
        <w:t>të ndjeshme në buxhetin e tyre kapital.</w:t>
      </w:r>
    </w:p>
    <w:p w14:paraId="1CA4C0C5" w14:textId="77777777" w:rsidR="000079E8" w:rsidRPr="000079E8" w:rsidRDefault="000079E8" w:rsidP="000079E8">
      <w:pPr>
        <w:jc w:val="both"/>
        <w:rPr>
          <w:rFonts w:asciiTheme="majorHAnsi" w:hAnsiTheme="majorHAnsi" w:cstheme="majorHAnsi"/>
          <w:sz w:val="21"/>
          <w:szCs w:val="21"/>
        </w:rPr>
      </w:pPr>
      <w:r w:rsidRPr="000079E8">
        <w:rPr>
          <w:rFonts w:asciiTheme="majorHAnsi" w:hAnsiTheme="majorHAnsi" w:cstheme="majorHAnsi"/>
          <w:sz w:val="21"/>
          <w:szCs w:val="21"/>
        </w:rPr>
        <w:t>Tabela e mësipërme është në dispozicion si një tabelë punuese në Excel për ata që janë të interesuar.</w:t>
      </w:r>
    </w:p>
    <w:p w14:paraId="7784034E" w14:textId="77777777" w:rsidR="000079E8" w:rsidRPr="000079E8" w:rsidRDefault="000079E8" w:rsidP="000079E8">
      <w:pPr>
        <w:spacing w:before="60" w:line="252" w:lineRule="auto"/>
        <w:jc w:val="both"/>
        <w:rPr>
          <w:rFonts w:asciiTheme="majorHAnsi" w:hAnsiTheme="majorHAnsi" w:cstheme="majorHAnsi"/>
          <w:sz w:val="21"/>
          <w:szCs w:val="21"/>
          <w:lang w:eastAsia="en-GB"/>
        </w:rPr>
      </w:pPr>
    </w:p>
    <w:p w14:paraId="1E7FBAF4" w14:textId="77777777" w:rsidR="0026326F" w:rsidRPr="004D2E1C" w:rsidRDefault="0026326F" w:rsidP="00CF24DF">
      <w:pPr>
        <w:spacing w:before="80" w:line="252" w:lineRule="auto"/>
        <w:jc w:val="both"/>
        <w:rPr>
          <w:rFonts w:asciiTheme="majorHAnsi" w:hAnsiTheme="majorHAnsi"/>
          <w:sz w:val="21"/>
          <w:szCs w:val="21"/>
        </w:rPr>
      </w:pPr>
    </w:p>
    <w:p w14:paraId="2533E09C" w14:textId="122A2B09" w:rsidR="00CF24DF" w:rsidRPr="004D2E1C" w:rsidRDefault="00CF24DF" w:rsidP="00CF24DF">
      <w:pPr>
        <w:rPr>
          <w:rFonts w:ascii="Arial" w:hAnsi="Arial" w:cs="Arial"/>
          <w:b/>
          <w:color w:val="C0504D"/>
          <w:sz w:val="28"/>
          <w:szCs w:val="28"/>
        </w:rPr>
      </w:pPr>
      <w:r w:rsidRPr="004D2E1C">
        <w:rPr>
          <w:rFonts w:ascii="Arial" w:hAnsi="Arial" w:cs="Arial"/>
          <w:b/>
          <w:color w:val="C0504D"/>
          <w:sz w:val="28"/>
          <w:szCs w:val="28"/>
        </w:rPr>
        <w:br w:type="page"/>
      </w:r>
    </w:p>
    <w:p w14:paraId="523C7C77" w14:textId="77777777" w:rsidR="00B25DF6" w:rsidRPr="00D47B0D" w:rsidRDefault="00B25DF6" w:rsidP="00B25DF6">
      <w:pPr>
        <w:pStyle w:val="Heading1"/>
        <w:shd w:val="clear" w:color="auto" w:fill="D55635"/>
        <w:tabs>
          <w:tab w:val="left" w:pos="540"/>
        </w:tabs>
        <w:rPr>
          <w:rFonts w:asciiTheme="majorHAnsi" w:hAnsiTheme="majorHAnsi"/>
          <w:color w:val="FFFFFF" w:themeColor="background1"/>
          <w:sz w:val="32"/>
          <w:szCs w:val="32"/>
        </w:rPr>
      </w:pPr>
      <w:bookmarkStart w:id="90" w:name="Textbaustein"/>
      <w:bookmarkStart w:id="91" w:name="mfg"/>
      <w:bookmarkStart w:id="92" w:name="Vertreter"/>
      <w:bookmarkStart w:id="93" w:name="po"/>
      <w:bookmarkStart w:id="94" w:name="Unterschrift"/>
      <w:bookmarkStart w:id="95" w:name="_Toc61062546"/>
      <w:bookmarkStart w:id="96" w:name="_Toc517708897"/>
      <w:bookmarkStart w:id="97" w:name="_Toc31029018"/>
      <w:bookmarkStart w:id="98" w:name="_Toc31194816"/>
      <w:bookmarkEnd w:id="90"/>
      <w:bookmarkEnd w:id="91"/>
      <w:bookmarkEnd w:id="92"/>
      <w:bookmarkEnd w:id="93"/>
      <w:bookmarkEnd w:id="94"/>
      <w:proofErr w:type="spellStart"/>
      <w:r>
        <w:rPr>
          <w:rFonts w:asciiTheme="majorHAnsi" w:hAnsiTheme="majorHAnsi"/>
          <w:color w:val="FFFFFF" w:themeColor="background1"/>
          <w:sz w:val="32"/>
          <w:szCs w:val="32"/>
        </w:rPr>
        <w:lastRenderedPageBreak/>
        <w:t>Shtojca</w:t>
      </w:r>
      <w:proofErr w:type="spellEnd"/>
      <w:r>
        <w:rPr>
          <w:rFonts w:asciiTheme="majorHAnsi" w:hAnsiTheme="majorHAnsi"/>
          <w:color w:val="FFFFFF" w:themeColor="background1"/>
          <w:sz w:val="32"/>
          <w:szCs w:val="32"/>
        </w:rPr>
        <w:t xml:space="preserve"> </w:t>
      </w:r>
      <w:r w:rsidR="008507DD">
        <w:rPr>
          <w:rFonts w:asciiTheme="majorHAnsi" w:hAnsiTheme="majorHAnsi"/>
          <w:color w:val="FFFFFF" w:themeColor="background1"/>
          <w:sz w:val="32"/>
          <w:szCs w:val="32"/>
        </w:rPr>
        <w:t>5</w:t>
      </w:r>
      <w:r w:rsidRPr="00D47B0D">
        <w:rPr>
          <w:rFonts w:asciiTheme="majorHAnsi" w:hAnsiTheme="majorHAnsi"/>
          <w:color w:val="FFFFFF" w:themeColor="background1"/>
          <w:sz w:val="32"/>
          <w:szCs w:val="32"/>
        </w:rPr>
        <w:t xml:space="preserve">: </w:t>
      </w:r>
      <w:proofErr w:type="spellStart"/>
      <w:r w:rsidRPr="00D47B0D">
        <w:rPr>
          <w:rFonts w:asciiTheme="majorHAnsi" w:hAnsiTheme="majorHAnsi"/>
          <w:color w:val="FFFFFF" w:themeColor="background1"/>
          <w:sz w:val="32"/>
          <w:szCs w:val="32"/>
        </w:rPr>
        <w:t>Term</w:t>
      </w:r>
      <w:r>
        <w:rPr>
          <w:rFonts w:asciiTheme="majorHAnsi" w:hAnsiTheme="majorHAnsi"/>
          <w:color w:val="FFFFFF" w:themeColor="background1"/>
          <w:sz w:val="32"/>
          <w:szCs w:val="32"/>
        </w:rPr>
        <w:t>at</w:t>
      </w:r>
      <w:proofErr w:type="spellEnd"/>
      <w:r>
        <w:rPr>
          <w:rFonts w:asciiTheme="majorHAnsi" w:hAnsiTheme="majorHAnsi"/>
          <w:color w:val="FFFFFF" w:themeColor="background1"/>
          <w:sz w:val="32"/>
          <w:szCs w:val="32"/>
        </w:rPr>
        <w:t xml:space="preserve"> e </w:t>
      </w:r>
      <w:proofErr w:type="spellStart"/>
      <w:r>
        <w:rPr>
          <w:rFonts w:asciiTheme="majorHAnsi" w:hAnsiTheme="majorHAnsi"/>
          <w:color w:val="FFFFFF" w:themeColor="background1"/>
          <w:sz w:val="32"/>
          <w:szCs w:val="32"/>
        </w:rPr>
        <w:t>referencës</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Komisioni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i</w:t>
      </w:r>
      <w:proofErr w:type="spellEnd"/>
      <w:r>
        <w:rPr>
          <w:rFonts w:asciiTheme="majorHAnsi" w:hAnsiTheme="majorHAnsi"/>
          <w:color w:val="FFFFFF" w:themeColor="background1"/>
          <w:sz w:val="32"/>
          <w:szCs w:val="32"/>
        </w:rPr>
        <w:t xml:space="preserve"> GPK</w:t>
      </w:r>
      <w:bookmarkEnd w:id="95"/>
    </w:p>
    <w:p w14:paraId="757FB91E" w14:textId="77777777" w:rsidR="00B25DF6" w:rsidRPr="00D47B0D" w:rsidRDefault="00B25DF6" w:rsidP="00B25DF6"/>
    <w:p w14:paraId="3FEDB693" w14:textId="77777777" w:rsidR="00B25DF6" w:rsidRPr="00D47B0D" w:rsidRDefault="00B25DF6" w:rsidP="00B25DF6">
      <w:pPr>
        <w:rPr>
          <w:b/>
          <w:sz w:val="28"/>
        </w:rPr>
      </w:pPr>
      <w:r w:rsidRPr="00D86DF1">
        <w:rPr>
          <w:rFonts w:ascii="Cambria" w:hAnsi="Cambria"/>
          <w:b/>
          <w:noProof/>
          <w:sz w:val="22"/>
          <w:szCs w:val="22"/>
          <w:lang w:val="en-US"/>
        </w:rPr>
        <w:drawing>
          <wp:anchor distT="0" distB="0" distL="114300" distR="114300" simplePos="0" relativeHeight="251658243" behindDoc="0" locked="0" layoutInCell="1" allowOverlap="1" wp14:anchorId="4C26501D" wp14:editId="74DC3615">
            <wp:simplePos x="0" y="0"/>
            <wp:positionH relativeFrom="column">
              <wp:posOffset>-113665</wp:posOffset>
            </wp:positionH>
            <wp:positionV relativeFrom="paragraph">
              <wp:posOffset>186055</wp:posOffset>
            </wp:positionV>
            <wp:extent cx="813435" cy="801370"/>
            <wp:effectExtent l="0" t="0" r="0" b="11430"/>
            <wp:wrapSquare wrapText="bothSides"/>
            <wp:docPr id="12" name="Picture 1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1D81F6DA" w14:textId="77777777" w:rsidR="00B25DF6" w:rsidRPr="00D26EBC" w:rsidRDefault="00B25DF6" w:rsidP="00B25DF6">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14:paraId="1DE7CDAF" w14:textId="77777777" w:rsidR="00B25DF6" w:rsidRPr="00D26EBC" w:rsidRDefault="00B25DF6" w:rsidP="00B25DF6">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60CA66CC" w14:textId="77777777" w:rsidR="00B25DF6" w:rsidRPr="00D47B0D" w:rsidRDefault="00B25DF6" w:rsidP="00B25DF6">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4FD6911A" w14:textId="77777777" w:rsidR="00B25DF6" w:rsidRPr="00D47B0D" w:rsidRDefault="00B25DF6" w:rsidP="00B25DF6">
      <w:pPr>
        <w:rPr>
          <w:rFonts w:asciiTheme="majorHAnsi" w:hAnsiTheme="majorHAnsi" w:cs="Book Antiqua"/>
          <w:b/>
          <w:bCs/>
          <w:iCs/>
          <w:sz w:val="16"/>
          <w:szCs w:val="16"/>
          <w:lang w:eastAsia="de-CH"/>
        </w:rPr>
      </w:pPr>
    </w:p>
    <w:p w14:paraId="6B68BA0A"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2BB5FDFB"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7FDD52D5"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198857D9" w14:textId="77777777" w:rsidR="00B25DF6" w:rsidRPr="00D47B0D" w:rsidRDefault="00B25DF6" w:rsidP="00B25DF6">
      <w:pPr>
        <w:rPr>
          <w:rFonts w:ascii="Cambria" w:hAnsi="Cambria" w:cs="Arial"/>
          <w:sz w:val="22"/>
          <w:szCs w:val="22"/>
          <w:lang w:eastAsia="de-CH"/>
        </w:rPr>
      </w:pPr>
    </w:p>
    <w:p w14:paraId="1E9EE4D8" w14:textId="77777777" w:rsidR="00B25DF6" w:rsidRPr="00D47B0D" w:rsidRDefault="00B25DF6" w:rsidP="00B25DF6">
      <w:pPr>
        <w:rPr>
          <w:rFonts w:ascii="Calibri" w:hAnsi="Calibri" w:cs="Arial"/>
          <w:sz w:val="22"/>
          <w:szCs w:val="22"/>
          <w:lang w:eastAsia="de-CH"/>
        </w:rPr>
      </w:pPr>
    </w:p>
    <w:p w14:paraId="50BDF11C" w14:textId="77777777" w:rsidR="00B25DF6" w:rsidRPr="00D47B0D" w:rsidRDefault="00B25DF6" w:rsidP="00B25DF6">
      <w:pPr>
        <w:rPr>
          <w:rFonts w:ascii="Calibri" w:hAnsi="Calibri" w:cs="Arial"/>
          <w:b/>
          <w:sz w:val="22"/>
          <w:szCs w:val="22"/>
          <w:lang w:eastAsia="de-CH"/>
        </w:rPr>
      </w:pPr>
    </w:p>
    <w:p w14:paraId="21D79352" w14:textId="77777777" w:rsidR="00B25DF6" w:rsidRPr="00D47B0D" w:rsidRDefault="00B25DF6" w:rsidP="00B25DF6">
      <w:pPr>
        <w:rPr>
          <w:rFonts w:ascii="Calibri" w:hAnsi="Calibri" w:cs="Arial"/>
          <w:b/>
          <w:sz w:val="22"/>
          <w:szCs w:val="22"/>
          <w:lang w:eastAsia="de-CH"/>
        </w:rPr>
      </w:pPr>
    </w:p>
    <w:p w14:paraId="663B6397" w14:textId="77777777" w:rsidR="00B25DF6" w:rsidRPr="00D47B0D" w:rsidRDefault="00B25DF6" w:rsidP="00B25DF6">
      <w:pPr>
        <w:rPr>
          <w:rFonts w:ascii="Calibri" w:hAnsi="Calibri" w:cs="Arial"/>
          <w:b/>
          <w:sz w:val="22"/>
          <w:szCs w:val="22"/>
          <w:lang w:eastAsia="de-CH"/>
        </w:rPr>
      </w:pPr>
    </w:p>
    <w:p w14:paraId="0F68778B" w14:textId="77777777" w:rsidR="00B25DF6" w:rsidRPr="00D47B0D" w:rsidRDefault="00B25DF6" w:rsidP="00B25DF6">
      <w:pPr>
        <w:rPr>
          <w:rFonts w:ascii="Calibri" w:hAnsi="Calibri" w:cs="Arial"/>
          <w:b/>
          <w:sz w:val="22"/>
          <w:szCs w:val="22"/>
          <w:lang w:eastAsia="de-CH"/>
        </w:rPr>
      </w:pPr>
    </w:p>
    <w:p w14:paraId="35BEC140" w14:textId="77777777" w:rsidR="00B25DF6" w:rsidRPr="00D47B0D" w:rsidRDefault="00B25DF6" w:rsidP="00B25DF6">
      <w:pPr>
        <w:rPr>
          <w:rFonts w:ascii="Calibri" w:hAnsi="Calibri" w:cs="Arial"/>
          <w:b/>
          <w:sz w:val="22"/>
          <w:szCs w:val="22"/>
          <w:lang w:eastAsia="de-CH"/>
        </w:rPr>
      </w:pPr>
    </w:p>
    <w:p w14:paraId="72087F1A" w14:textId="77777777" w:rsidR="00B25DF6" w:rsidRPr="00D47B0D" w:rsidRDefault="00B25DF6" w:rsidP="00B25DF6">
      <w:pPr>
        <w:rPr>
          <w:rFonts w:ascii="Calibri" w:hAnsi="Calibri" w:cs="Arial"/>
          <w:sz w:val="22"/>
          <w:szCs w:val="22"/>
          <w:lang w:eastAsia="de-CH"/>
        </w:rPr>
      </w:pPr>
    </w:p>
    <w:p w14:paraId="4B00F3E4" w14:textId="77777777" w:rsidR="00B25DF6" w:rsidRPr="00D47B0D" w:rsidRDefault="00B25DF6" w:rsidP="00B25DF6">
      <w:pPr>
        <w:rPr>
          <w:rFonts w:ascii="Calibri" w:hAnsi="Calibri" w:cs="Arial"/>
          <w:sz w:val="32"/>
          <w:szCs w:val="32"/>
          <w:lang w:eastAsia="de-CH"/>
        </w:rPr>
      </w:pPr>
    </w:p>
    <w:p w14:paraId="7E995DF2" w14:textId="77777777" w:rsidR="00B25DF6" w:rsidRPr="00D47B0D" w:rsidRDefault="00B25DF6" w:rsidP="00B25DF6">
      <w:pPr>
        <w:rPr>
          <w:rFonts w:ascii="Calibri" w:hAnsi="Calibri" w:cs="Arial"/>
          <w:b/>
          <w:sz w:val="32"/>
          <w:szCs w:val="32"/>
          <w:lang w:eastAsia="de-CH"/>
        </w:rPr>
      </w:pPr>
    </w:p>
    <w:p w14:paraId="5CB6113C" w14:textId="77777777" w:rsidR="00B25DF6" w:rsidRPr="00D47B0D" w:rsidRDefault="00B25DF6" w:rsidP="00B25DF6">
      <w:pPr>
        <w:rPr>
          <w:rFonts w:ascii="Calibri" w:hAnsi="Calibri" w:cs="Arial"/>
          <w:b/>
          <w:sz w:val="32"/>
          <w:szCs w:val="32"/>
          <w:u w:val="single"/>
          <w:lang w:eastAsia="de-CH"/>
        </w:rPr>
      </w:pPr>
      <w:r w:rsidRPr="00D47B0D">
        <w:rPr>
          <w:rFonts w:ascii="Calibri" w:hAnsi="Calibri" w:cs="Arial"/>
          <w:b/>
          <w:sz w:val="32"/>
          <w:szCs w:val="32"/>
          <w:u w:val="single"/>
          <w:lang w:eastAsia="de-CH"/>
        </w:rPr>
        <w:t>Term</w:t>
      </w:r>
      <w:r>
        <w:rPr>
          <w:rFonts w:ascii="Calibri" w:hAnsi="Calibri" w:cs="Arial"/>
          <w:b/>
          <w:sz w:val="32"/>
          <w:szCs w:val="32"/>
          <w:u w:val="single"/>
          <w:lang w:eastAsia="de-CH"/>
        </w:rPr>
        <w:t xml:space="preserve">at e referencës </w:t>
      </w:r>
      <w:r w:rsidRPr="00D47B0D">
        <w:rPr>
          <w:rFonts w:ascii="Calibri" w:hAnsi="Calibri" w:cs="Arial"/>
          <w:b/>
          <w:sz w:val="32"/>
          <w:szCs w:val="32"/>
          <w:u w:val="single"/>
          <w:lang w:eastAsia="de-CH"/>
        </w:rPr>
        <w:t xml:space="preserve"> </w:t>
      </w:r>
    </w:p>
    <w:p w14:paraId="4FC0229B"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për</w:t>
      </w:r>
      <w:r w:rsidRPr="00D47B0D">
        <w:rPr>
          <w:rFonts w:ascii="Calibri" w:hAnsi="Calibri" w:cs="Arial"/>
          <w:b/>
          <w:sz w:val="32"/>
          <w:szCs w:val="32"/>
          <w:u w:val="single"/>
          <w:lang w:eastAsia="de-CH"/>
        </w:rPr>
        <w:t xml:space="preserve"> </w:t>
      </w:r>
    </w:p>
    <w:p w14:paraId="18FC7F29"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Komisionin e grantit të performancës komunale</w:t>
      </w:r>
    </w:p>
    <w:p w14:paraId="29A6FC1F" w14:textId="77777777" w:rsidR="00B25DF6" w:rsidRPr="00D47B0D" w:rsidRDefault="00B25DF6" w:rsidP="00B25DF6">
      <w:pPr>
        <w:rPr>
          <w:rFonts w:ascii="Calibri" w:hAnsi="Calibri" w:cs="Arial"/>
          <w:b/>
          <w:sz w:val="32"/>
          <w:szCs w:val="32"/>
          <w:u w:val="single"/>
          <w:lang w:eastAsia="de-CH"/>
        </w:rPr>
      </w:pPr>
    </w:p>
    <w:p w14:paraId="0622FBE5" w14:textId="77777777" w:rsidR="00B25DF6" w:rsidRPr="00D47B0D" w:rsidRDefault="00B25DF6" w:rsidP="00B25DF6">
      <w:pPr>
        <w:rPr>
          <w:rFonts w:ascii="Calibri" w:hAnsi="Calibri" w:cs="Arial"/>
          <w:b/>
          <w:sz w:val="32"/>
          <w:szCs w:val="32"/>
          <w:lang w:eastAsia="de-CH"/>
        </w:rPr>
      </w:pPr>
    </w:p>
    <w:p w14:paraId="07263060" w14:textId="77777777" w:rsidR="00B25DF6" w:rsidRPr="00D47B0D" w:rsidRDefault="00B25DF6" w:rsidP="00B25DF6">
      <w:pPr>
        <w:rPr>
          <w:rFonts w:ascii="Calibri" w:hAnsi="Calibri" w:cs="Arial"/>
          <w:b/>
          <w:sz w:val="32"/>
          <w:szCs w:val="32"/>
          <w:lang w:eastAsia="de-CH"/>
        </w:rPr>
      </w:pPr>
    </w:p>
    <w:p w14:paraId="5F1A7E7B" w14:textId="77777777" w:rsidR="00B25DF6" w:rsidRPr="00D47B0D" w:rsidRDefault="00B25DF6" w:rsidP="00B25DF6">
      <w:pPr>
        <w:rPr>
          <w:rFonts w:ascii="Calibri" w:hAnsi="Calibri" w:cs="Arial"/>
          <w:sz w:val="28"/>
          <w:szCs w:val="28"/>
          <w:lang w:eastAsia="de-CH"/>
        </w:rPr>
      </w:pPr>
    </w:p>
    <w:p w14:paraId="167329F3" w14:textId="77777777" w:rsidR="00B25DF6" w:rsidRPr="00D47B0D" w:rsidRDefault="00B25DF6" w:rsidP="00B25DF6">
      <w:pPr>
        <w:rPr>
          <w:rFonts w:ascii="Calibri" w:hAnsi="Calibri" w:cs="Arial"/>
          <w:b/>
          <w:sz w:val="22"/>
          <w:szCs w:val="22"/>
          <w:lang w:eastAsia="de-CH"/>
        </w:rPr>
      </w:pPr>
    </w:p>
    <w:p w14:paraId="5B1D0D04" w14:textId="77777777" w:rsidR="00B25DF6" w:rsidRPr="00D47B0D" w:rsidRDefault="00B25DF6" w:rsidP="00B25DF6">
      <w:pPr>
        <w:rPr>
          <w:rFonts w:ascii="Calibri" w:hAnsi="Calibri" w:cs="Arial"/>
          <w:b/>
          <w:sz w:val="22"/>
          <w:szCs w:val="22"/>
          <w:lang w:eastAsia="de-CH"/>
        </w:rPr>
      </w:pPr>
    </w:p>
    <w:p w14:paraId="04894612" w14:textId="77777777" w:rsidR="00B25DF6" w:rsidRPr="00D47B0D" w:rsidRDefault="00B25DF6" w:rsidP="00B25DF6">
      <w:pPr>
        <w:rPr>
          <w:rFonts w:ascii="Calibri" w:hAnsi="Calibri" w:cs="Arial"/>
          <w:b/>
          <w:sz w:val="22"/>
          <w:szCs w:val="22"/>
          <w:lang w:eastAsia="de-CH"/>
        </w:rPr>
      </w:pPr>
    </w:p>
    <w:p w14:paraId="2151DE6F" w14:textId="77777777" w:rsidR="00B25DF6" w:rsidRPr="00D47B0D" w:rsidRDefault="00B25DF6" w:rsidP="00B25DF6">
      <w:pPr>
        <w:rPr>
          <w:rFonts w:ascii="Calibri" w:hAnsi="Calibri" w:cs="Arial"/>
          <w:b/>
          <w:sz w:val="22"/>
          <w:szCs w:val="22"/>
          <w:lang w:eastAsia="de-CH"/>
        </w:rPr>
      </w:pPr>
    </w:p>
    <w:p w14:paraId="5CCEFD26" w14:textId="77777777" w:rsidR="00B25DF6" w:rsidRPr="00D47B0D" w:rsidRDefault="00B25DF6" w:rsidP="00B25DF6">
      <w:pPr>
        <w:rPr>
          <w:rFonts w:ascii="Calibri" w:hAnsi="Calibri" w:cs="Arial"/>
          <w:b/>
          <w:sz w:val="22"/>
          <w:szCs w:val="22"/>
          <w:lang w:eastAsia="de-CH"/>
        </w:rPr>
      </w:pPr>
    </w:p>
    <w:p w14:paraId="0BD276D2" w14:textId="77777777" w:rsidR="00B25DF6" w:rsidRPr="00D47B0D" w:rsidRDefault="00B25DF6" w:rsidP="00B25DF6">
      <w:pPr>
        <w:rPr>
          <w:rFonts w:ascii="Calibri" w:hAnsi="Calibri" w:cs="Arial"/>
          <w:b/>
          <w:sz w:val="22"/>
          <w:szCs w:val="22"/>
          <w:lang w:eastAsia="de-CH"/>
        </w:rPr>
      </w:pPr>
    </w:p>
    <w:p w14:paraId="24250BDD" w14:textId="77777777" w:rsidR="00B25DF6" w:rsidRPr="00D47B0D" w:rsidRDefault="00B25DF6" w:rsidP="00B25DF6">
      <w:pPr>
        <w:rPr>
          <w:rFonts w:ascii="Calibri" w:hAnsi="Calibri" w:cs="Arial"/>
          <w:b/>
          <w:sz w:val="22"/>
          <w:szCs w:val="22"/>
          <w:lang w:eastAsia="de-CH"/>
        </w:rPr>
      </w:pPr>
    </w:p>
    <w:p w14:paraId="3C44F241" w14:textId="77777777" w:rsidR="00B25DF6" w:rsidRPr="00D47B0D" w:rsidRDefault="00B25DF6" w:rsidP="00B25DF6">
      <w:pPr>
        <w:rPr>
          <w:rFonts w:ascii="Calibri" w:hAnsi="Calibri" w:cs="Arial"/>
          <w:b/>
          <w:sz w:val="22"/>
          <w:szCs w:val="22"/>
          <w:lang w:eastAsia="de-CH"/>
        </w:rPr>
      </w:pPr>
    </w:p>
    <w:p w14:paraId="3C0E80B4" w14:textId="77777777" w:rsidR="00B25DF6" w:rsidRPr="00D47B0D" w:rsidRDefault="00B25DF6" w:rsidP="00B25DF6">
      <w:pPr>
        <w:rPr>
          <w:rFonts w:ascii="Calibri" w:hAnsi="Calibri" w:cs="Arial"/>
          <w:b/>
          <w:sz w:val="22"/>
          <w:szCs w:val="22"/>
          <w:lang w:eastAsia="de-CH"/>
        </w:rPr>
      </w:pPr>
    </w:p>
    <w:p w14:paraId="136C521C" w14:textId="77777777" w:rsidR="00B25DF6" w:rsidRPr="000E4B09" w:rsidRDefault="00B25DF6" w:rsidP="00B25DF6">
      <w:pPr>
        <w:rPr>
          <w:rFonts w:asciiTheme="majorHAnsi" w:hAnsiTheme="majorHAnsi" w:cstheme="majorHAnsi"/>
          <w:b/>
          <w:sz w:val="21"/>
          <w:szCs w:val="21"/>
          <w:u w:val="single"/>
          <w:lang w:eastAsia="de-CH"/>
        </w:rPr>
      </w:pPr>
      <w:r w:rsidRPr="00D47B0D">
        <w:rPr>
          <w:rFonts w:ascii="Calibri" w:hAnsi="Calibri" w:cs="Arial"/>
          <w:sz w:val="22"/>
          <w:szCs w:val="22"/>
          <w:lang w:eastAsia="de-CH"/>
        </w:rPr>
        <w:br w:type="page"/>
      </w:r>
      <w:r w:rsidRPr="00D47B0D">
        <w:rPr>
          <w:rFonts w:ascii="Calibri" w:hAnsi="Calibri" w:cs="Arial"/>
          <w:sz w:val="22"/>
          <w:szCs w:val="22"/>
          <w:lang w:eastAsia="de-CH"/>
        </w:rPr>
        <w:lastRenderedPageBreak/>
        <w:t xml:space="preserve">1. </w:t>
      </w:r>
      <w:r w:rsidRPr="000E4B09">
        <w:rPr>
          <w:rFonts w:asciiTheme="majorHAnsi" w:hAnsiTheme="majorHAnsi" w:cstheme="majorHAnsi"/>
          <w:b/>
          <w:sz w:val="21"/>
          <w:szCs w:val="21"/>
          <w:u w:val="single"/>
          <w:lang w:eastAsia="de-CH"/>
        </w:rPr>
        <w:t>Përmbledhje e shkurtër</w:t>
      </w:r>
    </w:p>
    <w:p w14:paraId="3D96B20C" w14:textId="77777777" w:rsidR="00B25DF6" w:rsidRPr="000E4B09" w:rsidRDefault="00B25DF6" w:rsidP="00B25DF6">
      <w:pPr>
        <w:spacing w:before="240"/>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Ky dokument sqaron rolin dhe funksionet e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Funksioni kryesor i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është të garantojë integritetin e sistemit të vlerësimit duke marrë zyrtarisht përgjegjësinë për rezultatet e vlerësimit dhe llogaritjet që pasojnë për ndarjet/alokimet</w:t>
      </w:r>
      <w:r>
        <w:rPr>
          <w:rFonts w:asciiTheme="majorHAnsi" w:hAnsiTheme="majorHAnsi" w:cstheme="majorHAnsi"/>
          <w:sz w:val="21"/>
          <w:szCs w:val="21"/>
          <w:lang w:eastAsia="de-CH"/>
        </w:rPr>
        <w:t xml:space="preserve"> në </w:t>
      </w:r>
      <w:r w:rsidR="005E7317">
        <w:rPr>
          <w:rFonts w:asciiTheme="majorHAnsi" w:hAnsiTheme="majorHAnsi" w:cstheme="majorHAnsi"/>
          <w:sz w:val="21"/>
          <w:szCs w:val="21"/>
          <w:lang w:eastAsia="de-CH"/>
        </w:rPr>
        <w:t xml:space="preserve">bazë </w:t>
      </w:r>
      <w:r>
        <w:rPr>
          <w:rFonts w:asciiTheme="majorHAnsi" w:hAnsiTheme="majorHAnsi" w:cstheme="majorHAnsi"/>
          <w:sz w:val="21"/>
          <w:szCs w:val="21"/>
          <w:lang w:eastAsia="de-CH"/>
        </w:rPr>
        <w:t>të rregullave të përcaktuara</w:t>
      </w:r>
      <w:r w:rsidRPr="000E4B09">
        <w:rPr>
          <w:rFonts w:asciiTheme="majorHAnsi" w:hAnsiTheme="majorHAnsi" w:cstheme="majorHAnsi"/>
          <w:sz w:val="21"/>
          <w:szCs w:val="21"/>
          <w:lang w:eastAsia="de-CH"/>
        </w:rPr>
        <w:t xml:space="preserve">. Komisioni nuk mund të ndryshojë rezultatet e vlerësimit, por vetëm të sigurojë që Grupi Teknik (GT) ka ndjekur rregullat. </w:t>
      </w:r>
    </w:p>
    <w:p w14:paraId="593940D6" w14:textId="77777777" w:rsidR="00B25DF6" w:rsidRPr="000E4B09" w:rsidRDefault="00B25DF6" w:rsidP="00B25DF6">
      <w:pPr>
        <w:rPr>
          <w:rFonts w:asciiTheme="majorHAnsi" w:hAnsiTheme="majorHAnsi" w:cstheme="majorHAnsi"/>
          <w:b/>
          <w:bCs/>
          <w:iCs/>
          <w:sz w:val="21"/>
          <w:szCs w:val="21"/>
          <w:lang w:eastAsia="de-CH"/>
        </w:rPr>
      </w:pPr>
    </w:p>
    <w:p w14:paraId="047940B7" w14:textId="76C1A214" w:rsidR="00B25DF6" w:rsidRPr="000E4B09" w:rsidRDefault="00B25DF6" w:rsidP="00B25DF6">
      <w:pPr>
        <w:rPr>
          <w:rFonts w:asciiTheme="majorHAnsi" w:hAnsiTheme="majorHAnsi" w:cstheme="majorHAnsi"/>
          <w:b/>
          <w:bCs/>
          <w:iCs/>
          <w:sz w:val="21"/>
          <w:szCs w:val="21"/>
          <w:lang w:eastAsia="de-CH"/>
        </w:rPr>
      </w:pPr>
      <w:r w:rsidRPr="000E4B09">
        <w:rPr>
          <w:rFonts w:asciiTheme="majorHAnsi" w:hAnsiTheme="majorHAnsi" w:cstheme="majorHAnsi"/>
          <w:b/>
          <w:bCs/>
          <w:iCs/>
          <w:sz w:val="21"/>
          <w:szCs w:val="21"/>
          <w:lang w:eastAsia="de-CH"/>
        </w:rPr>
        <w:t xml:space="preserve">2. Roli dhe funksionet e </w:t>
      </w:r>
      <w:r w:rsidR="0000386D">
        <w:rPr>
          <w:rFonts w:asciiTheme="majorHAnsi" w:hAnsiTheme="majorHAnsi" w:cstheme="majorHAnsi"/>
          <w:b/>
          <w:bCs/>
          <w:iCs/>
          <w:sz w:val="21"/>
          <w:szCs w:val="21"/>
          <w:lang w:eastAsia="de-CH"/>
        </w:rPr>
        <w:t>K</w:t>
      </w:r>
      <w:r w:rsidRPr="000E4B09">
        <w:rPr>
          <w:rFonts w:asciiTheme="majorHAnsi" w:hAnsiTheme="majorHAnsi" w:cstheme="majorHAnsi"/>
          <w:b/>
          <w:bCs/>
          <w:iCs/>
          <w:sz w:val="21"/>
          <w:szCs w:val="21"/>
          <w:lang w:eastAsia="de-CH"/>
        </w:rPr>
        <w:t xml:space="preserve">omisionit të grantit të </w:t>
      </w:r>
      <w:r>
        <w:rPr>
          <w:rFonts w:asciiTheme="majorHAnsi" w:hAnsiTheme="majorHAnsi" w:cstheme="majorHAnsi"/>
          <w:b/>
          <w:bCs/>
          <w:iCs/>
          <w:sz w:val="21"/>
          <w:szCs w:val="21"/>
          <w:lang w:eastAsia="de-CH"/>
        </w:rPr>
        <w:t>performancës komunale</w:t>
      </w:r>
      <w:r w:rsidRPr="000E4B09">
        <w:rPr>
          <w:rFonts w:asciiTheme="majorHAnsi" w:hAnsiTheme="majorHAnsi" w:cstheme="majorHAnsi"/>
          <w:b/>
          <w:bCs/>
          <w:iCs/>
          <w:sz w:val="21"/>
          <w:szCs w:val="21"/>
          <w:lang w:eastAsia="de-CH"/>
        </w:rPr>
        <w:t xml:space="preserve"> </w:t>
      </w:r>
    </w:p>
    <w:p w14:paraId="3AB46055" w14:textId="77777777" w:rsidR="00B25DF6" w:rsidRDefault="00B25DF6" w:rsidP="00B25DF6">
      <w:pPr>
        <w:rPr>
          <w:rFonts w:asciiTheme="majorHAnsi" w:hAnsiTheme="majorHAnsi" w:cstheme="majorHAnsi"/>
          <w:sz w:val="21"/>
          <w:szCs w:val="21"/>
          <w:lang w:eastAsia="de-CH"/>
        </w:rPr>
      </w:pPr>
      <w:r w:rsidRPr="00251BA5">
        <w:rPr>
          <w:rFonts w:asciiTheme="majorHAnsi" w:hAnsiTheme="majorHAnsi" w:cstheme="majorHAnsi"/>
          <w:sz w:val="21"/>
          <w:szCs w:val="21"/>
          <w:lang w:eastAsia="de-CH"/>
        </w:rPr>
        <w:t>Funksioni kryesor i komisionit të grantit të performancës komunale është garantimi i integritetit të vlerësimit.</w:t>
      </w:r>
      <w:r>
        <w:rPr>
          <w:rFonts w:asciiTheme="majorHAnsi" w:hAnsiTheme="majorHAnsi" w:cstheme="majorHAnsi"/>
          <w:sz w:val="21"/>
          <w:szCs w:val="21"/>
          <w:lang w:eastAsia="de-CH"/>
        </w:rPr>
        <w:t xml:space="preserve"> </w:t>
      </w:r>
      <w:r w:rsidRPr="000E4B09">
        <w:rPr>
          <w:rFonts w:asciiTheme="majorHAnsi" w:hAnsiTheme="majorHAnsi" w:cstheme="majorHAnsi"/>
          <w:sz w:val="21"/>
          <w:szCs w:val="21"/>
          <w:lang w:eastAsia="de-CH"/>
        </w:rPr>
        <w:t xml:space="preserve">Funksionet kryesore të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janë:</w:t>
      </w:r>
    </w:p>
    <w:p w14:paraId="34E06B08" w14:textId="77777777" w:rsidR="00B25DF6" w:rsidRPr="004D2E1C"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sidRPr="004D2E1C">
        <w:rPr>
          <w:rFonts w:asciiTheme="majorHAnsi" w:hAnsiTheme="majorHAnsi"/>
          <w:sz w:val="21"/>
          <w:szCs w:val="21"/>
        </w:rPr>
        <w:t xml:space="preserve">Vendosja e rregullave </w:t>
      </w:r>
      <w:r>
        <w:rPr>
          <w:rFonts w:asciiTheme="majorHAnsi" w:hAnsiTheme="majorHAnsi"/>
          <w:sz w:val="21"/>
          <w:szCs w:val="21"/>
        </w:rPr>
        <w:t xml:space="preserve">dhe procedurave </w:t>
      </w:r>
      <w:r w:rsidRPr="004D2E1C">
        <w:rPr>
          <w:rFonts w:asciiTheme="majorHAnsi" w:hAnsiTheme="majorHAnsi"/>
          <w:sz w:val="21"/>
          <w:szCs w:val="21"/>
        </w:rPr>
        <w:t>të punës</w:t>
      </w:r>
      <w:r>
        <w:rPr>
          <w:rFonts w:asciiTheme="majorHAnsi" w:hAnsiTheme="majorHAnsi"/>
          <w:sz w:val="21"/>
          <w:szCs w:val="21"/>
        </w:rPr>
        <w:t xml:space="preserve"> së Komisionit</w:t>
      </w:r>
      <w:r w:rsidRPr="004D2E1C">
        <w:rPr>
          <w:rFonts w:asciiTheme="majorHAnsi" w:hAnsiTheme="majorHAnsi"/>
          <w:sz w:val="21"/>
          <w:szCs w:val="21"/>
        </w:rPr>
        <w:t>;</w:t>
      </w:r>
    </w:p>
    <w:p w14:paraId="2076D6B1" w14:textId="17FA3C48" w:rsidR="00B25DF6"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Pr>
          <w:rFonts w:asciiTheme="majorHAnsi" w:hAnsiTheme="majorHAnsi"/>
          <w:sz w:val="21"/>
          <w:szCs w:val="21"/>
        </w:rPr>
        <w:t>Mbikëqyr</w:t>
      </w:r>
      <w:r w:rsidR="002E66CC">
        <w:rPr>
          <w:rFonts w:asciiTheme="majorHAnsi" w:hAnsiTheme="majorHAnsi"/>
          <w:sz w:val="21"/>
          <w:szCs w:val="21"/>
        </w:rPr>
        <w:t>ja e</w:t>
      </w:r>
      <w:r>
        <w:rPr>
          <w:rFonts w:asciiTheme="majorHAnsi" w:hAnsiTheme="majorHAnsi"/>
          <w:sz w:val="21"/>
          <w:szCs w:val="21"/>
        </w:rPr>
        <w:t xml:space="preserve"> procesi</w:t>
      </w:r>
      <w:r w:rsidR="002E66CC">
        <w:rPr>
          <w:rFonts w:asciiTheme="majorHAnsi" w:hAnsiTheme="majorHAnsi"/>
          <w:sz w:val="21"/>
          <w:szCs w:val="21"/>
        </w:rPr>
        <w:t>t</w:t>
      </w:r>
      <w:r>
        <w:rPr>
          <w:rFonts w:asciiTheme="majorHAnsi" w:hAnsiTheme="majorHAnsi"/>
          <w:sz w:val="21"/>
          <w:szCs w:val="21"/>
        </w:rPr>
        <w:t xml:space="preserve"> dhe sigur</w:t>
      </w:r>
      <w:r w:rsidR="002E66CC">
        <w:rPr>
          <w:rFonts w:asciiTheme="majorHAnsi" w:hAnsiTheme="majorHAnsi"/>
          <w:sz w:val="21"/>
          <w:szCs w:val="21"/>
        </w:rPr>
        <w:t>imi</w:t>
      </w:r>
      <w:r>
        <w:rPr>
          <w:rFonts w:asciiTheme="majorHAnsi" w:hAnsiTheme="majorHAnsi"/>
          <w:sz w:val="21"/>
          <w:szCs w:val="21"/>
        </w:rPr>
        <w:t xml:space="preserve"> që Grupi Teknik ka ndjekur kriteret dhe procedurat e vlerësimit të përcaktuara në rregullat e grantit të performancës;</w:t>
      </w:r>
    </w:p>
    <w:p w14:paraId="0A171467" w14:textId="77777777" w:rsidR="00B25DF6"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Pr>
          <w:rFonts w:asciiTheme="majorHAnsi" w:hAnsiTheme="majorHAnsi"/>
          <w:sz w:val="21"/>
          <w:szCs w:val="21"/>
        </w:rPr>
        <w:t>Marrja e vendimit për miratimin e rezultateve të vlerësimit të performancës për grant;</w:t>
      </w:r>
    </w:p>
    <w:p w14:paraId="32766D90" w14:textId="77777777" w:rsidR="00B25DF6"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Pr>
          <w:rFonts w:asciiTheme="majorHAnsi" w:hAnsiTheme="majorHAnsi"/>
          <w:sz w:val="21"/>
          <w:szCs w:val="21"/>
        </w:rPr>
        <w:t>Në rast të konstatimit të parregullsive, Komisioni mund ta kthej në rishqyrtim procesin e vlerësimit;</w:t>
      </w:r>
    </w:p>
    <w:p w14:paraId="0456055B" w14:textId="77777777" w:rsidR="00B25DF6" w:rsidRPr="004267EC" w:rsidRDefault="00B25DF6" w:rsidP="009A3BEC">
      <w:pPr>
        <w:pStyle w:val="ListParagraph"/>
        <w:numPr>
          <w:ilvl w:val="1"/>
          <w:numId w:val="9"/>
        </w:numPr>
        <w:tabs>
          <w:tab w:val="left" w:pos="1710"/>
        </w:tabs>
        <w:spacing w:before="20" w:after="0" w:line="264" w:lineRule="auto"/>
        <w:ind w:left="900"/>
        <w:jc w:val="both"/>
        <w:rPr>
          <w:color w:val="000000" w:themeColor="text1"/>
        </w:rPr>
      </w:pPr>
      <w:r>
        <w:rPr>
          <w:rFonts w:asciiTheme="majorHAnsi" w:hAnsiTheme="majorHAnsi"/>
          <w:sz w:val="21"/>
          <w:szCs w:val="21"/>
        </w:rPr>
        <w:t xml:space="preserve">Njofton komunat </w:t>
      </w:r>
      <w:r w:rsidRPr="004652F8">
        <w:rPr>
          <w:rFonts w:asciiTheme="majorHAnsi" w:hAnsiTheme="majorHAnsi"/>
          <w:sz w:val="21"/>
          <w:szCs w:val="21"/>
        </w:rPr>
        <w:t>për rezultatet e vlerësimit për grant;</w:t>
      </w:r>
    </w:p>
    <w:p w14:paraId="731837F1" w14:textId="77777777" w:rsidR="00B25DF6" w:rsidRPr="004267EC" w:rsidRDefault="00B25DF6" w:rsidP="009A3BEC">
      <w:pPr>
        <w:pStyle w:val="ListParagraph"/>
        <w:numPr>
          <w:ilvl w:val="1"/>
          <w:numId w:val="9"/>
        </w:numPr>
        <w:tabs>
          <w:tab w:val="left" w:pos="1710"/>
        </w:tabs>
        <w:spacing w:before="20" w:after="0" w:line="264" w:lineRule="auto"/>
        <w:ind w:left="900"/>
        <w:jc w:val="both"/>
        <w:rPr>
          <w:color w:val="000000" w:themeColor="text1"/>
        </w:rPr>
      </w:pPr>
      <w:r>
        <w:rPr>
          <w:rFonts w:asciiTheme="majorHAnsi" w:hAnsiTheme="majorHAnsi"/>
          <w:sz w:val="21"/>
          <w:szCs w:val="21"/>
        </w:rPr>
        <w:t xml:space="preserve">Komisioni i </w:t>
      </w:r>
      <w:r w:rsidRPr="004652F8">
        <w:rPr>
          <w:rFonts w:asciiTheme="majorHAnsi" w:hAnsiTheme="majorHAnsi"/>
          <w:sz w:val="21"/>
          <w:szCs w:val="21"/>
        </w:rPr>
        <w:t>grantit nuk mund të ndryshojë rezultatet e vlerësimit dhe shumat e grantit, pa aplikimin e tërësishëm të procesit të vlerësimit në pajtim me rregullat e grantit</w:t>
      </w:r>
      <w:r>
        <w:rPr>
          <w:rFonts w:asciiTheme="majorHAnsi" w:hAnsiTheme="majorHAnsi"/>
          <w:sz w:val="21"/>
          <w:szCs w:val="21"/>
        </w:rPr>
        <w:t xml:space="preserve">; </w:t>
      </w:r>
    </w:p>
    <w:p w14:paraId="03270820" w14:textId="77777777" w:rsidR="00B25DF6" w:rsidRPr="004267EC" w:rsidRDefault="00B25DF6" w:rsidP="009A3BEC">
      <w:pPr>
        <w:pStyle w:val="ListParagraph"/>
        <w:numPr>
          <w:ilvl w:val="1"/>
          <w:numId w:val="9"/>
        </w:numPr>
        <w:tabs>
          <w:tab w:val="left" w:pos="1710"/>
        </w:tabs>
        <w:spacing w:before="20" w:after="0" w:line="264" w:lineRule="auto"/>
        <w:ind w:left="900"/>
        <w:jc w:val="both"/>
        <w:rPr>
          <w:color w:val="000000" w:themeColor="text1"/>
        </w:rPr>
      </w:pPr>
      <w:r w:rsidRPr="004652F8">
        <w:rPr>
          <w:rFonts w:asciiTheme="majorHAnsi" w:hAnsiTheme="majorHAnsi"/>
          <w:sz w:val="21"/>
          <w:szCs w:val="21"/>
        </w:rPr>
        <w:t xml:space="preserve">Në rast të ndryshimit të rezultateve të vlerësimit si rezultat i vendimit për ankesë të nxjerrë nga komisioni i ankesave, komisioni i grantit </w:t>
      </w:r>
      <w:r>
        <w:rPr>
          <w:rFonts w:asciiTheme="majorHAnsi" w:hAnsiTheme="majorHAnsi"/>
          <w:sz w:val="21"/>
          <w:szCs w:val="21"/>
        </w:rPr>
        <w:t xml:space="preserve">përmes grupit teknik </w:t>
      </w:r>
      <w:r w:rsidRPr="004652F8">
        <w:rPr>
          <w:rFonts w:asciiTheme="majorHAnsi" w:hAnsiTheme="majorHAnsi"/>
          <w:sz w:val="21"/>
          <w:szCs w:val="21"/>
        </w:rPr>
        <w:t>bënë ndryshimet në raportin e vlerësimit dhe njofton komunën përkat</w:t>
      </w:r>
      <w:r>
        <w:rPr>
          <w:rFonts w:asciiTheme="majorHAnsi" w:hAnsiTheme="majorHAnsi"/>
          <w:sz w:val="21"/>
          <w:szCs w:val="21"/>
        </w:rPr>
        <w:t>ëse për rezultatin përfundimtar.</w:t>
      </w:r>
    </w:p>
    <w:p w14:paraId="0B6F5293" w14:textId="77777777" w:rsidR="00B25DF6" w:rsidRDefault="00B25DF6" w:rsidP="00B25DF6">
      <w:pPr>
        <w:rPr>
          <w:rFonts w:asciiTheme="majorHAnsi" w:hAnsiTheme="majorHAnsi" w:cstheme="majorHAnsi"/>
          <w:sz w:val="21"/>
          <w:szCs w:val="21"/>
          <w:lang w:eastAsia="de-CH"/>
        </w:rPr>
      </w:pPr>
    </w:p>
    <w:p w14:paraId="48BF858E" w14:textId="7D73C0BD" w:rsidR="00B25DF6" w:rsidRPr="00AB68A5" w:rsidRDefault="00B25DF6" w:rsidP="00B25DF6">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AB68A5">
        <w:rPr>
          <w:rFonts w:asciiTheme="majorHAnsi" w:hAnsiTheme="majorHAnsi" w:cstheme="majorHAnsi"/>
          <w:b/>
          <w:bCs/>
          <w:iCs/>
          <w:sz w:val="21"/>
          <w:szCs w:val="21"/>
          <w:lang w:eastAsia="de-CH"/>
        </w:rPr>
        <w:t xml:space="preserve">. Administrimi i Komisionit të </w:t>
      </w:r>
      <w:r w:rsidR="0000386D">
        <w:rPr>
          <w:rFonts w:asciiTheme="majorHAnsi" w:hAnsiTheme="majorHAnsi" w:cstheme="majorHAnsi"/>
          <w:b/>
          <w:bCs/>
          <w:iCs/>
          <w:sz w:val="21"/>
          <w:szCs w:val="21"/>
          <w:lang w:eastAsia="de-CH"/>
        </w:rPr>
        <w:t>g</w:t>
      </w:r>
      <w:r w:rsidRPr="00AB68A5">
        <w:rPr>
          <w:rFonts w:asciiTheme="majorHAnsi" w:hAnsiTheme="majorHAnsi" w:cstheme="majorHAnsi"/>
          <w:b/>
          <w:bCs/>
          <w:iCs/>
          <w:sz w:val="21"/>
          <w:szCs w:val="21"/>
          <w:lang w:eastAsia="de-CH"/>
        </w:rPr>
        <w:t>rantit të performancës</w:t>
      </w:r>
      <w:r>
        <w:rPr>
          <w:rFonts w:asciiTheme="majorHAnsi" w:hAnsiTheme="majorHAnsi" w:cstheme="majorHAnsi"/>
          <w:b/>
          <w:bCs/>
          <w:iCs/>
          <w:sz w:val="21"/>
          <w:szCs w:val="21"/>
          <w:lang w:eastAsia="de-CH"/>
        </w:rPr>
        <w:t xml:space="preserve"> komunale</w:t>
      </w:r>
    </w:p>
    <w:p w14:paraId="7673733D" w14:textId="77777777" w:rsidR="00B25DF6" w:rsidRPr="000E4B09"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Është e preferueshme që anëtarët e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të kuptojnë dhe flasin gjuhën angleze. </w:t>
      </w:r>
    </w:p>
    <w:p w14:paraId="4618D3D6" w14:textId="78201EB5" w:rsidR="00B25DF6" w:rsidRPr="00B25DF6"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B25DF6">
        <w:rPr>
          <w:rFonts w:asciiTheme="majorHAnsi" w:hAnsiTheme="majorHAnsi" w:cstheme="majorHAnsi"/>
          <w:sz w:val="21"/>
          <w:szCs w:val="21"/>
          <w:lang w:eastAsia="de-CH"/>
        </w:rPr>
        <w:t>Kryesuesi i GPK-s</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cakton sekretariatin p</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r administrimin teknik t</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pun</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s s</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komisionit duke siguruar p</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rgatitjen e agjendave t</w:t>
      </w:r>
      <w:r w:rsidR="0000386D">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takimeve, </w:t>
      </w:r>
      <w:r>
        <w:rPr>
          <w:rFonts w:asciiTheme="majorHAnsi" w:hAnsiTheme="majorHAnsi" w:cstheme="majorHAnsi"/>
          <w:sz w:val="21"/>
          <w:szCs w:val="21"/>
          <w:lang w:eastAsia="de-CH"/>
        </w:rPr>
        <w:t>njoftimeve p</w:t>
      </w:r>
      <w:r w:rsidR="005911E5">
        <w:rPr>
          <w:rFonts w:asciiTheme="majorHAnsi" w:hAnsiTheme="majorHAnsi" w:cstheme="majorHAnsi"/>
          <w:sz w:val="21"/>
          <w:szCs w:val="21"/>
          <w:lang w:eastAsia="de-CH"/>
        </w:rPr>
        <w:t>ë</w:t>
      </w:r>
      <w:r>
        <w:rPr>
          <w:rFonts w:asciiTheme="majorHAnsi" w:hAnsiTheme="majorHAnsi" w:cstheme="majorHAnsi"/>
          <w:sz w:val="21"/>
          <w:szCs w:val="21"/>
          <w:lang w:eastAsia="de-CH"/>
        </w:rPr>
        <w:t>r takime, procesverbaleve, dokumenteve t</w:t>
      </w:r>
      <w:r w:rsidR="005911E5">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pun</w:t>
      </w:r>
      <w:r w:rsidR="005911E5">
        <w:rPr>
          <w:rFonts w:asciiTheme="majorHAnsi" w:hAnsiTheme="majorHAnsi" w:cstheme="majorHAnsi"/>
          <w:sz w:val="21"/>
          <w:szCs w:val="21"/>
          <w:lang w:eastAsia="de-CH"/>
        </w:rPr>
        <w:t xml:space="preserve">ës </w:t>
      </w:r>
      <w:r>
        <w:rPr>
          <w:rFonts w:asciiTheme="majorHAnsi" w:hAnsiTheme="majorHAnsi" w:cstheme="majorHAnsi"/>
          <w:sz w:val="21"/>
          <w:szCs w:val="21"/>
          <w:lang w:eastAsia="de-CH"/>
        </w:rPr>
        <w:t>s</w:t>
      </w:r>
      <w:r w:rsidRPr="00B25DF6">
        <w:rPr>
          <w:rFonts w:asciiTheme="majorHAnsi" w:hAnsiTheme="majorHAnsi" w:cstheme="majorHAnsi"/>
          <w:sz w:val="21"/>
          <w:szCs w:val="21"/>
          <w:lang w:eastAsia="de-CH"/>
        </w:rPr>
        <w:t xml:space="preserve">i </w:t>
      </w:r>
      <w:r>
        <w:rPr>
          <w:rFonts w:asciiTheme="majorHAnsi" w:hAnsiTheme="majorHAnsi" w:cstheme="majorHAnsi"/>
          <w:sz w:val="21"/>
          <w:szCs w:val="21"/>
          <w:lang w:eastAsia="de-CH"/>
        </w:rPr>
        <w:t xml:space="preserve">dhe </w:t>
      </w:r>
      <w:r w:rsidR="005911E5">
        <w:rPr>
          <w:rFonts w:asciiTheme="majorHAnsi" w:hAnsiTheme="majorHAnsi" w:cstheme="majorHAnsi"/>
          <w:sz w:val="21"/>
          <w:szCs w:val="21"/>
          <w:lang w:eastAsia="de-CH"/>
        </w:rPr>
        <w:t>çë</w:t>
      </w:r>
      <w:r>
        <w:rPr>
          <w:rFonts w:asciiTheme="majorHAnsi" w:hAnsiTheme="majorHAnsi" w:cstheme="majorHAnsi"/>
          <w:sz w:val="21"/>
          <w:szCs w:val="21"/>
          <w:lang w:eastAsia="de-CH"/>
        </w:rPr>
        <w:t>shtje t</w:t>
      </w:r>
      <w:r w:rsidR="005911E5">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tjera procedurale.</w:t>
      </w:r>
      <w:r w:rsidRPr="00B25DF6">
        <w:rPr>
          <w:rFonts w:asciiTheme="majorHAnsi" w:hAnsiTheme="majorHAnsi" w:cstheme="majorHAnsi"/>
          <w:sz w:val="21"/>
          <w:szCs w:val="21"/>
          <w:lang w:eastAsia="de-CH"/>
        </w:rPr>
        <w:t xml:space="preserve"> </w:t>
      </w:r>
    </w:p>
    <w:p w14:paraId="41838924" w14:textId="77777777" w:rsidR="00B25DF6" w:rsidRPr="0011638A"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11638A">
        <w:rPr>
          <w:rFonts w:asciiTheme="majorHAnsi" w:hAnsiTheme="majorHAnsi" w:cstheme="majorHAnsi"/>
          <w:sz w:val="21"/>
          <w:szCs w:val="21"/>
          <w:lang w:eastAsia="de-CH"/>
        </w:rPr>
        <w:t xml:space="preserve">Agjenda dhe dokumentet përkatëse duhet t'i bashkëngjiten </w:t>
      </w:r>
      <w:r>
        <w:rPr>
          <w:rFonts w:asciiTheme="majorHAnsi" w:hAnsiTheme="majorHAnsi" w:cstheme="majorHAnsi"/>
          <w:sz w:val="21"/>
          <w:szCs w:val="21"/>
          <w:lang w:eastAsia="de-CH"/>
        </w:rPr>
        <w:t>çdo her</w:t>
      </w:r>
      <w:r w:rsidR="005E7317">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njoftimeve</w:t>
      </w:r>
      <w:r w:rsidRPr="0011638A">
        <w:rPr>
          <w:rFonts w:asciiTheme="majorHAnsi" w:hAnsiTheme="majorHAnsi" w:cstheme="majorHAnsi"/>
          <w:sz w:val="21"/>
          <w:szCs w:val="21"/>
          <w:lang w:eastAsia="de-CH"/>
        </w:rPr>
        <w:t>.</w:t>
      </w:r>
    </w:p>
    <w:p w14:paraId="6E310018" w14:textId="77777777" w:rsidR="00B25DF6" w:rsidRPr="000E4B09"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Procesverbali përgatite</w:t>
      </w:r>
      <w:r>
        <w:rPr>
          <w:rFonts w:asciiTheme="majorHAnsi" w:hAnsiTheme="majorHAnsi" w:cstheme="majorHAnsi"/>
          <w:sz w:val="21"/>
          <w:szCs w:val="21"/>
          <w:lang w:eastAsia="de-CH"/>
        </w:rPr>
        <w:t>n</w:t>
      </w:r>
      <w:r w:rsidRPr="000E4B09">
        <w:rPr>
          <w:rFonts w:asciiTheme="majorHAnsi" w:hAnsiTheme="majorHAnsi" w:cstheme="majorHAnsi"/>
          <w:sz w:val="21"/>
          <w:szCs w:val="21"/>
          <w:lang w:eastAsia="de-CH"/>
        </w:rPr>
        <w:t xml:space="preserve"> për çdo takim dhe miratohet nga komisioni i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w:t>
      </w:r>
    </w:p>
    <w:p w14:paraId="68DD86A3" w14:textId="77777777" w:rsidR="00B25DF6" w:rsidRPr="000E4B09"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Vendimet e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merren me shumicë të </w:t>
      </w:r>
      <w:r>
        <w:rPr>
          <w:rFonts w:asciiTheme="majorHAnsi" w:hAnsiTheme="majorHAnsi" w:cstheme="majorHAnsi"/>
          <w:sz w:val="21"/>
          <w:szCs w:val="21"/>
          <w:lang w:eastAsia="de-CH"/>
        </w:rPr>
        <w:t>votave</w:t>
      </w:r>
      <w:r w:rsidRPr="000E4B09">
        <w:rPr>
          <w:rFonts w:asciiTheme="majorHAnsi" w:hAnsiTheme="majorHAnsi" w:cstheme="majorHAnsi"/>
          <w:sz w:val="21"/>
          <w:szCs w:val="21"/>
          <w:lang w:eastAsia="de-CH"/>
        </w:rPr>
        <w:t xml:space="preserve">. </w:t>
      </w:r>
    </w:p>
    <w:p w14:paraId="1583070A" w14:textId="77777777" w:rsidR="00B25DF6" w:rsidRPr="000E4B09" w:rsidRDefault="00B25DF6" w:rsidP="009A3BEC">
      <w:pPr>
        <w:pStyle w:val="ListParagraph"/>
        <w:numPr>
          <w:ilvl w:val="0"/>
          <w:numId w:val="22"/>
        </w:numPr>
        <w:spacing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Çdo anëtar i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mund </w:t>
      </w:r>
      <w:r>
        <w:rPr>
          <w:rFonts w:asciiTheme="majorHAnsi" w:hAnsiTheme="majorHAnsi" w:cstheme="majorHAnsi"/>
          <w:sz w:val="21"/>
          <w:szCs w:val="21"/>
          <w:lang w:eastAsia="de-CH"/>
        </w:rPr>
        <w:t xml:space="preserve">kërkoj thirrjen e takimeve të </w:t>
      </w:r>
      <w:r w:rsidRPr="000E4B09">
        <w:rPr>
          <w:rFonts w:asciiTheme="majorHAnsi" w:hAnsiTheme="majorHAnsi" w:cstheme="majorHAnsi"/>
          <w:sz w:val="21"/>
          <w:szCs w:val="21"/>
          <w:lang w:eastAsia="de-CH"/>
        </w:rPr>
        <w:t xml:space="preserve">tjera në koordinim me kryesuesin.  </w:t>
      </w:r>
    </w:p>
    <w:p w14:paraId="5EB1CCB8" w14:textId="77777777" w:rsidR="00B25DF6" w:rsidRPr="00D47B0D" w:rsidRDefault="00B25DF6" w:rsidP="00B25DF6">
      <w:pPr>
        <w:pBdr>
          <w:bottom w:val="single" w:sz="6" w:space="1" w:color="auto"/>
        </w:pBdr>
        <w:rPr>
          <w:rFonts w:ascii="Arial" w:hAnsi="Arial" w:cs="Arial"/>
          <w:b/>
          <w:color w:val="4F81BD" w:themeColor="accent1"/>
          <w:sz w:val="28"/>
          <w:szCs w:val="28"/>
        </w:rPr>
        <w:sectPr w:rsidR="00B25DF6" w:rsidRPr="00D47B0D" w:rsidSect="0082519A">
          <w:pgSz w:w="11909" w:h="16834" w:code="9"/>
          <w:pgMar w:top="1440" w:right="1800" w:bottom="1440" w:left="1800" w:header="1296" w:footer="1051" w:gutter="0"/>
          <w:cols w:space="720"/>
          <w:docGrid w:linePitch="360"/>
        </w:sectPr>
      </w:pPr>
    </w:p>
    <w:p w14:paraId="660790A0" w14:textId="77777777" w:rsidR="00B25DF6" w:rsidRPr="00D47B0D" w:rsidRDefault="00B25DF6" w:rsidP="00B25DF6">
      <w:pPr>
        <w:rPr>
          <w:rFonts w:ascii="Calibri" w:eastAsia="Calibri" w:hAnsi="Calibri"/>
          <w:b/>
          <w:sz w:val="22"/>
          <w:szCs w:val="22"/>
          <w:u w:val="single"/>
        </w:rPr>
      </w:pPr>
    </w:p>
    <w:p w14:paraId="4B44258A" w14:textId="77777777" w:rsidR="00B25DF6" w:rsidRPr="00D47B0D" w:rsidRDefault="00B25DF6" w:rsidP="00B25DF6">
      <w:pPr>
        <w:pStyle w:val="Heading1"/>
        <w:shd w:val="clear" w:color="auto" w:fill="D55635"/>
        <w:tabs>
          <w:tab w:val="left" w:pos="540"/>
        </w:tabs>
        <w:rPr>
          <w:rFonts w:asciiTheme="majorHAnsi" w:hAnsiTheme="majorHAnsi"/>
          <w:color w:val="FFFFFF" w:themeColor="background1"/>
          <w:sz w:val="32"/>
          <w:szCs w:val="32"/>
        </w:rPr>
      </w:pPr>
      <w:bookmarkStart w:id="99" w:name="_Toc61062547"/>
      <w:proofErr w:type="spellStart"/>
      <w:r>
        <w:rPr>
          <w:rFonts w:asciiTheme="majorHAnsi" w:hAnsiTheme="majorHAnsi"/>
          <w:color w:val="FFFFFF" w:themeColor="background1"/>
          <w:sz w:val="32"/>
          <w:szCs w:val="32"/>
        </w:rPr>
        <w:t>Shtojca</w:t>
      </w:r>
      <w:proofErr w:type="spellEnd"/>
      <w:r w:rsidRPr="00D47B0D">
        <w:rPr>
          <w:rFonts w:asciiTheme="majorHAnsi" w:hAnsiTheme="majorHAnsi"/>
          <w:color w:val="FFFFFF" w:themeColor="background1"/>
          <w:sz w:val="32"/>
          <w:szCs w:val="32"/>
        </w:rPr>
        <w:t xml:space="preserve"> </w:t>
      </w:r>
      <w:r w:rsidR="008507DD">
        <w:rPr>
          <w:rFonts w:asciiTheme="majorHAnsi" w:hAnsiTheme="majorHAnsi"/>
          <w:color w:val="FFFFFF" w:themeColor="background1"/>
          <w:sz w:val="32"/>
          <w:szCs w:val="32"/>
        </w:rPr>
        <w:t>6</w:t>
      </w:r>
      <w:r w:rsidRPr="00D47B0D">
        <w:rPr>
          <w:rFonts w:asciiTheme="majorHAnsi" w:hAnsiTheme="majorHAnsi"/>
          <w:color w:val="FFFFFF" w:themeColor="background1"/>
          <w:sz w:val="32"/>
          <w:szCs w:val="32"/>
        </w:rPr>
        <w:t xml:space="preserve">: </w:t>
      </w:r>
      <w:proofErr w:type="spellStart"/>
      <w:r w:rsidRPr="00D47B0D">
        <w:rPr>
          <w:rFonts w:asciiTheme="majorHAnsi" w:hAnsiTheme="majorHAnsi"/>
          <w:color w:val="FFFFFF" w:themeColor="background1"/>
          <w:sz w:val="32"/>
          <w:szCs w:val="32"/>
        </w:rPr>
        <w:t>Term</w:t>
      </w:r>
      <w:r>
        <w:rPr>
          <w:rFonts w:asciiTheme="majorHAnsi" w:hAnsiTheme="majorHAnsi"/>
          <w:color w:val="FFFFFF" w:themeColor="background1"/>
          <w:sz w:val="32"/>
          <w:szCs w:val="32"/>
        </w:rPr>
        <w:t>at</w:t>
      </w:r>
      <w:proofErr w:type="spellEnd"/>
      <w:r>
        <w:rPr>
          <w:rFonts w:asciiTheme="majorHAnsi" w:hAnsiTheme="majorHAnsi"/>
          <w:color w:val="FFFFFF" w:themeColor="background1"/>
          <w:sz w:val="32"/>
          <w:szCs w:val="32"/>
        </w:rPr>
        <w:t xml:space="preserve"> e </w:t>
      </w:r>
      <w:proofErr w:type="spellStart"/>
      <w:r>
        <w:rPr>
          <w:rFonts w:asciiTheme="majorHAnsi" w:hAnsiTheme="majorHAnsi"/>
          <w:color w:val="FFFFFF" w:themeColor="background1"/>
          <w:sz w:val="32"/>
          <w:szCs w:val="32"/>
        </w:rPr>
        <w:t>referencës</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Grupi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teknik</w:t>
      </w:r>
      <w:bookmarkEnd w:id="99"/>
      <w:proofErr w:type="spellEnd"/>
    </w:p>
    <w:p w14:paraId="1060E9B1" w14:textId="77777777" w:rsidR="00B25DF6" w:rsidRPr="00D47B0D" w:rsidRDefault="00B25DF6" w:rsidP="00B25DF6"/>
    <w:p w14:paraId="70F1D482" w14:textId="77777777" w:rsidR="00B25DF6" w:rsidRPr="00D47B0D" w:rsidRDefault="00B25DF6" w:rsidP="00B25DF6">
      <w:r w:rsidRPr="00D86DF1">
        <w:rPr>
          <w:rFonts w:ascii="Cambria" w:hAnsi="Cambria"/>
          <w:b/>
          <w:noProof/>
          <w:sz w:val="22"/>
          <w:szCs w:val="22"/>
          <w:lang w:val="en-US"/>
        </w:rPr>
        <w:drawing>
          <wp:anchor distT="0" distB="0" distL="114300" distR="114300" simplePos="0" relativeHeight="251658244" behindDoc="0" locked="0" layoutInCell="1" allowOverlap="1" wp14:anchorId="3F13C3C2" wp14:editId="7449B454">
            <wp:simplePos x="0" y="0"/>
            <wp:positionH relativeFrom="column">
              <wp:posOffset>-73025</wp:posOffset>
            </wp:positionH>
            <wp:positionV relativeFrom="paragraph">
              <wp:posOffset>177165</wp:posOffset>
            </wp:positionV>
            <wp:extent cx="813435" cy="801370"/>
            <wp:effectExtent l="0" t="0" r="0" b="11430"/>
            <wp:wrapSquare wrapText="bothSides"/>
            <wp:docPr id="13" name="Picture 1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8727BB0" w14:textId="77777777" w:rsidR="00B25DF6" w:rsidRPr="00D26EBC" w:rsidRDefault="00B25DF6" w:rsidP="00B25DF6">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14:paraId="2AFFB72D" w14:textId="77777777" w:rsidR="00B25DF6" w:rsidRPr="00D26EBC" w:rsidRDefault="00B25DF6" w:rsidP="00B25DF6">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2F230194" w14:textId="77777777" w:rsidR="00B25DF6" w:rsidRPr="00D47B0D" w:rsidRDefault="00B25DF6" w:rsidP="00B25DF6">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6D006880" w14:textId="77777777" w:rsidR="00B25DF6" w:rsidRPr="00D47B0D" w:rsidRDefault="00B25DF6" w:rsidP="00B25DF6">
      <w:pPr>
        <w:rPr>
          <w:rFonts w:asciiTheme="majorHAnsi" w:hAnsiTheme="majorHAnsi" w:cs="Book Antiqua"/>
          <w:b/>
          <w:bCs/>
          <w:iCs/>
          <w:sz w:val="16"/>
          <w:szCs w:val="16"/>
          <w:lang w:eastAsia="de-CH"/>
        </w:rPr>
      </w:pPr>
    </w:p>
    <w:p w14:paraId="70976726"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7B5D0028"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39DBF957"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64396135" w14:textId="77777777" w:rsidR="00B25DF6" w:rsidRPr="00D47B0D" w:rsidRDefault="00B25DF6" w:rsidP="00B25DF6">
      <w:pPr>
        <w:rPr>
          <w:rFonts w:ascii="Cambria" w:hAnsi="Cambria" w:cs="Arial"/>
          <w:sz w:val="22"/>
          <w:szCs w:val="22"/>
          <w:lang w:eastAsia="de-CH"/>
        </w:rPr>
      </w:pPr>
    </w:p>
    <w:p w14:paraId="0853240B" w14:textId="77777777" w:rsidR="00B25DF6" w:rsidRPr="00D47B0D" w:rsidRDefault="00B25DF6" w:rsidP="00B25DF6">
      <w:pPr>
        <w:rPr>
          <w:rFonts w:ascii="Cambria" w:hAnsi="Cambria" w:cs="Arial"/>
          <w:sz w:val="22"/>
          <w:szCs w:val="22"/>
          <w:lang w:eastAsia="de-CH"/>
        </w:rPr>
      </w:pPr>
    </w:p>
    <w:p w14:paraId="789A8226" w14:textId="77777777" w:rsidR="00B25DF6" w:rsidRPr="00D47B0D" w:rsidRDefault="00B25DF6" w:rsidP="00B25DF6">
      <w:pPr>
        <w:rPr>
          <w:rFonts w:ascii="Calibri" w:hAnsi="Calibri" w:cs="Arial"/>
          <w:b/>
          <w:sz w:val="22"/>
          <w:szCs w:val="22"/>
          <w:lang w:eastAsia="de-CH"/>
        </w:rPr>
      </w:pPr>
    </w:p>
    <w:p w14:paraId="5A7FE8EF" w14:textId="77777777" w:rsidR="00B25DF6" w:rsidRPr="00D47B0D" w:rsidRDefault="00B25DF6" w:rsidP="00B25DF6">
      <w:pPr>
        <w:rPr>
          <w:rFonts w:ascii="Calibri" w:hAnsi="Calibri" w:cs="Arial"/>
          <w:sz w:val="22"/>
          <w:szCs w:val="22"/>
          <w:lang w:eastAsia="de-CH"/>
        </w:rPr>
      </w:pPr>
    </w:p>
    <w:p w14:paraId="7817FFD9" w14:textId="77777777" w:rsidR="00B25DF6" w:rsidRPr="00D47B0D" w:rsidRDefault="00B25DF6" w:rsidP="00B25DF6">
      <w:pPr>
        <w:rPr>
          <w:rFonts w:ascii="Calibri" w:hAnsi="Calibri" w:cs="Arial"/>
          <w:sz w:val="22"/>
          <w:szCs w:val="22"/>
          <w:lang w:eastAsia="de-CH"/>
        </w:rPr>
      </w:pPr>
    </w:p>
    <w:p w14:paraId="4BBF1EAB" w14:textId="77777777" w:rsidR="00B25DF6" w:rsidRPr="00D47B0D" w:rsidRDefault="00B25DF6" w:rsidP="00B25DF6">
      <w:pPr>
        <w:rPr>
          <w:rFonts w:ascii="Calibri" w:hAnsi="Calibri" w:cs="Arial"/>
          <w:sz w:val="22"/>
          <w:szCs w:val="22"/>
          <w:lang w:eastAsia="de-CH"/>
        </w:rPr>
      </w:pPr>
    </w:p>
    <w:p w14:paraId="7E086341" w14:textId="77777777" w:rsidR="00B25DF6" w:rsidRPr="00D47B0D" w:rsidRDefault="00B25DF6" w:rsidP="00B25DF6">
      <w:pPr>
        <w:rPr>
          <w:rFonts w:ascii="Calibri" w:hAnsi="Calibri" w:cs="Arial"/>
          <w:sz w:val="22"/>
          <w:szCs w:val="22"/>
          <w:lang w:eastAsia="de-CH"/>
        </w:rPr>
      </w:pPr>
    </w:p>
    <w:p w14:paraId="22D4AC5A" w14:textId="77777777" w:rsidR="00B25DF6" w:rsidRPr="00D47B0D" w:rsidRDefault="00B25DF6" w:rsidP="00B25DF6">
      <w:pPr>
        <w:rPr>
          <w:rFonts w:ascii="Calibri" w:hAnsi="Calibri" w:cs="Arial"/>
          <w:sz w:val="22"/>
          <w:szCs w:val="22"/>
          <w:lang w:eastAsia="de-CH"/>
        </w:rPr>
      </w:pPr>
    </w:p>
    <w:p w14:paraId="53E4B65C" w14:textId="77777777" w:rsidR="00B25DF6" w:rsidRPr="00D47B0D" w:rsidRDefault="00B25DF6" w:rsidP="00B25DF6">
      <w:pPr>
        <w:rPr>
          <w:rFonts w:ascii="Calibri" w:hAnsi="Calibri" w:cs="Arial"/>
          <w:sz w:val="22"/>
          <w:szCs w:val="22"/>
          <w:lang w:eastAsia="de-CH"/>
        </w:rPr>
      </w:pPr>
    </w:p>
    <w:p w14:paraId="0834D412" w14:textId="77777777" w:rsidR="00B25DF6" w:rsidRPr="00D47B0D" w:rsidRDefault="00B25DF6" w:rsidP="00B25DF6">
      <w:pPr>
        <w:rPr>
          <w:rFonts w:ascii="Calibri" w:hAnsi="Calibri" w:cs="Arial"/>
          <w:sz w:val="22"/>
          <w:szCs w:val="22"/>
          <w:lang w:eastAsia="de-CH"/>
        </w:rPr>
      </w:pPr>
    </w:p>
    <w:p w14:paraId="6DB8788C" w14:textId="77777777" w:rsidR="00B25DF6" w:rsidRPr="00D47B0D" w:rsidRDefault="00B25DF6" w:rsidP="00B25DF6">
      <w:pPr>
        <w:rPr>
          <w:rFonts w:ascii="Calibri" w:hAnsi="Calibri" w:cs="Arial"/>
          <w:sz w:val="22"/>
          <w:szCs w:val="22"/>
          <w:lang w:eastAsia="de-CH"/>
        </w:rPr>
      </w:pPr>
    </w:p>
    <w:p w14:paraId="58F59409" w14:textId="77777777" w:rsidR="00B25DF6" w:rsidRPr="00D47B0D" w:rsidRDefault="00B25DF6" w:rsidP="00B25DF6">
      <w:pPr>
        <w:rPr>
          <w:rFonts w:ascii="Calibri" w:hAnsi="Calibri" w:cs="Arial"/>
          <w:b/>
          <w:sz w:val="22"/>
          <w:szCs w:val="22"/>
          <w:lang w:eastAsia="de-CH"/>
        </w:rPr>
      </w:pPr>
    </w:p>
    <w:p w14:paraId="603CFCCD" w14:textId="77777777" w:rsidR="00B25DF6" w:rsidRPr="00D47B0D" w:rsidRDefault="00B25DF6" w:rsidP="00B25DF6">
      <w:pPr>
        <w:rPr>
          <w:rFonts w:ascii="Calibri" w:hAnsi="Calibri" w:cs="Arial"/>
          <w:b/>
          <w:sz w:val="32"/>
          <w:szCs w:val="32"/>
          <w:u w:val="single"/>
          <w:lang w:eastAsia="de-CH"/>
        </w:rPr>
      </w:pPr>
      <w:r w:rsidRPr="00D47B0D">
        <w:rPr>
          <w:rFonts w:ascii="Calibri" w:hAnsi="Calibri" w:cs="Arial"/>
          <w:b/>
          <w:sz w:val="32"/>
          <w:szCs w:val="32"/>
          <w:u w:val="single"/>
          <w:lang w:eastAsia="de-CH"/>
        </w:rPr>
        <w:t>Term</w:t>
      </w:r>
      <w:r>
        <w:rPr>
          <w:rFonts w:ascii="Calibri" w:hAnsi="Calibri" w:cs="Arial"/>
          <w:b/>
          <w:sz w:val="32"/>
          <w:szCs w:val="32"/>
          <w:u w:val="single"/>
          <w:lang w:eastAsia="de-CH"/>
        </w:rPr>
        <w:t xml:space="preserve">at e referencës </w:t>
      </w:r>
      <w:r w:rsidRPr="00D47B0D">
        <w:rPr>
          <w:rFonts w:ascii="Calibri" w:hAnsi="Calibri" w:cs="Arial"/>
          <w:b/>
          <w:sz w:val="32"/>
          <w:szCs w:val="32"/>
          <w:u w:val="single"/>
          <w:lang w:eastAsia="de-CH"/>
        </w:rPr>
        <w:t xml:space="preserve"> </w:t>
      </w:r>
    </w:p>
    <w:p w14:paraId="1EBB3504"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për</w:t>
      </w:r>
      <w:r w:rsidRPr="00D47B0D">
        <w:rPr>
          <w:rFonts w:ascii="Calibri" w:hAnsi="Calibri" w:cs="Arial"/>
          <w:b/>
          <w:sz w:val="32"/>
          <w:szCs w:val="32"/>
          <w:u w:val="single"/>
          <w:lang w:eastAsia="de-CH"/>
        </w:rPr>
        <w:t xml:space="preserve"> </w:t>
      </w:r>
    </w:p>
    <w:p w14:paraId="0EEDAD8D"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Grupin Teknik</w:t>
      </w:r>
      <w:r w:rsidRPr="00D47B0D">
        <w:rPr>
          <w:rFonts w:ascii="Calibri" w:hAnsi="Calibri" w:cs="Arial"/>
          <w:b/>
          <w:sz w:val="32"/>
          <w:szCs w:val="32"/>
          <w:u w:val="single"/>
          <w:lang w:eastAsia="de-CH"/>
        </w:rPr>
        <w:t xml:space="preserve"> (G</w:t>
      </w:r>
      <w:r>
        <w:rPr>
          <w:rFonts w:ascii="Calibri" w:hAnsi="Calibri" w:cs="Arial"/>
          <w:b/>
          <w:sz w:val="32"/>
          <w:szCs w:val="32"/>
          <w:u w:val="single"/>
          <w:lang w:eastAsia="de-CH"/>
        </w:rPr>
        <w:t>T</w:t>
      </w:r>
      <w:r w:rsidRPr="00D47B0D">
        <w:rPr>
          <w:rFonts w:ascii="Calibri" w:hAnsi="Calibri" w:cs="Arial"/>
          <w:b/>
          <w:sz w:val="32"/>
          <w:szCs w:val="32"/>
          <w:u w:val="single"/>
          <w:lang w:eastAsia="de-CH"/>
        </w:rPr>
        <w:t>)</w:t>
      </w:r>
    </w:p>
    <w:p w14:paraId="4F27BE8F" w14:textId="77777777" w:rsidR="00B25DF6" w:rsidRPr="00D47B0D" w:rsidRDefault="00B25DF6" w:rsidP="00B25DF6">
      <w:pPr>
        <w:rPr>
          <w:rFonts w:ascii="Calibri" w:hAnsi="Calibri" w:cs="Arial"/>
          <w:b/>
          <w:sz w:val="32"/>
          <w:szCs w:val="32"/>
          <w:lang w:eastAsia="de-CH"/>
        </w:rPr>
      </w:pPr>
    </w:p>
    <w:p w14:paraId="42C6409A" w14:textId="77777777" w:rsidR="00B25DF6" w:rsidRPr="00D47B0D" w:rsidRDefault="00B25DF6" w:rsidP="00B25DF6">
      <w:pPr>
        <w:rPr>
          <w:rFonts w:ascii="Calibri" w:hAnsi="Calibri" w:cs="Arial"/>
          <w:b/>
          <w:sz w:val="32"/>
          <w:szCs w:val="32"/>
          <w:lang w:eastAsia="de-CH"/>
        </w:rPr>
      </w:pPr>
    </w:p>
    <w:p w14:paraId="4AA926D1" w14:textId="77777777" w:rsidR="00B25DF6" w:rsidRPr="00D47B0D" w:rsidRDefault="00B25DF6" w:rsidP="00B25DF6">
      <w:pPr>
        <w:rPr>
          <w:rFonts w:ascii="Calibri" w:hAnsi="Calibri" w:cs="Arial"/>
          <w:b/>
          <w:sz w:val="32"/>
          <w:szCs w:val="32"/>
          <w:lang w:eastAsia="de-CH"/>
        </w:rPr>
      </w:pPr>
    </w:p>
    <w:p w14:paraId="5642F5B8" w14:textId="77777777" w:rsidR="00B25DF6" w:rsidRPr="00D47B0D" w:rsidRDefault="00B25DF6" w:rsidP="00B25DF6">
      <w:pPr>
        <w:rPr>
          <w:rFonts w:ascii="Calibri" w:hAnsi="Calibri" w:cs="Arial"/>
          <w:b/>
          <w:sz w:val="32"/>
          <w:szCs w:val="32"/>
          <w:lang w:eastAsia="de-CH"/>
        </w:rPr>
      </w:pPr>
    </w:p>
    <w:p w14:paraId="61D96CDB" w14:textId="77777777" w:rsidR="00B25DF6" w:rsidRPr="00D47B0D" w:rsidRDefault="00B25DF6" w:rsidP="00B25DF6">
      <w:pPr>
        <w:rPr>
          <w:rFonts w:ascii="Calibri" w:hAnsi="Calibri" w:cs="Arial"/>
          <w:sz w:val="28"/>
          <w:szCs w:val="28"/>
          <w:lang w:eastAsia="de-CH"/>
        </w:rPr>
      </w:pPr>
    </w:p>
    <w:p w14:paraId="6D3205AB" w14:textId="77777777" w:rsidR="00B25DF6" w:rsidRPr="00D47B0D" w:rsidRDefault="00B25DF6" w:rsidP="00B25DF6">
      <w:pPr>
        <w:rPr>
          <w:rFonts w:ascii="Calibri" w:hAnsi="Calibri" w:cs="Arial"/>
          <w:b/>
          <w:sz w:val="22"/>
          <w:szCs w:val="22"/>
          <w:u w:val="single"/>
          <w:lang w:eastAsia="de-CH"/>
        </w:rPr>
      </w:pPr>
    </w:p>
    <w:p w14:paraId="3310517B" w14:textId="77777777" w:rsidR="00B25DF6" w:rsidRPr="00D47B0D" w:rsidRDefault="00B25DF6" w:rsidP="00B25DF6">
      <w:pPr>
        <w:rPr>
          <w:rFonts w:ascii="Calibri" w:hAnsi="Calibri" w:cs="Arial"/>
          <w:b/>
          <w:sz w:val="22"/>
          <w:szCs w:val="22"/>
          <w:lang w:eastAsia="de-CH"/>
        </w:rPr>
      </w:pPr>
    </w:p>
    <w:p w14:paraId="1412A5F1" w14:textId="77777777" w:rsidR="00B25DF6" w:rsidRPr="00D47B0D" w:rsidRDefault="00B25DF6" w:rsidP="00B25DF6">
      <w:pPr>
        <w:rPr>
          <w:rFonts w:ascii="Calibri" w:hAnsi="Calibri" w:cs="Arial"/>
          <w:b/>
          <w:sz w:val="22"/>
          <w:szCs w:val="22"/>
          <w:lang w:eastAsia="de-CH"/>
        </w:rPr>
      </w:pPr>
    </w:p>
    <w:p w14:paraId="2A74C241" w14:textId="77777777" w:rsidR="00B25DF6" w:rsidRPr="00D47B0D" w:rsidRDefault="00B25DF6" w:rsidP="00B25DF6">
      <w:pPr>
        <w:rPr>
          <w:rFonts w:ascii="Calibri" w:hAnsi="Calibri" w:cs="Arial"/>
          <w:b/>
          <w:sz w:val="22"/>
          <w:szCs w:val="22"/>
          <w:lang w:eastAsia="de-CH"/>
        </w:rPr>
      </w:pPr>
    </w:p>
    <w:p w14:paraId="5C4CF7D3" w14:textId="77777777" w:rsidR="00B25DF6" w:rsidRPr="00D47B0D" w:rsidRDefault="00B25DF6" w:rsidP="00B25DF6">
      <w:pPr>
        <w:rPr>
          <w:rFonts w:ascii="Calibri" w:hAnsi="Calibri" w:cs="Arial"/>
          <w:b/>
          <w:sz w:val="22"/>
          <w:szCs w:val="22"/>
          <w:lang w:eastAsia="de-CH"/>
        </w:rPr>
      </w:pPr>
    </w:p>
    <w:p w14:paraId="0FCC4D0C" w14:textId="77777777" w:rsidR="00B25DF6" w:rsidRPr="00D47B0D" w:rsidRDefault="00B25DF6" w:rsidP="00B25DF6">
      <w:pPr>
        <w:rPr>
          <w:rFonts w:ascii="Calibri" w:hAnsi="Calibri" w:cs="Arial"/>
          <w:b/>
          <w:sz w:val="22"/>
          <w:szCs w:val="22"/>
          <w:lang w:eastAsia="de-CH"/>
        </w:rPr>
      </w:pPr>
    </w:p>
    <w:p w14:paraId="2BB46E59" w14:textId="77777777" w:rsidR="00B25DF6" w:rsidRPr="00D47B0D" w:rsidRDefault="00B25DF6" w:rsidP="00B25DF6">
      <w:pPr>
        <w:rPr>
          <w:rFonts w:ascii="Calibri" w:hAnsi="Calibri" w:cs="Arial"/>
          <w:b/>
          <w:sz w:val="22"/>
          <w:szCs w:val="22"/>
          <w:lang w:eastAsia="de-CH"/>
        </w:rPr>
      </w:pPr>
    </w:p>
    <w:p w14:paraId="43FA0D85" w14:textId="77777777" w:rsidR="00B25DF6" w:rsidRPr="00D47B0D" w:rsidRDefault="00B25DF6" w:rsidP="00B25DF6">
      <w:pPr>
        <w:rPr>
          <w:rFonts w:ascii="Calibri" w:hAnsi="Calibri" w:cs="Arial"/>
          <w:b/>
          <w:sz w:val="22"/>
          <w:szCs w:val="22"/>
          <w:lang w:eastAsia="de-CH"/>
        </w:rPr>
      </w:pPr>
    </w:p>
    <w:p w14:paraId="6AE58234" w14:textId="77777777" w:rsidR="00B25DF6" w:rsidRPr="00D47B0D" w:rsidRDefault="00B25DF6" w:rsidP="00B25DF6">
      <w:pPr>
        <w:rPr>
          <w:rFonts w:ascii="Calibri" w:hAnsi="Calibri" w:cs="Arial"/>
          <w:b/>
          <w:sz w:val="22"/>
          <w:szCs w:val="22"/>
          <w:lang w:eastAsia="de-CH"/>
        </w:rPr>
      </w:pPr>
    </w:p>
    <w:p w14:paraId="01C0EB66" w14:textId="77777777" w:rsidR="00B25DF6" w:rsidRPr="00D47B0D" w:rsidRDefault="00B25DF6" w:rsidP="00B25DF6">
      <w:pPr>
        <w:rPr>
          <w:rFonts w:ascii="Calibri" w:hAnsi="Calibri" w:cs="Arial"/>
          <w:b/>
          <w:sz w:val="22"/>
          <w:szCs w:val="22"/>
          <w:lang w:eastAsia="de-CH"/>
        </w:rPr>
      </w:pPr>
    </w:p>
    <w:p w14:paraId="611347BF" w14:textId="77777777" w:rsidR="00B25DF6" w:rsidRPr="00D47B0D" w:rsidRDefault="00B25DF6" w:rsidP="00B25DF6">
      <w:pPr>
        <w:rPr>
          <w:rFonts w:ascii="Calibri" w:hAnsi="Calibri" w:cs="Arial"/>
          <w:b/>
          <w:bCs/>
          <w:iCs/>
          <w:sz w:val="22"/>
          <w:szCs w:val="22"/>
          <w:lang w:eastAsia="de-CH"/>
        </w:rPr>
      </w:pPr>
      <w:r w:rsidRPr="00D47B0D">
        <w:rPr>
          <w:rFonts w:ascii="Calibri" w:hAnsi="Calibri" w:cs="Arial"/>
          <w:sz w:val="22"/>
          <w:szCs w:val="22"/>
          <w:lang w:eastAsia="de-CH"/>
        </w:rPr>
        <w:br w:type="page"/>
      </w:r>
      <w:r w:rsidRPr="000E4B09">
        <w:rPr>
          <w:rFonts w:asciiTheme="majorHAnsi" w:hAnsiTheme="majorHAnsi"/>
          <w:sz w:val="21"/>
          <w:szCs w:val="21"/>
          <w:lang w:eastAsia="en-GB"/>
        </w:rPr>
        <w:lastRenderedPageBreak/>
        <w:t xml:space="preserve"> </w:t>
      </w:r>
      <w:r w:rsidRPr="00D47B0D">
        <w:rPr>
          <w:rFonts w:ascii="Calibri" w:hAnsi="Calibri" w:cs="Arial"/>
          <w:b/>
          <w:bCs/>
          <w:iCs/>
          <w:sz w:val="22"/>
          <w:szCs w:val="22"/>
          <w:lang w:eastAsia="de-CH"/>
        </w:rPr>
        <w:t xml:space="preserve">2. </w:t>
      </w:r>
      <w:r>
        <w:rPr>
          <w:rFonts w:ascii="Calibri" w:hAnsi="Calibri" w:cs="Arial"/>
          <w:b/>
          <w:bCs/>
          <w:iCs/>
          <w:sz w:val="22"/>
          <w:szCs w:val="22"/>
          <w:lang w:eastAsia="de-CH"/>
        </w:rPr>
        <w:t>Detyrat dhe përgjegjësitë e Grupit Teknik (</w:t>
      </w:r>
      <w:r w:rsidRPr="00D47B0D">
        <w:rPr>
          <w:rFonts w:ascii="Calibri" w:hAnsi="Calibri" w:cs="Arial"/>
          <w:b/>
          <w:bCs/>
          <w:iCs/>
          <w:sz w:val="22"/>
          <w:szCs w:val="22"/>
          <w:lang w:eastAsia="de-CH"/>
        </w:rPr>
        <w:t>G</w:t>
      </w:r>
      <w:r>
        <w:rPr>
          <w:rFonts w:ascii="Calibri" w:hAnsi="Calibri" w:cs="Arial"/>
          <w:b/>
          <w:bCs/>
          <w:iCs/>
          <w:sz w:val="22"/>
          <w:szCs w:val="22"/>
          <w:lang w:eastAsia="de-CH"/>
        </w:rPr>
        <w:t>T</w:t>
      </w:r>
      <w:r w:rsidRPr="00D47B0D">
        <w:rPr>
          <w:rFonts w:ascii="Calibri" w:hAnsi="Calibri" w:cs="Arial"/>
          <w:b/>
          <w:bCs/>
          <w:iCs/>
          <w:sz w:val="22"/>
          <w:szCs w:val="22"/>
          <w:lang w:eastAsia="de-CH"/>
        </w:rPr>
        <w:t>):</w:t>
      </w:r>
    </w:p>
    <w:p w14:paraId="3BB46439" w14:textId="77777777" w:rsidR="00B25DF6" w:rsidRPr="000E4B09" w:rsidRDefault="00B25DF6" w:rsidP="00B25DF6">
      <w:pPr>
        <w:spacing w:line="300" w:lineRule="atLeast"/>
        <w:rPr>
          <w:rFonts w:asciiTheme="majorHAnsi" w:hAnsiTheme="majorHAnsi" w:cstheme="majorHAnsi"/>
          <w:sz w:val="21"/>
          <w:szCs w:val="21"/>
          <w:lang w:eastAsia="de-CH"/>
        </w:rPr>
      </w:pPr>
      <w:r w:rsidRPr="000E4B09">
        <w:rPr>
          <w:rFonts w:asciiTheme="majorHAnsi" w:hAnsiTheme="majorHAnsi" w:cstheme="majorHAnsi"/>
          <w:sz w:val="21"/>
          <w:szCs w:val="21"/>
          <w:lang w:eastAsia="de-CH"/>
        </w:rPr>
        <w:t>Funksioni kryesor i GT-së është si më poshtë:</w:t>
      </w:r>
    </w:p>
    <w:p w14:paraId="1275B687" w14:textId="77777777" w:rsidR="00B25DF6" w:rsidRPr="000E4B09"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Pr>
          <w:rFonts w:asciiTheme="majorHAnsi" w:hAnsiTheme="majorHAnsi" w:cstheme="majorHAnsi"/>
          <w:sz w:val="21"/>
          <w:szCs w:val="21"/>
          <w:lang w:eastAsia="de-CH"/>
        </w:rPr>
        <w:t xml:space="preserve">Zbatimi i </w:t>
      </w:r>
      <w:r w:rsidRPr="000E4B09">
        <w:rPr>
          <w:rFonts w:asciiTheme="majorHAnsi" w:hAnsiTheme="majorHAnsi" w:cstheme="majorHAnsi"/>
          <w:sz w:val="21"/>
          <w:szCs w:val="21"/>
          <w:lang w:eastAsia="de-CH"/>
        </w:rPr>
        <w:t xml:space="preserve">rregullave </w:t>
      </w:r>
      <w:r>
        <w:rPr>
          <w:rFonts w:asciiTheme="majorHAnsi" w:hAnsiTheme="majorHAnsi" w:cstheme="majorHAnsi"/>
          <w:sz w:val="21"/>
          <w:szCs w:val="21"/>
          <w:lang w:eastAsia="de-CH"/>
        </w:rPr>
        <w:t>dhe standardeve të vlerësimit të GPK-së</w:t>
      </w:r>
      <w:r w:rsidRPr="000E4B09">
        <w:rPr>
          <w:rFonts w:asciiTheme="majorHAnsi" w:hAnsiTheme="majorHAnsi" w:cstheme="majorHAnsi"/>
          <w:sz w:val="21"/>
          <w:szCs w:val="21"/>
          <w:lang w:eastAsia="de-CH"/>
        </w:rPr>
        <w:t>;</w:t>
      </w:r>
    </w:p>
    <w:p w14:paraId="48E80806" w14:textId="77777777" w:rsidR="00B25DF6" w:rsidRPr="000E4B09"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Pr>
          <w:rFonts w:asciiTheme="majorHAnsi" w:hAnsiTheme="majorHAnsi" w:cstheme="majorHAnsi"/>
          <w:sz w:val="21"/>
          <w:szCs w:val="21"/>
          <w:lang w:eastAsia="de-CH"/>
        </w:rPr>
        <w:t>Mbledhja e të dhënave, analizimi dhe verifikimi i tyre ;</w:t>
      </w:r>
    </w:p>
    <w:p w14:paraId="0888A3C0" w14:textId="77777777" w:rsidR="0040288B"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07884">
        <w:rPr>
          <w:rFonts w:asciiTheme="majorHAnsi" w:hAnsiTheme="majorHAnsi" w:cstheme="majorHAnsi"/>
          <w:sz w:val="21"/>
          <w:szCs w:val="21"/>
          <w:lang w:eastAsia="de-CH"/>
        </w:rPr>
        <w:t xml:space="preserve">Vlerësimi i performancës së komunave sipas rregullave të </w:t>
      </w:r>
      <w:r>
        <w:rPr>
          <w:rFonts w:asciiTheme="majorHAnsi" w:hAnsiTheme="majorHAnsi" w:cstheme="majorHAnsi"/>
          <w:sz w:val="21"/>
          <w:szCs w:val="21"/>
          <w:lang w:eastAsia="de-CH"/>
        </w:rPr>
        <w:t>GPK-së</w:t>
      </w:r>
      <w:r w:rsidRPr="00007884">
        <w:rPr>
          <w:rFonts w:asciiTheme="majorHAnsi" w:hAnsiTheme="majorHAnsi" w:cstheme="majorHAnsi"/>
          <w:sz w:val="21"/>
          <w:szCs w:val="21"/>
          <w:lang w:eastAsia="de-CH"/>
        </w:rPr>
        <w:t>;</w:t>
      </w:r>
    </w:p>
    <w:p w14:paraId="7CFEC0DB" w14:textId="77777777" w:rsidR="00B25DF6" w:rsidRPr="00D812D8"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D812D8">
        <w:rPr>
          <w:rFonts w:asciiTheme="majorHAnsi" w:hAnsiTheme="majorHAnsi"/>
          <w:sz w:val="21"/>
          <w:szCs w:val="21"/>
        </w:rPr>
        <w:t>Llogaritja e shumës së grantit sipas formulës së përcaktuar në rregullat e GPK-s</w:t>
      </w:r>
      <w:r w:rsidR="005911E5">
        <w:rPr>
          <w:rFonts w:asciiTheme="majorHAnsi" w:hAnsiTheme="majorHAnsi"/>
          <w:sz w:val="21"/>
          <w:szCs w:val="21"/>
        </w:rPr>
        <w:t>ë</w:t>
      </w:r>
      <w:r w:rsidRPr="00D812D8">
        <w:rPr>
          <w:rFonts w:asciiTheme="majorHAnsi" w:hAnsiTheme="majorHAnsi"/>
          <w:sz w:val="21"/>
          <w:szCs w:val="21"/>
        </w:rPr>
        <w:t>;</w:t>
      </w:r>
    </w:p>
    <w:p w14:paraId="54399608" w14:textId="342AD545" w:rsidR="00B25DF6" w:rsidRPr="000E4B09"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Të sigurojë </w:t>
      </w:r>
      <w:r>
        <w:rPr>
          <w:rFonts w:asciiTheme="majorHAnsi" w:hAnsiTheme="majorHAnsi" w:cstheme="majorHAnsi"/>
          <w:sz w:val="21"/>
          <w:szCs w:val="21"/>
          <w:lang w:eastAsia="de-CH"/>
        </w:rPr>
        <w:t>bartjen e të dhënave</w:t>
      </w:r>
      <w:r w:rsidR="0008070F">
        <w:rPr>
          <w:rFonts w:asciiTheme="majorHAnsi" w:hAnsiTheme="majorHAnsi" w:cstheme="majorHAnsi"/>
          <w:sz w:val="21"/>
          <w:szCs w:val="21"/>
          <w:lang w:eastAsia="de-CH"/>
        </w:rPr>
        <w:t xml:space="preserve"> të kërkuara në fletëvlerësime</w:t>
      </w:r>
      <w:r>
        <w:rPr>
          <w:rFonts w:asciiTheme="majorHAnsi" w:hAnsiTheme="majorHAnsi" w:cstheme="majorHAnsi"/>
          <w:sz w:val="21"/>
          <w:szCs w:val="21"/>
          <w:lang w:eastAsia="de-CH"/>
        </w:rPr>
        <w:t xml:space="preserve">sipas burimit; </w:t>
      </w:r>
    </w:p>
    <w:p w14:paraId="403D9024" w14:textId="77777777" w:rsidR="00B25DF6" w:rsidRPr="00007884"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07884">
        <w:rPr>
          <w:rFonts w:asciiTheme="majorHAnsi" w:hAnsiTheme="majorHAnsi" w:cstheme="majorHAnsi"/>
          <w:sz w:val="21"/>
          <w:szCs w:val="21"/>
          <w:lang w:eastAsia="de-CH"/>
        </w:rPr>
        <w:t>Hartimi i raportit të vlerësimit për grant dhe adresimi për aprovim në Komisionin e Grantit;</w:t>
      </w:r>
    </w:p>
    <w:p w14:paraId="14CF89C0" w14:textId="77777777" w:rsidR="00B25DF6"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Pr>
          <w:rFonts w:asciiTheme="majorHAnsi" w:hAnsiTheme="majorHAnsi" w:cstheme="majorHAnsi"/>
          <w:sz w:val="21"/>
          <w:szCs w:val="21"/>
          <w:lang w:eastAsia="de-CH"/>
        </w:rPr>
        <w:t xml:space="preserve">Prezantimi i raportit të vlerësimit </w:t>
      </w:r>
      <w:r w:rsidR="0040288B">
        <w:rPr>
          <w:rFonts w:asciiTheme="majorHAnsi" w:hAnsiTheme="majorHAnsi" w:cstheme="majorHAnsi"/>
          <w:sz w:val="21"/>
          <w:szCs w:val="21"/>
          <w:lang w:eastAsia="de-CH"/>
        </w:rPr>
        <w:t xml:space="preserve">të </w:t>
      </w:r>
      <w:r>
        <w:rPr>
          <w:rFonts w:asciiTheme="majorHAnsi" w:hAnsiTheme="majorHAnsi" w:cstheme="majorHAnsi"/>
          <w:sz w:val="21"/>
          <w:szCs w:val="21"/>
          <w:lang w:eastAsia="de-CH"/>
        </w:rPr>
        <w:t>GPK</w:t>
      </w:r>
      <w:r w:rsidR="0040288B">
        <w:rPr>
          <w:rFonts w:asciiTheme="majorHAnsi" w:hAnsiTheme="majorHAnsi" w:cstheme="majorHAnsi"/>
          <w:sz w:val="21"/>
          <w:szCs w:val="21"/>
          <w:lang w:eastAsia="de-CH"/>
        </w:rPr>
        <w:t>-së</w:t>
      </w:r>
      <w:r>
        <w:rPr>
          <w:rFonts w:asciiTheme="majorHAnsi" w:hAnsiTheme="majorHAnsi" w:cstheme="majorHAnsi"/>
          <w:sz w:val="21"/>
          <w:szCs w:val="21"/>
          <w:lang w:eastAsia="de-CH"/>
        </w:rPr>
        <w:t xml:space="preserve"> Komisionit të GPK-së</w:t>
      </w:r>
    </w:p>
    <w:p w14:paraId="78E447F7" w14:textId="77777777" w:rsidR="00B25DF6" w:rsidRPr="0052538C"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07884">
        <w:rPr>
          <w:rFonts w:asciiTheme="majorHAnsi" w:hAnsiTheme="majorHAnsi" w:cstheme="majorHAnsi"/>
          <w:sz w:val="21"/>
          <w:szCs w:val="21"/>
          <w:lang w:eastAsia="de-CH"/>
        </w:rPr>
        <w:t xml:space="preserve">Ofrimi i </w:t>
      </w:r>
      <w:r>
        <w:rPr>
          <w:rFonts w:asciiTheme="majorHAnsi" w:hAnsiTheme="majorHAnsi" w:cstheme="majorHAnsi"/>
          <w:sz w:val="21"/>
          <w:szCs w:val="21"/>
          <w:lang w:eastAsia="de-CH"/>
        </w:rPr>
        <w:t xml:space="preserve">sqarimeve të nevojshme sipas kërkesave të </w:t>
      </w:r>
      <w:r w:rsidRPr="00007884">
        <w:rPr>
          <w:rFonts w:asciiTheme="majorHAnsi" w:hAnsiTheme="majorHAnsi" w:cstheme="majorHAnsi"/>
          <w:sz w:val="21"/>
          <w:szCs w:val="21"/>
          <w:lang w:eastAsia="de-CH"/>
        </w:rPr>
        <w:t>Komisioni</w:t>
      </w:r>
      <w:r>
        <w:rPr>
          <w:rFonts w:asciiTheme="majorHAnsi" w:hAnsiTheme="majorHAnsi" w:cstheme="majorHAnsi"/>
          <w:sz w:val="21"/>
          <w:szCs w:val="21"/>
          <w:lang w:eastAsia="de-CH"/>
        </w:rPr>
        <w:t>t</w:t>
      </w:r>
      <w:r w:rsidRPr="00007884">
        <w:rPr>
          <w:rFonts w:asciiTheme="majorHAnsi" w:hAnsiTheme="majorHAnsi" w:cstheme="majorHAnsi"/>
          <w:sz w:val="21"/>
          <w:szCs w:val="21"/>
          <w:lang w:eastAsia="de-CH"/>
        </w:rPr>
        <w:t xml:space="preserve"> </w:t>
      </w:r>
      <w:r>
        <w:rPr>
          <w:rFonts w:asciiTheme="majorHAnsi" w:hAnsiTheme="majorHAnsi" w:cstheme="majorHAnsi"/>
          <w:sz w:val="21"/>
          <w:szCs w:val="21"/>
          <w:lang w:eastAsia="de-CH"/>
        </w:rPr>
        <w:t>të</w:t>
      </w:r>
      <w:r w:rsidRPr="00007884">
        <w:rPr>
          <w:rFonts w:asciiTheme="majorHAnsi" w:hAnsiTheme="majorHAnsi" w:cstheme="majorHAnsi"/>
          <w:sz w:val="21"/>
          <w:szCs w:val="21"/>
          <w:lang w:eastAsia="de-CH"/>
        </w:rPr>
        <w:t xml:space="preserve"> Gr</w:t>
      </w:r>
      <w:r>
        <w:rPr>
          <w:rFonts w:asciiTheme="majorHAnsi" w:hAnsiTheme="majorHAnsi" w:cstheme="majorHAnsi"/>
          <w:sz w:val="21"/>
          <w:szCs w:val="21"/>
          <w:lang w:eastAsia="de-CH"/>
        </w:rPr>
        <w:t>antit të Performancës Komunale dhe Komisionit të Ankesave;</w:t>
      </w:r>
    </w:p>
    <w:p w14:paraId="68A9B7ED" w14:textId="77777777" w:rsidR="00B25DF6" w:rsidRPr="00743B28" w:rsidRDefault="00B25DF6" w:rsidP="00D812D8">
      <w:pPr>
        <w:pStyle w:val="ListParagraph"/>
        <w:spacing w:after="0" w:line="300" w:lineRule="atLeast"/>
        <w:ind w:left="360"/>
        <w:rPr>
          <w:rFonts w:asciiTheme="majorHAnsi" w:hAnsiTheme="majorHAnsi" w:cstheme="majorHAnsi"/>
          <w:sz w:val="21"/>
          <w:szCs w:val="21"/>
          <w:lang w:eastAsia="de-CH"/>
        </w:rPr>
      </w:pPr>
    </w:p>
    <w:p w14:paraId="52020033" w14:textId="77777777" w:rsidR="00B25DF6" w:rsidRPr="000E4B09" w:rsidRDefault="00B25DF6" w:rsidP="00B25DF6">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0E4B09">
        <w:rPr>
          <w:rFonts w:asciiTheme="majorHAnsi" w:hAnsiTheme="majorHAnsi" w:cstheme="majorHAnsi"/>
          <w:b/>
          <w:bCs/>
          <w:iCs/>
          <w:sz w:val="21"/>
          <w:szCs w:val="21"/>
          <w:lang w:eastAsia="de-CH"/>
        </w:rPr>
        <w:t xml:space="preserve">. Administrimi i GT-së </w:t>
      </w:r>
    </w:p>
    <w:p w14:paraId="31CE7D18" w14:textId="77777777" w:rsidR="00B25DF6" w:rsidRPr="007D657A"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7D657A">
        <w:rPr>
          <w:rFonts w:asciiTheme="majorHAnsi" w:hAnsiTheme="majorHAnsi" w:cstheme="majorHAnsi"/>
          <w:sz w:val="21"/>
          <w:szCs w:val="21"/>
          <w:lang w:eastAsia="de-CH"/>
        </w:rPr>
        <w:t>Kryesuesi i GT-s</w:t>
      </w:r>
      <w:r>
        <w:rPr>
          <w:rFonts w:asciiTheme="majorHAnsi" w:hAnsiTheme="majorHAnsi" w:cstheme="majorHAnsi"/>
          <w:sz w:val="21"/>
          <w:szCs w:val="21"/>
          <w:lang w:eastAsia="de-CH"/>
        </w:rPr>
        <w:t>ë</w:t>
      </w:r>
      <w:r w:rsidRPr="007D657A">
        <w:rPr>
          <w:rFonts w:asciiTheme="majorHAnsi" w:hAnsiTheme="majorHAnsi" w:cstheme="majorHAnsi"/>
          <w:sz w:val="21"/>
          <w:szCs w:val="21"/>
          <w:lang w:eastAsia="de-CH"/>
        </w:rPr>
        <w:t xml:space="preserve"> përgatitë agjendën </w:t>
      </w:r>
      <w:r>
        <w:rPr>
          <w:rFonts w:asciiTheme="majorHAnsi" w:hAnsiTheme="majorHAnsi" w:cstheme="majorHAnsi"/>
          <w:sz w:val="21"/>
          <w:szCs w:val="21"/>
          <w:lang w:eastAsia="de-CH"/>
        </w:rPr>
        <w:t>dhe udhëheq takimet e GT-së</w:t>
      </w:r>
      <w:r w:rsidRPr="007D657A">
        <w:rPr>
          <w:rFonts w:asciiTheme="majorHAnsi" w:hAnsiTheme="majorHAnsi" w:cstheme="majorHAnsi"/>
          <w:sz w:val="21"/>
          <w:szCs w:val="21"/>
          <w:lang w:eastAsia="de-CH"/>
        </w:rPr>
        <w:t>.</w:t>
      </w:r>
    </w:p>
    <w:p w14:paraId="59A1D004" w14:textId="77777777" w:rsidR="0040288B"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40288B">
        <w:rPr>
          <w:rFonts w:asciiTheme="majorHAnsi" w:hAnsiTheme="majorHAnsi" w:cstheme="majorHAnsi"/>
          <w:sz w:val="21"/>
          <w:szCs w:val="21"/>
          <w:lang w:eastAsia="de-CH"/>
        </w:rPr>
        <w:t>Agjenda dhe dokumentet përkatëse duhet t'i bashkëngjiten njoftimit për takimet e GT-së.</w:t>
      </w:r>
    </w:p>
    <w:p w14:paraId="2FB6228A" w14:textId="77777777" w:rsidR="00B25DF6" w:rsidRPr="0040288B" w:rsidRDefault="0040288B"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Pr>
          <w:rFonts w:asciiTheme="majorHAnsi" w:hAnsiTheme="majorHAnsi" w:cstheme="majorHAnsi"/>
          <w:sz w:val="21"/>
          <w:szCs w:val="21"/>
          <w:lang w:eastAsia="de-CH"/>
        </w:rPr>
        <w:t>P</w:t>
      </w:r>
      <w:r w:rsidR="00B25DF6" w:rsidRPr="0040288B">
        <w:rPr>
          <w:rFonts w:asciiTheme="majorHAnsi" w:hAnsiTheme="majorHAnsi" w:cstheme="majorHAnsi"/>
          <w:sz w:val="21"/>
          <w:szCs w:val="21"/>
          <w:lang w:eastAsia="de-CH"/>
        </w:rPr>
        <w:t>ër takimet e GT-së përgatitet Procesverbali dhe miratohet nga të gjithë anëtarët.</w:t>
      </w:r>
    </w:p>
    <w:p w14:paraId="7957CFFC" w14:textId="77777777" w:rsidR="00B25DF6"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792B62">
        <w:rPr>
          <w:rFonts w:asciiTheme="majorHAnsi" w:hAnsiTheme="majorHAnsi" w:cstheme="majorHAnsi"/>
          <w:sz w:val="21"/>
          <w:szCs w:val="21"/>
          <w:lang w:eastAsia="de-CH"/>
        </w:rPr>
        <w:t>Anëtarët e GT-së duhet të jenë zyrtarë publik të njësisë përgjegjëse për performancë komunale. Në GT marrin pjesë në cilësinë e vendimmarrësve edhe përfaqësues të kontributdhënësve.</w:t>
      </w:r>
    </w:p>
    <w:p w14:paraId="38D2FE2B" w14:textId="77777777" w:rsidR="00B25DF6" w:rsidRPr="000E4B09"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Është e preferueshme që anëtarët e GT-së të kuptojnë dhe flasin gjuhën angleze. </w:t>
      </w:r>
    </w:p>
    <w:p w14:paraId="116D88C6" w14:textId="77777777" w:rsidR="00B25DF6" w:rsidRPr="00743B28" w:rsidRDefault="00B25DF6" w:rsidP="00B25DF6">
      <w:pPr>
        <w:spacing w:line="300" w:lineRule="atLeast"/>
        <w:rPr>
          <w:rFonts w:asciiTheme="majorHAnsi" w:hAnsiTheme="majorHAnsi" w:cstheme="majorHAnsi"/>
          <w:sz w:val="21"/>
          <w:szCs w:val="21"/>
          <w:lang w:eastAsia="de-CH"/>
        </w:rPr>
      </w:pPr>
    </w:p>
    <w:p w14:paraId="3224BC8B" w14:textId="77777777" w:rsidR="00B25DF6" w:rsidRPr="000E4B09" w:rsidRDefault="00B25DF6" w:rsidP="00B25DF6">
      <w:pPr>
        <w:rPr>
          <w:rFonts w:asciiTheme="majorHAnsi" w:hAnsiTheme="majorHAnsi" w:cstheme="majorHAnsi"/>
          <w:b/>
          <w:color w:val="C0504D"/>
          <w:sz w:val="21"/>
          <w:szCs w:val="21"/>
        </w:rPr>
      </w:pPr>
    </w:p>
    <w:p w14:paraId="4661E535" w14:textId="77777777" w:rsidR="00B25DF6" w:rsidRDefault="00B25DF6" w:rsidP="00B25DF6">
      <w:pPr>
        <w:rPr>
          <w:rFonts w:asciiTheme="majorHAnsi" w:hAnsiTheme="majorHAnsi" w:cstheme="majorHAnsi"/>
          <w:color w:val="FFFFFF" w:themeColor="background1"/>
          <w:sz w:val="21"/>
          <w:szCs w:val="21"/>
        </w:rPr>
      </w:pPr>
      <w:r w:rsidRPr="000E4B09">
        <w:rPr>
          <w:rFonts w:asciiTheme="majorHAnsi" w:hAnsiTheme="majorHAnsi" w:cstheme="majorHAnsi"/>
          <w:color w:val="FFFFFF" w:themeColor="background1"/>
          <w:sz w:val="21"/>
          <w:szCs w:val="21"/>
        </w:rPr>
        <w:br w:type="page"/>
      </w:r>
    </w:p>
    <w:p w14:paraId="34A2EB63" w14:textId="77777777" w:rsidR="00B25DF6" w:rsidRPr="00D47B0D" w:rsidRDefault="00B25DF6" w:rsidP="00B25DF6">
      <w:pPr>
        <w:pStyle w:val="Heading1"/>
        <w:shd w:val="clear" w:color="auto" w:fill="D55635"/>
        <w:tabs>
          <w:tab w:val="left" w:pos="540"/>
        </w:tabs>
        <w:rPr>
          <w:rFonts w:asciiTheme="majorHAnsi" w:hAnsiTheme="majorHAnsi"/>
          <w:color w:val="FFFFFF" w:themeColor="background1"/>
          <w:sz w:val="32"/>
          <w:szCs w:val="32"/>
        </w:rPr>
      </w:pPr>
      <w:r w:rsidRPr="00C576E1">
        <w:rPr>
          <w:rFonts w:asciiTheme="majorHAnsi" w:hAnsiTheme="majorHAnsi"/>
          <w:color w:val="FFFFFF" w:themeColor="background1"/>
          <w:sz w:val="32"/>
          <w:szCs w:val="32"/>
          <w:lang w:val="sq-AL"/>
        </w:rPr>
        <w:lastRenderedPageBreak/>
        <w:t xml:space="preserve"> </w:t>
      </w:r>
      <w:bookmarkStart w:id="100" w:name="_Toc61062548"/>
      <w:proofErr w:type="spellStart"/>
      <w:r>
        <w:rPr>
          <w:rFonts w:asciiTheme="majorHAnsi" w:hAnsiTheme="majorHAnsi"/>
          <w:color w:val="FFFFFF" w:themeColor="background1"/>
          <w:sz w:val="32"/>
          <w:szCs w:val="32"/>
        </w:rPr>
        <w:t>Shtojca</w:t>
      </w:r>
      <w:proofErr w:type="spellEnd"/>
      <w:r>
        <w:rPr>
          <w:rFonts w:asciiTheme="majorHAnsi" w:hAnsiTheme="majorHAnsi"/>
          <w:color w:val="FFFFFF" w:themeColor="background1"/>
          <w:sz w:val="32"/>
          <w:szCs w:val="32"/>
        </w:rPr>
        <w:t xml:space="preserve"> </w:t>
      </w:r>
      <w:r w:rsidR="008507DD">
        <w:rPr>
          <w:rFonts w:asciiTheme="majorHAnsi" w:hAnsiTheme="majorHAnsi"/>
          <w:color w:val="FFFFFF" w:themeColor="background1"/>
          <w:sz w:val="32"/>
          <w:szCs w:val="32"/>
        </w:rPr>
        <w:t>7</w:t>
      </w:r>
      <w:r w:rsidRPr="00D47B0D">
        <w:rPr>
          <w:rFonts w:asciiTheme="majorHAnsi" w:hAnsiTheme="majorHAnsi"/>
          <w:color w:val="FFFFFF" w:themeColor="background1"/>
          <w:sz w:val="32"/>
          <w:szCs w:val="32"/>
        </w:rPr>
        <w:t xml:space="preserve">: </w:t>
      </w:r>
      <w:proofErr w:type="spellStart"/>
      <w:r w:rsidRPr="00D47B0D">
        <w:rPr>
          <w:rFonts w:asciiTheme="majorHAnsi" w:hAnsiTheme="majorHAnsi"/>
          <w:color w:val="FFFFFF" w:themeColor="background1"/>
          <w:sz w:val="32"/>
          <w:szCs w:val="32"/>
        </w:rPr>
        <w:t>Term</w:t>
      </w:r>
      <w:r>
        <w:rPr>
          <w:rFonts w:asciiTheme="majorHAnsi" w:hAnsiTheme="majorHAnsi"/>
          <w:color w:val="FFFFFF" w:themeColor="background1"/>
          <w:sz w:val="32"/>
          <w:szCs w:val="32"/>
        </w:rPr>
        <w:t>at</w:t>
      </w:r>
      <w:proofErr w:type="spellEnd"/>
      <w:r>
        <w:rPr>
          <w:rFonts w:asciiTheme="majorHAnsi" w:hAnsiTheme="majorHAnsi"/>
          <w:color w:val="FFFFFF" w:themeColor="background1"/>
          <w:sz w:val="32"/>
          <w:szCs w:val="32"/>
        </w:rPr>
        <w:t xml:space="preserve"> e </w:t>
      </w:r>
      <w:proofErr w:type="spellStart"/>
      <w:r>
        <w:rPr>
          <w:rFonts w:asciiTheme="majorHAnsi" w:hAnsiTheme="majorHAnsi"/>
          <w:color w:val="FFFFFF" w:themeColor="background1"/>
          <w:sz w:val="32"/>
          <w:szCs w:val="32"/>
        </w:rPr>
        <w:t>referencës</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Komisioni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ankesave</w:t>
      </w:r>
      <w:bookmarkEnd w:id="100"/>
      <w:proofErr w:type="spellEnd"/>
    </w:p>
    <w:p w14:paraId="692CF33A" w14:textId="77777777" w:rsidR="00B25DF6" w:rsidRPr="00D26EBC" w:rsidRDefault="00B25DF6" w:rsidP="00B25DF6">
      <w:pPr>
        <w:rPr>
          <w:rFonts w:asciiTheme="majorHAnsi" w:hAnsiTheme="majorHAnsi"/>
          <w:b/>
          <w:bCs/>
          <w:sz w:val="16"/>
          <w:szCs w:val="16"/>
          <w:lang w:val="de-CH" w:eastAsia="de-CH"/>
        </w:rPr>
      </w:pPr>
      <w:r w:rsidRPr="00D86DF1">
        <w:rPr>
          <w:rFonts w:ascii="Cambria" w:hAnsi="Cambria"/>
          <w:b/>
          <w:noProof/>
          <w:sz w:val="22"/>
          <w:szCs w:val="22"/>
          <w:lang w:val="en-US"/>
        </w:rPr>
        <w:drawing>
          <wp:anchor distT="0" distB="0" distL="114300" distR="114300" simplePos="0" relativeHeight="251658245" behindDoc="0" locked="0" layoutInCell="1" allowOverlap="1" wp14:anchorId="4A97E5F6" wp14:editId="405DFA7D">
            <wp:simplePos x="0" y="0"/>
            <wp:positionH relativeFrom="margin">
              <wp:align>left</wp:align>
            </wp:positionH>
            <wp:positionV relativeFrom="paragraph">
              <wp:posOffset>8890</wp:posOffset>
            </wp:positionV>
            <wp:extent cx="813435" cy="801370"/>
            <wp:effectExtent l="0" t="0" r="5715" b="0"/>
            <wp:wrapSquare wrapText="bothSides"/>
            <wp:docPr id="2" name="Picture 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EBC">
        <w:rPr>
          <w:rFonts w:asciiTheme="majorHAnsi" w:hAnsiTheme="majorHAnsi" w:cs="Book Antiqua"/>
          <w:b/>
          <w:bCs/>
          <w:sz w:val="16"/>
          <w:szCs w:val="16"/>
          <w:lang w:val="de-CH" w:eastAsia="de-CH"/>
        </w:rPr>
        <w:t>Republika e Kosovës</w:t>
      </w:r>
    </w:p>
    <w:p w14:paraId="7C7BF619" w14:textId="77777777" w:rsidR="00B25DF6" w:rsidRPr="00D26EBC" w:rsidRDefault="00B25DF6" w:rsidP="00B25DF6">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3A9D0ADA" w14:textId="77777777" w:rsidR="00B25DF6" w:rsidRPr="00D47B0D" w:rsidRDefault="00B25DF6" w:rsidP="00B25DF6">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35B62B15" w14:textId="77777777" w:rsidR="00B25DF6" w:rsidRPr="00D47B0D" w:rsidRDefault="00B25DF6" w:rsidP="00B25DF6">
      <w:pPr>
        <w:rPr>
          <w:rFonts w:asciiTheme="majorHAnsi" w:hAnsiTheme="majorHAnsi" w:cs="Book Antiqua"/>
          <w:b/>
          <w:bCs/>
          <w:iCs/>
          <w:sz w:val="16"/>
          <w:szCs w:val="16"/>
          <w:lang w:eastAsia="de-CH"/>
        </w:rPr>
      </w:pPr>
    </w:p>
    <w:p w14:paraId="75B77CFC"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1B42B7ED"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6996B39F"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674C39F8" w14:textId="77777777" w:rsidR="00B25DF6" w:rsidRDefault="00B25DF6" w:rsidP="00B25DF6">
      <w:pPr>
        <w:rPr>
          <w:rFonts w:asciiTheme="majorHAnsi" w:hAnsiTheme="majorHAnsi" w:cstheme="majorHAnsi"/>
          <w:color w:val="FFFFFF" w:themeColor="background1"/>
          <w:sz w:val="21"/>
          <w:szCs w:val="21"/>
        </w:rPr>
      </w:pPr>
    </w:p>
    <w:p w14:paraId="7258D15B" w14:textId="77777777" w:rsidR="00B25DF6" w:rsidRDefault="00B25DF6" w:rsidP="00B25DF6">
      <w:pPr>
        <w:rPr>
          <w:rFonts w:asciiTheme="majorHAnsi" w:hAnsiTheme="majorHAnsi" w:cstheme="majorHAnsi"/>
          <w:color w:val="FFFFFF" w:themeColor="background1"/>
          <w:sz w:val="21"/>
          <w:szCs w:val="21"/>
        </w:rPr>
      </w:pPr>
    </w:p>
    <w:p w14:paraId="54649056" w14:textId="77777777" w:rsidR="00B25DF6" w:rsidRDefault="00B25DF6" w:rsidP="00B25DF6">
      <w:pPr>
        <w:rPr>
          <w:rFonts w:asciiTheme="majorHAnsi" w:hAnsiTheme="majorHAnsi" w:cstheme="majorHAnsi"/>
          <w:color w:val="FFFFFF" w:themeColor="background1"/>
          <w:sz w:val="21"/>
          <w:szCs w:val="21"/>
        </w:rPr>
      </w:pPr>
    </w:p>
    <w:p w14:paraId="31020BE2" w14:textId="77777777" w:rsidR="00B25DF6" w:rsidRDefault="00B25DF6" w:rsidP="00B25DF6">
      <w:pPr>
        <w:rPr>
          <w:rFonts w:asciiTheme="majorHAnsi" w:hAnsiTheme="majorHAnsi" w:cstheme="majorHAnsi"/>
          <w:color w:val="FFFFFF" w:themeColor="background1"/>
          <w:sz w:val="21"/>
          <w:szCs w:val="21"/>
        </w:rPr>
      </w:pPr>
    </w:p>
    <w:p w14:paraId="368EB25F" w14:textId="77777777" w:rsidR="00B25DF6" w:rsidRDefault="00B25DF6" w:rsidP="00B25DF6">
      <w:pPr>
        <w:rPr>
          <w:rFonts w:asciiTheme="majorHAnsi" w:hAnsiTheme="majorHAnsi" w:cstheme="majorHAnsi"/>
          <w:color w:val="FFFFFF" w:themeColor="background1"/>
          <w:sz w:val="21"/>
          <w:szCs w:val="21"/>
        </w:rPr>
      </w:pPr>
    </w:p>
    <w:p w14:paraId="1B5DB51D" w14:textId="77777777" w:rsidR="00B25DF6" w:rsidRDefault="00B25DF6" w:rsidP="00B25DF6">
      <w:pPr>
        <w:rPr>
          <w:rFonts w:asciiTheme="majorHAnsi" w:hAnsiTheme="majorHAnsi" w:cstheme="majorHAnsi"/>
          <w:color w:val="FFFFFF" w:themeColor="background1"/>
          <w:sz w:val="21"/>
          <w:szCs w:val="21"/>
        </w:rPr>
      </w:pPr>
    </w:p>
    <w:p w14:paraId="74F9E1C3" w14:textId="77777777" w:rsidR="00B25DF6" w:rsidRDefault="00B25DF6" w:rsidP="00B25DF6">
      <w:pPr>
        <w:rPr>
          <w:rFonts w:asciiTheme="majorHAnsi" w:hAnsiTheme="majorHAnsi" w:cstheme="majorHAnsi"/>
          <w:color w:val="FFFFFF" w:themeColor="background1"/>
          <w:sz w:val="21"/>
          <w:szCs w:val="21"/>
        </w:rPr>
      </w:pPr>
    </w:p>
    <w:p w14:paraId="3156F9F1" w14:textId="77777777" w:rsidR="00B25DF6" w:rsidRDefault="00B25DF6" w:rsidP="00B25DF6">
      <w:pPr>
        <w:rPr>
          <w:rFonts w:asciiTheme="majorHAnsi" w:hAnsiTheme="majorHAnsi" w:cstheme="majorHAnsi"/>
          <w:color w:val="FFFFFF" w:themeColor="background1"/>
          <w:sz w:val="21"/>
          <w:szCs w:val="21"/>
        </w:rPr>
      </w:pPr>
    </w:p>
    <w:p w14:paraId="70BF4F04" w14:textId="77777777" w:rsidR="00B25DF6" w:rsidRDefault="00B25DF6" w:rsidP="00B25DF6">
      <w:pPr>
        <w:rPr>
          <w:rFonts w:asciiTheme="majorHAnsi" w:hAnsiTheme="majorHAnsi" w:cstheme="majorHAnsi"/>
          <w:color w:val="FFFFFF" w:themeColor="background1"/>
          <w:sz w:val="21"/>
          <w:szCs w:val="21"/>
        </w:rPr>
      </w:pPr>
    </w:p>
    <w:p w14:paraId="76473CB1" w14:textId="77777777" w:rsidR="00B25DF6" w:rsidRDefault="00B25DF6" w:rsidP="00B25DF6">
      <w:pPr>
        <w:rPr>
          <w:rFonts w:asciiTheme="majorHAnsi" w:hAnsiTheme="majorHAnsi" w:cstheme="majorHAnsi"/>
          <w:color w:val="FFFFFF" w:themeColor="background1"/>
          <w:sz w:val="21"/>
          <w:szCs w:val="21"/>
        </w:rPr>
      </w:pPr>
    </w:p>
    <w:p w14:paraId="25F05667" w14:textId="77777777" w:rsidR="00B25DF6" w:rsidRDefault="00B25DF6" w:rsidP="00B25DF6">
      <w:pPr>
        <w:rPr>
          <w:rFonts w:asciiTheme="majorHAnsi" w:hAnsiTheme="majorHAnsi" w:cstheme="majorHAnsi"/>
          <w:color w:val="FFFFFF" w:themeColor="background1"/>
          <w:sz w:val="21"/>
          <w:szCs w:val="21"/>
        </w:rPr>
      </w:pPr>
    </w:p>
    <w:p w14:paraId="102F69E3" w14:textId="77777777" w:rsidR="00B25DF6" w:rsidRDefault="00B25DF6" w:rsidP="00B25DF6">
      <w:pPr>
        <w:rPr>
          <w:rFonts w:asciiTheme="majorHAnsi" w:hAnsiTheme="majorHAnsi" w:cstheme="majorHAnsi"/>
          <w:color w:val="FFFFFF" w:themeColor="background1"/>
          <w:sz w:val="21"/>
          <w:szCs w:val="21"/>
        </w:rPr>
      </w:pPr>
    </w:p>
    <w:p w14:paraId="05FDF359" w14:textId="77777777" w:rsidR="00B25DF6" w:rsidRPr="00D47B0D" w:rsidRDefault="00B25DF6" w:rsidP="00B25DF6">
      <w:pPr>
        <w:rPr>
          <w:rFonts w:ascii="Calibri" w:hAnsi="Calibri" w:cs="Arial"/>
          <w:b/>
          <w:sz w:val="32"/>
          <w:szCs w:val="32"/>
          <w:u w:val="single"/>
          <w:lang w:eastAsia="de-CH"/>
        </w:rPr>
      </w:pPr>
      <w:r w:rsidRPr="00D47B0D">
        <w:rPr>
          <w:rFonts w:ascii="Calibri" w:hAnsi="Calibri" w:cs="Arial"/>
          <w:b/>
          <w:sz w:val="32"/>
          <w:szCs w:val="32"/>
          <w:u w:val="single"/>
          <w:lang w:eastAsia="de-CH"/>
        </w:rPr>
        <w:t>Term</w:t>
      </w:r>
      <w:r>
        <w:rPr>
          <w:rFonts w:ascii="Calibri" w:hAnsi="Calibri" w:cs="Arial"/>
          <w:b/>
          <w:sz w:val="32"/>
          <w:szCs w:val="32"/>
          <w:u w:val="single"/>
          <w:lang w:eastAsia="de-CH"/>
        </w:rPr>
        <w:t xml:space="preserve">at e referencës </w:t>
      </w:r>
      <w:r w:rsidRPr="00D47B0D">
        <w:rPr>
          <w:rFonts w:ascii="Calibri" w:hAnsi="Calibri" w:cs="Arial"/>
          <w:b/>
          <w:sz w:val="32"/>
          <w:szCs w:val="32"/>
          <w:u w:val="single"/>
          <w:lang w:eastAsia="de-CH"/>
        </w:rPr>
        <w:t xml:space="preserve"> </w:t>
      </w:r>
    </w:p>
    <w:p w14:paraId="7A6D548D"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për</w:t>
      </w:r>
      <w:r w:rsidRPr="00D47B0D">
        <w:rPr>
          <w:rFonts w:ascii="Calibri" w:hAnsi="Calibri" w:cs="Arial"/>
          <w:b/>
          <w:sz w:val="32"/>
          <w:szCs w:val="32"/>
          <w:u w:val="single"/>
          <w:lang w:eastAsia="de-CH"/>
        </w:rPr>
        <w:t xml:space="preserve"> </w:t>
      </w:r>
    </w:p>
    <w:p w14:paraId="4F51A067"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 xml:space="preserve">Komisionin e ankesave </w:t>
      </w:r>
    </w:p>
    <w:p w14:paraId="098380F0" w14:textId="77777777" w:rsidR="00B25DF6" w:rsidRDefault="00B25DF6" w:rsidP="00B25DF6">
      <w:pPr>
        <w:rPr>
          <w:rFonts w:asciiTheme="majorHAnsi" w:hAnsiTheme="majorHAnsi" w:cstheme="majorHAnsi"/>
          <w:sz w:val="21"/>
          <w:szCs w:val="21"/>
        </w:rPr>
      </w:pPr>
    </w:p>
    <w:p w14:paraId="14F631C9" w14:textId="77777777" w:rsidR="00B25DF6" w:rsidRDefault="00B25DF6" w:rsidP="00B25DF6">
      <w:pPr>
        <w:rPr>
          <w:rFonts w:asciiTheme="majorHAnsi" w:hAnsiTheme="majorHAnsi" w:cstheme="majorHAnsi"/>
          <w:sz w:val="21"/>
          <w:szCs w:val="21"/>
        </w:rPr>
      </w:pPr>
    </w:p>
    <w:p w14:paraId="43E0A125" w14:textId="77777777" w:rsidR="00B25DF6" w:rsidRDefault="00B25DF6" w:rsidP="00B25DF6">
      <w:pPr>
        <w:rPr>
          <w:rFonts w:asciiTheme="majorHAnsi" w:hAnsiTheme="majorHAnsi" w:cstheme="majorHAnsi"/>
          <w:sz w:val="21"/>
          <w:szCs w:val="21"/>
        </w:rPr>
      </w:pPr>
    </w:p>
    <w:p w14:paraId="1B92D9F7" w14:textId="77777777" w:rsidR="00B25DF6" w:rsidRDefault="00B25DF6" w:rsidP="00B25DF6">
      <w:pPr>
        <w:rPr>
          <w:rFonts w:asciiTheme="majorHAnsi" w:hAnsiTheme="majorHAnsi" w:cstheme="majorHAnsi"/>
          <w:sz w:val="21"/>
          <w:szCs w:val="21"/>
        </w:rPr>
      </w:pPr>
    </w:p>
    <w:p w14:paraId="6BC0A42E" w14:textId="77777777" w:rsidR="00B25DF6" w:rsidRDefault="00B25DF6" w:rsidP="00B25DF6">
      <w:pPr>
        <w:rPr>
          <w:rFonts w:asciiTheme="majorHAnsi" w:hAnsiTheme="majorHAnsi" w:cstheme="majorHAnsi"/>
          <w:sz w:val="21"/>
          <w:szCs w:val="21"/>
        </w:rPr>
      </w:pPr>
    </w:p>
    <w:p w14:paraId="5867758A" w14:textId="77777777" w:rsidR="00B25DF6" w:rsidRPr="0052538C" w:rsidRDefault="00B25DF6" w:rsidP="00B25DF6">
      <w:pPr>
        <w:rPr>
          <w:rFonts w:asciiTheme="majorHAnsi" w:hAnsiTheme="majorHAnsi" w:cstheme="majorHAnsi"/>
          <w:sz w:val="21"/>
          <w:szCs w:val="21"/>
        </w:rPr>
      </w:pPr>
    </w:p>
    <w:p w14:paraId="141520A7" w14:textId="77777777" w:rsidR="00B25DF6" w:rsidRPr="0052538C" w:rsidRDefault="00B25DF6" w:rsidP="00B25DF6">
      <w:pPr>
        <w:rPr>
          <w:rFonts w:asciiTheme="majorHAnsi" w:hAnsiTheme="majorHAnsi" w:cstheme="majorHAnsi"/>
          <w:sz w:val="21"/>
          <w:szCs w:val="21"/>
        </w:rPr>
      </w:pPr>
    </w:p>
    <w:p w14:paraId="09926144" w14:textId="77777777" w:rsidR="00B25DF6" w:rsidRPr="0052538C" w:rsidRDefault="00B25DF6" w:rsidP="00B25DF6">
      <w:pPr>
        <w:rPr>
          <w:rFonts w:asciiTheme="majorHAnsi" w:hAnsiTheme="majorHAnsi" w:cstheme="majorHAnsi"/>
          <w:sz w:val="21"/>
          <w:szCs w:val="21"/>
        </w:rPr>
      </w:pPr>
    </w:p>
    <w:p w14:paraId="4FAA22D4" w14:textId="77777777" w:rsidR="00B25DF6" w:rsidRPr="0052538C" w:rsidRDefault="00B25DF6" w:rsidP="00B25DF6">
      <w:pPr>
        <w:rPr>
          <w:rFonts w:asciiTheme="majorHAnsi" w:hAnsiTheme="majorHAnsi" w:cstheme="majorHAnsi"/>
          <w:sz w:val="21"/>
          <w:szCs w:val="21"/>
        </w:rPr>
      </w:pPr>
    </w:p>
    <w:p w14:paraId="4D06F08A" w14:textId="77777777" w:rsidR="00B25DF6" w:rsidRPr="0052538C" w:rsidRDefault="00B25DF6" w:rsidP="00B25DF6">
      <w:pPr>
        <w:rPr>
          <w:rFonts w:asciiTheme="majorHAnsi" w:hAnsiTheme="majorHAnsi" w:cstheme="majorHAnsi"/>
          <w:sz w:val="21"/>
          <w:szCs w:val="21"/>
        </w:rPr>
      </w:pPr>
    </w:p>
    <w:p w14:paraId="1E46A997" w14:textId="77777777" w:rsidR="00B25DF6" w:rsidRPr="0052538C" w:rsidRDefault="00B25DF6" w:rsidP="00B25DF6">
      <w:pPr>
        <w:rPr>
          <w:rFonts w:asciiTheme="majorHAnsi" w:hAnsiTheme="majorHAnsi" w:cstheme="majorHAnsi"/>
          <w:sz w:val="21"/>
          <w:szCs w:val="21"/>
        </w:rPr>
      </w:pPr>
    </w:p>
    <w:p w14:paraId="17E4B5F6" w14:textId="77777777" w:rsidR="00B25DF6" w:rsidRPr="0052538C" w:rsidRDefault="00B25DF6" w:rsidP="00B25DF6">
      <w:pPr>
        <w:rPr>
          <w:rFonts w:asciiTheme="majorHAnsi" w:hAnsiTheme="majorHAnsi" w:cstheme="majorHAnsi"/>
          <w:sz w:val="21"/>
          <w:szCs w:val="21"/>
        </w:rPr>
      </w:pPr>
    </w:p>
    <w:p w14:paraId="3C25695F" w14:textId="77777777" w:rsidR="00B25DF6" w:rsidRPr="0052538C" w:rsidRDefault="00B25DF6" w:rsidP="00B25DF6">
      <w:pPr>
        <w:rPr>
          <w:rFonts w:asciiTheme="majorHAnsi" w:hAnsiTheme="majorHAnsi" w:cstheme="majorHAnsi"/>
          <w:sz w:val="21"/>
          <w:szCs w:val="21"/>
        </w:rPr>
      </w:pPr>
    </w:p>
    <w:p w14:paraId="02483489" w14:textId="77777777" w:rsidR="00B25DF6" w:rsidRPr="0052538C" w:rsidRDefault="00B25DF6" w:rsidP="00B25DF6">
      <w:pPr>
        <w:rPr>
          <w:rFonts w:asciiTheme="majorHAnsi" w:hAnsiTheme="majorHAnsi" w:cstheme="majorHAnsi"/>
          <w:sz w:val="21"/>
          <w:szCs w:val="21"/>
        </w:rPr>
      </w:pPr>
    </w:p>
    <w:p w14:paraId="27142923" w14:textId="77777777" w:rsidR="00B25DF6" w:rsidRPr="0052538C" w:rsidRDefault="00B25DF6" w:rsidP="00B25DF6">
      <w:pPr>
        <w:rPr>
          <w:rFonts w:asciiTheme="majorHAnsi" w:hAnsiTheme="majorHAnsi" w:cstheme="majorHAnsi"/>
          <w:sz w:val="21"/>
          <w:szCs w:val="21"/>
        </w:rPr>
      </w:pPr>
    </w:p>
    <w:p w14:paraId="4B7AF47D" w14:textId="77777777" w:rsidR="00B25DF6" w:rsidRPr="0052538C" w:rsidRDefault="00B25DF6" w:rsidP="00B25DF6">
      <w:pPr>
        <w:rPr>
          <w:rFonts w:asciiTheme="majorHAnsi" w:hAnsiTheme="majorHAnsi" w:cstheme="majorHAnsi"/>
          <w:sz w:val="21"/>
          <w:szCs w:val="21"/>
        </w:rPr>
      </w:pPr>
    </w:p>
    <w:p w14:paraId="470248E9" w14:textId="77777777" w:rsidR="00B25DF6" w:rsidRPr="0052538C" w:rsidRDefault="00B25DF6" w:rsidP="00B25DF6">
      <w:pPr>
        <w:rPr>
          <w:rFonts w:asciiTheme="majorHAnsi" w:hAnsiTheme="majorHAnsi" w:cstheme="majorHAnsi"/>
          <w:sz w:val="21"/>
          <w:szCs w:val="21"/>
        </w:rPr>
      </w:pPr>
    </w:p>
    <w:p w14:paraId="3DB3E2E5" w14:textId="77777777" w:rsidR="00B25DF6" w:rsidRPr="0052538C" w:rsidRDefault="00B25DF6" w:rsidP="00B25DF6">
      <w:pPr>
        <w:rPr>
          <w:rFonts w:asciiTheme="majorHAnsi" w:hAnsiTheme="majorHAnsi" w:cstheme="majorHAnsi"/>
          <w:sz w:val="21"/>
          <w:szCs w:val="21"/>
        </w:rPr>
      </w:pPr>
    </w:p>
    <w:p w14:paraId="39143346" w14:textId="77777777" w:rsidR="00B25DF6" w:rsidRPr="0052538C" w:rsidRDefault="00B25DF6" w:rsidP="00B25DF6">
      <w:pPr>
        <w:rPr>
          <w:rFonts w:asciiTheme="majorHAnsi" w:hAnsiTheme="majorHAnsi" w:cstheme="majorHAnsi"/>
          <w:sz w:val="21"/>
          <w:szCs w:val="21"/>
        </w:rPr>
      </w:pPr>
    </w:p>
    <w:p w14:paraId="56FFD43A" w14:textId="77777777" w:rsidR="00B25DF6" w:rsidRDefault="00B25DF6" w:rsidP="00B25DF6">
      <w:pPr>
        <w:rPr>
          <w:rFonts w:asciiTheme="majorHAnsi" w:hAnsiTheme="majorHAnsi" w:cstheme="majorHAnsi"/>
          <w:color w:val="FFFFFF" w:themeColor="background1"/>
          <w:sz w:val="21"/>
          <w:szCs w:val="21"/>
        </w:rPr>
      </w:pPr>
    </w:p>
    <w:p w14:paraId="2F7DA012" w14:textId="77777777" w:rsidR="00B25DF6" w:rsidRDefault="00B25DF6" w:rsidP="00B25DF6">
      <w:pPr>
        <w:rPr>
          <w:rFonts w:asciiTheme="majorHAnsi" w:hAnsiTheme="majorHAnsi" w:cstheme="majorHAnsi"/>
          <w:color w:val="FFFFFF" w:themeColor="background1"/>
          <w:sz w:val="21"/>
          <w:szCs w:val="21"/>
        </w:rPr>
      </w:pPr>
    </w:p>
    <w:p w14:paraId="017294B4" w14:textId="77777777" w:rsidR="00B25DF6" w:rsidRDefault="00B25DF6" w:rsidP="00B25DF6">
      <w:pPr>
        <w:rPr>
          <w:rFonts w:asciiTheme="majorHAnsi" w:hAnsiTheme="majorHAnsi" w:cstheme="majorHAnsi"/>
          <w:color w:val="FFFFFF" w:themeColor="background1"/>
          <w:sz w:val="21"/>
          <w:szCs w:val="21"/>
        </w:rPr>
      </w:pPr>
    </w:p>
    <w:p w14:paraId="23BF7FC7" w14:textId="77777777" w:rsidR="00B25DF6" w:rsidRDefault="00B25DF6" w:rsidP="00B25DF6">
      <w:pPr>
        <w:rPr>
          <w:rFonts w:asciiTheme="majorHAnsi" w:hAnsiTheme="majorHAnsi" w:cstheme="majorHAnsi"/>
          <w:color w:val="FFFFFF" w:themeColor="background1"/>
          <w:sz w:val="21"/>
          <w:szCs w:val="21"/>
        </w:rPr>
      </w:pPr>
    </w:p>
    <w:p w14:paraId="0495CC97" w14:textId="77777777" w:rsidR="00B25DF6" w:rsidRDefault="00B25DF6" w:rsidP="00B25DF6">
      <w:pPr>
        <w:rPr>
          <w:rFonts w:asciiTheme="majorHAnsi" w:hAnsiTheme="majorHAnsi" w:cstheme="majorHAnsi"/>
          <w:color w:val="FFFFFF" w:themeColor="background1"/>
          <w:sz w:val="21"/>
          <w:szCs w:val="21"/>
        </w:rPr>
      </w:pPr>
    </w:p>
    <w:p w14:paraId="01D66CED" w14:textId="77777777" w:rsidR="00B25DF6" w:rsidRDefault="00B25DF6" w:rsidP="00B25DF6">
      <w:pPr>
        <w:rPr>
          <w:rFonts w:asciiTheme="majorHAnsi" w:hAnsiTheme="majorHAnsi" w:cstheme="majorHAnsi"/>
          <w:color w:val="FFFFFF" w:themeColor="background1"/>
          <w:sz w:val="21"/>
          <w:szCs w:val="21"/>
        </w:rPr>
      </w:pPr>
    </w:p>
    <w:p w14:paraId="1A1D7470" w14:textId="77777777" w:rsidR="00B25DF6" w:rsidRDefault="00B25DF6" w:rsidP="00B25DF6">
      <w:pPr>
        <w:rPr>
          <w:rFonts w:asciiTheme="majorHAnsi" w:hAnsiTheme="majorHAnsi" w:cstheme="majorHAnsi"/>
          <w:color w:val="FFFFFF" w:themeColor="background1"/>
          <w:sz w:val="21"/>
          <w:szCs w:val="21"/>
        </w:rPr>
      </w:pPr>
    </w:p>
    <w:p w14:paraId="7708AE96" w14:textId="77777777" w:rsidR="00B25DF6" w:rsidRDefault="00B25DF6" w:rsidP="00B25DF6">
      <w:pPr>
        <w:rPr>
          <w:rFonts w:asciiTheme="majorHAnsi" w:hAnsiTheme="majorHAnsi" w:cstheme="majorHAnsi"/>
          <w:color w:val="FFFFFF" w:themeColor="background1"/>
          <w:sz w:val="21"/>
          <w:szCs w:val="21"/>
        </w:rPr>
      </w:pPr>
    </w:p>
    <w:p w14:paraId="231EAB0A" w14:textId="77777777" w:rsidR="00B25DF6" w:rsidRDefault="00B25DF6" w:rsidP="00B25DF6">
      <w:pPr>
        <w:rPr>
          <w:rFonts w:asciiTheme="majorHAnsi" w:hAnsiTheme="majorHAnsi" w:cstheme="majorHAnsi"/>
          <w:color w:val="FFFFFF" w:themeColor="background1"/>
          <w:sz w:val="21"/>
          <w:szCs w:val="21"/>
        </w:rPr>
      </w:pPr>
    </w:p>
    <w:p w14:paraId="6A946823" w14:textId="77777777" w:rsidR="00B25DF6" w:rsidRDefault="00B25DF6" w:rsidP="00B25DF6">
      <w:pPr>
        <w:rPr>
          <w:rFonts w:asciiTheme="majorHAnsi" w:hAnsiTheme="majorHAnsi" w:cstheme="majorHAnsi"/>
          <w:color w:val="FFFFFF" w:themeColor="background1"/>
          <w:sz w:val="21"/>
          <w:szCs w:val="21"/>
        </w:rPr>
      </w:pPr>
    </w:p>
    <w:p w14:paraId="5A6BE7D2" w14:textId="77777777" w:rsidR="00B25DF6" w:rsidRDefault="00B25DF6" w:rsidP="00B25DF6">
      <w:pPr>
        <w:rPr>
          <w:rFonts w:asciiTheme="majorHAnsi" w:hAnsiTheme="majorHAnsi" w:cstheme="majorHAnsi"/>
          <w:color w:val="FFFFFF" w:themeColor="background1"/>
          <w:sz w:val="21"/>
          <w:szCs w:val="21"/>
        </w:rPr>
      </w:pPr>
    </w:p>
    <w:p w14:paraId="78A94CB6" w14:textId="77777777" w:rsidR="00B25DF6" w:rsidRDefault="00B25DF6" w:rsidP="00B25DF6">
      <w:pPr>
        <w:rPr>
          <w:rFonts w:asciiTheme="majorHAnsi" w:hAnsiTheme="majorHAnsi" w:cstheme="majorHAnsi"/>
          <w:color w:val="FFFFFF" w:themeColor="background1"/>
          <w:sz w:val="21"/>
          <w:szCs w:val="21"/>
        </w:rPr>
      </w:pPr>
    </w:p>
    <w:p w14:paraId="11F0D1C3" w14:textId="77777777" w:rsidR="00B25DF6" w:rsidRDefault="00B25DF6" w:rsidP="00B25DF6">
      <w:pPr>
        <w:spacing w:before="80" w:line="252" w:lineRule="auto"/>
        <w:jc w:val="both"/>
        <w:rPr>
          <w:rFonts w:asciiTheme="majorHAnsi" w:hAnsiTheme="majorHAnsi"/>
          <w:sz w:val="21"/>
          <w:szCs w:val="21"/>
          <w:lang w:eastAsia="en-GB"/>
        </w:rPr>
      </w:pPr>
      <w:r w:rsidRPr="000E4B09">
        <w:rPr>
          <w:rFonts w:asciiTheme="majorHAnsi" w:hAnsiTheme="majorHAnsi"/>
          <w:sz w:val="21"/>
          <w:szCs w:val="21"/>
          <w:lang w:eastAsia="en-GB"/>
        </w:rPr>
        <w:t xml:space="preserve">Ky dokument sqaron rolin dhe funksionet e </w:t>
      </w:r>
      <w:r>
        <w:rPr>
          <w:rFonts w:asciiTheme="majorHAnsi" w:hAnsiTheme="majorHAnsi"/>
          <w:sz w:val="21"/>
          <w:szCs w:val="21"/>
          <w:lang w:eastAsia="en-GB"/>
        </w:rPr>
        <w:t>Komisionit të ankesave (KA</w:t>
      </w:r>
      <w:r w:rsidRPr="000E4B09">
        <w:rPr>
          <w:rFonts w:asciiTheme="majorHAnsi" w:hAnsiTheme="majorHAnsi"/>
          <w:sz w:val="21"/>
          <w:szCs w:val="21"/>
          <w:lang w:eastAsia="en-GB"/>
        </w:rPr>
        <w:t xml:space="preserve">).  </w:t>
      </w:r>
    </w:p>
    <w:p w14:paraId="5EABF231" w14:textId="77777777" w:rsidR="00B25DF6" w:rsidRDefault="00B25DF6" w:rsidP="00B25DF6">
      <w:pPr>
        <w:spacing w:before="80" w:line="252" w:lineRule="auto"/>
        <w:jc w:val="both"/>
        <w:rPr>
          <w:rFonts w:asciiTheme="majorHAnsi" w:hAnsiTheme="majorHAnsi"/>
          <w:sz w:val="21"/>
          <w:szCs w:val="21"/>
          <w:lang w:eastAsia="en-GB"/>
        </w:rPr>
      </w:pPr>
      <w:r>
        <w:rPr>
          <w:rFonts w:asciiTheme="majorHAnsi" w:hAnsiTheme="majorHAnsi"/>
          <w:sz w:val="21"/>
          <w:szCs w:val="21"/>
          <w:lang w:eastAsia="en-GB"/>
        </w:rPr>
        <w:t xml:space="preserve">Në bazë të Rregullores për </w:t>
      </w:r>
      <w:r w:rsidR="005911E5">
        <w:rPr>
          <w:rFonts w:asciiTheme="majorHAnsi" w:hAnsiTheme="majorHAnsi"/>
          <w:sz w:val="21"/>
          <w:szCs w:val="21"/>
          <w:lang w:eastAsia="en-GB"/>
        </w:rPr>
        <w:t>P</w:t>
      </w:r>
      <w:r>
        <w:rPr>
          <w:rFonts w:asciiTheme="majorHAnsi" w:hAnsiTheme="majorHAnsi"/>
          <w:sz w:val="21"/>
          <w:szCs w:val="21"/>
          <w:lang w:eastAsia="en-GB"/>
        </w:rPr>
        <w:t>erformancë komunale dhe skem</w:t>
      </w:r>
      <w:r w:rsidR="005911E5">
        <w:rPr>
          <w:rFonts w:asciiTheme="majorHAnsi" w:hAnsiTheme="majorHAnsi"/>
          <w:sz w:val="21"/>
          <w:szCs w:val="21"/>
          <w:lang w:eastAsia="en-GB"/>
        </w:rPr>
        <w:t>ë</w:t>
      </w:r>
      <w:r>
        <w:rPr>
          <w:rFonts w:asciiTheme="majorHAnsi" w:hAnsiTheme="majorHAnsi"/>
          <w:sz w:val="21"/>
          <w:szCs w:val="21"/>
          <w:lang w:eastAsia="en-GB"/>
        </w:rPr>
        <w:t xml:space="preserve">n e grantit të performancës Neni 39, komunat mund të ushtrojnë ankesë kundër vendimit për vlerësimin e GPK. Mirëpo, ankesat nuk mund të kundërshtojnë burimin e të dhënave zyrtare të përdorura gjatë vlerësimit. </w:t>
      </w:r>
    </w:p>
    <w:p w14:paraId="05771F2A" w14:textId="77777777" w:rsidR="00B25DF6" w:rsidRPr="00D47B0D" w:rsidRDefault="00B25DF6" w:rsidP="00B25DF6">
      <w:pPr>
        <w:rPr>
          <w:rFonts w:ascii="Calibri" w:hAnsi="Calibri" w:cs="Arial"/>
          <w:sz w:val="22"/>
          <w:szCs w:val="22"/>
          <w:lang w:eastAsia="de-CH"/>
        </w:rPr>
      </w:pPr>
    </w:p>
    <w:p w14:paraId="45F34E2C" w14:textId="77777777" w:rsidR="00B25DF6" w:rsidRPr="00D47B0D" w:rsidRDefault="00B25DF6" w:rsidP="00B25DF6">
      <w:pPr>
        <w:rPr>
          <w:rFonts w:ascii="Calibri" w:hAnsi="Calibri" w:cs="Arial"/>
          <w:b/>
          <w:bCs/>
          <w:iCs/>
          <w:sz w:val="22"/>
          <w:szCs w:val="22"/>
          <w:lang w:eastAsia="de-CH"/>
        </w:rPr>
      </w:pPr>
      <w:r w:rsidRPr="00D47B0D">
        <w:rPr>
          <w:rFonts w:ascii="Calibri" w:hAnsi="Calibri" w:cs="Arial"/>
          <w:b/>
          <w:bCs/>
          <w:iCs/>
          <w:sz w:val="22"/>
          <w:szCs w:val="22"/>
          <w:lang w:eastAsia="de-CH"/>
        </w:rPr>
        <w:t xml:space="preserve">2. </w:t>
      </w:r>
      <w:r>
        <w:rPr>
          <w:rFonts w:ascii="Calibri" w:hAnsi="Calibri" w:cs="Arial"/>
          <w:b/>
          <w:bCs/>
          <w:iCs/>
          <w:sz w:val="22"/>
          <w:szCs w:val="22"/>
          <w:lang w:eastAsia="de-CH"/>
        </w:rPr>
        <w:t>Detyrat dhe përgjegjësitë e Komisionit të ankesave (KA</w:t>
      </w:r>
      <w:r w:rsidRPr="00D47B0D">
        <w:rPr>
          <w:rFonts w:ascii="Calibri" w:hAnsi="Calibri" w:cs="Arial"/>
          <w:b/>
          <w:bCs/>
          <w:iCs/>
          <w:sz w:val="22"/>
          <w:szCs w:val="22"/>
          <w:lang w:eastAsia="de-CH"/>
        </w:rPr>
        <w:t>):</w:t>
      </w:r>
    </w:p>
    <w:p w14:paraId="220AC581" w14:textId="77777777" w:rsidR="00B25DF6" w:rsidRPr="000E4B09" w:rsidRDefault="00B25DF6" w:rsidP="00B25DF6">
      <w:pPr>
        <w:spacing w:line="300" w:lineRule="atLeast"/>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Funksioni kryesor i </w:t>
      </w:r>
      <w:r w:rsidR="005911E5">
        <w:rPr>
          <w:rFonts w:asciiTheme="majorHAnsi" w:hAnsiTheme="majorHAnsi" w:cstheme="majorHAnsi"/>
          <w:sz w:val="21"/>
          <w:szCs w:val="21"/>
          <w:lang w:eastAsia="de-CH"/>
        </w:rPr>
        <w:t>KA</w:t>
      </w:r>
      <w:r w:rsidRPr="000E4B09">
        <w:rPr>
          <w:rFonts w:asciiTheme="majorHAnsi" w:hAnsiTheme="majorHAnsi" w:cstheme="majorHAnsi"/>
          <w:sz w:val="21"/>
          <w:szCs w:val="21"/>
          <w:lang w:eastAsia="de-CH"/>
        </w:rPr>
        <w:t>-së është si më poshtë:</w:t>
      </w:r>
    </w:p>
    <w:p w14:paraId="12479F56" w14:textId="77777777" w:rsidR="00B25DF6" w:rsidRDefault="00B25DF6" w:rsidP="009A3BEC">
      <w:pPr>
        <w:pStyle w:val="ListParagraph"/>
        <w:numPr>
          <w:ilvl w:val="0"/>
          <w:numId w:val="40"/>
        </w:numPr>
        <w:spacing w:after="0"/>
        <w:ind w:left="720"/>
        <w:jc w:val="both"/>
        <w:rPr>
          <w:rFonts w:asciiTheme="majorHAnsi" w:hAnsiTheme="majorHAnsi"/>
          <w:sz w:val="21"/>
          <w:szCs w:val="21"/>
        </w:rPr>
      </w:pPr>
      <w:r>
        <w:rPr>
          <w:rFonts w:asciiTheme="majorHAnsi" w:hAnsiTheme="majorHAnsi"/>
          <w:sz w:val="21"/>
          <w:szCs w:val="21"/>
        </w:rPr>
        <w:t>Shqyrtimi i ankesave për grant të parashtruara nga komunat</w:t>
      </w:r>
      <w:r w:rsidRPr="00E863E8">
        <w:rPr>
          <w:rFonts w:asciiTheme="majorHAnsi" w:hAnsiTheme="majorHAnsi" w:cstheme="majorHAnsi"/>
          <w:sz w:val="21"/>
          <w:szCs w:val="21"/>
          <w:lang w:eastAsia="de-CH"/>
        </w:rPr>
        <w:t xml:space="preserve"> </w:t>
      </w:r>
      <w:r w:rsidR="00695AE3">
        <w:rPr>
          <w:rFonts w:asciiTheme="majorHAnsi" w:hAnsiTheme="majorHAnsi" w:cstheme="majorHAnsi"/>
          <w:sz w:val="21"/>
          <w:szCs w:val="21"/>
          <w:lang w:eastAsia="de-CH"/>
        </w:rPr>
        <w:t>duke u siguruar se t</w:t>
      </w:r>
      <w:r w:rsidR="003A6658" w:rsidRPr="000E4B09">
        <w:rPr>
          <w:rFonts w:asciiTheme="majorHAnsi" w:hAnsiTheme="majorHAnsi" w:cstheme="majorHAnsi"/>
          <w:sz w:val="21"/>
          <w:szCs w:val="21"/>
          <w:lang w:eastAsia="de-CH"/>
        </w:rPr>
        <w:t>ë</w:t>
      </w:r>
      <w:r w:rsidR="00695AE3">
        <w:rPr>
          <w:rFonts w:asciiTheme="majorHAnsi" w:hAnsiTheme="majorHAnsi" w:cstheme="majorHAnsi"/>
          <w:sz w:val="21"/>
          <w:szCs w:val="21"/>
          <w:lang w:eastAsia="de-CH"/>
        </w:rPr>
        <w:t xml:space="preserve"> nj</w:t>
      </w:r>
      <w:r w:rsidR="003A6658" w:rsidRPr="000E4B09">
        <w:rPr>
          <w:rFonts w:asciiTheme="majorHAnsi" w:hAnsiTheme="majorHAnsi" w:cstheme="majorHAnsi"/>
          <w:sz w:val="21"/>
          <w:szCs w:val="21"/>
          <w:lang w:eastAsia="de-CH"/>
        </w:rPr>
        <w:t>ë</w:t>
      </w:r>
      <w:r w:rsidR="00695AE3">
        <w:rPr>
          <w:rFonts w:asciiTheme="majorHAnsi" w:hAnsiTheme="majorHAnsi" w:cstheme="majorHAnsi"/>
          <w:sz w:val="21"/>
          <w:szCs w:val="21"/>
          <w:lang w:eastAsia="de-CH"/>
        </w:rPr>
        <w:t xml:space="preserve">jtat </w:t>
      </w:r>
      <w:r>
        <w:rPr>
          <w:rFonts w:asciiTheme="majorHAnsi" w:hAnsiTheme="majorHAnsi" w:cstheme="majorHAnsi"/>
          <w:sz w:val="21"/>
          <w:szCs w:val="21"/>
          <w:lang w:eastAsia="de-CH"/>
        </w:rPr>
        <w:t>i plotëso</w:t>
      </w:r>
      <w:r w:rsidR="00695AE3">
        <w:rPr>
          <w:rFonts w:asciiTheme="majorHAnsi" w:hAnsiTheme="majorHAnsi" w:cstheme="majorHAnsi"/>
          <w:sz w:val="21"/>
          <w:szCs w:val="21"/>
          <w:lang w:eastAsia="de-CH"/>
        </w:rPr>
        <w:t>jn</w:t>
      </w:r>
      <w:r w:rsidR="003A6658" w:rsidRPr="000E4B09">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kushtet e </w:t>
      </w:r>
      <w:r w:rsidR="00695AE3">
        <w:rPr>
          <w:rFonts w:asciiTheme="majorHAnsi" w:hAnsiTheme="majorHAnsi" w:cstheme="majorHAnsi"/>
          <w:sz w:val="21"/>
          <w:szCs w:val="21"/>
          <w:lang w:eastAsia="de-CH"/>
        </w:rPr>
        <w:t>p</w:t>
      </w:r>
      <w:r w:rsidR="003A6658" w:rsidRPr="000E4B09">
        <w:rPr>
          <w:rFonts w:asciiTheme="majorHAnsi" w:hAnsiTheme="majorHAnsi" w:cstheme="majorHAnsi"/>
          <w:sz w:val="21"/>
          <w:szCs w:val="21"/>
          <w:lang w:eastAsia="de-CH"/>
        </w:rPr>
        <w:t>ë</w:t>
      </w:r>
      <w:r w:rsidR="00695AE3">
        <w:rPr>
          <w:rFonts w:asciiTheme="majorHAnsi" w:hAnsiTheme="majorHAnsi" w:cstheme="majorHAnsi"/>
          <w:sz w:val="21"/>
          <w:szCs w:val="21"/>
          <w:lang w:eastAsia="de-CH"/>
        </w:rPr>
        <w:t xml:space="preserve">rshkruara </w:t>
      </w:r>
      <w:r>
        <w:rPr>
          <w:rFonts w:asciiTheme="majorHAnsi" w:hAnsiTheme="majorHAnsi" w:cstheme="majorHAnsi"/>
          <w:sz w:val="21"/>
          <w:szCs w:val="21"/>
          <w:lang w:eastAsia="de-CH"/>
        </w:rPr>
        <w:t>në pikën 3.3.</w:t>
      </w:r>
      <w:r w:rsidR="00224849">
        <w:rPr>
          <w:rFonts w:asciiTheme="majorHAnsi" w:hAnsiTheme="majorHAnsi" w:cstheme="majorHAnsi"/>
          <w:sz w:val="21"/>
          <w:szCs w:val="21"/>
          <w:lang w:eastAsia="de-CH"/>
        </w:rPr>
        <w:t>4</w:t>
      </w:r>
      <w:r>
        <w:rPr>
          <w:rFonts w:asciiTheme="majorHAnsi" w:hAnsiTheme="majorHAnsi" w:cstheme="majorHAnsi"/>
          <w:sz w:val="21"/>
          <w:szCs w:val="21"/>
          <w:lang w:eastAsia="de-CH"/>
        </w:rPr>
        <w:t xml:space="preserve"> të Rregullave të GPK-së;</w:t>
      </w:r>
      <w:r>
        <w:rPr>
          <w:rFonts w:asciiTheme="majorHAnsi" w:hAnsiTheme="majorHAnsi"/>
          <w:sz w:val="21"/>
          <w:szCs w:val="21"/>
        </w:rPr>
        <w:t xml:space="preserve">  </w:t>
      </w:r>
    </w:p>
    <w:p w14:paraId="60B865EE" w14:textId="77777777" w:rsidR="00B25DF6" w:rsidRDefault="00B25DF6" w:rsidP="009A3BEC">
      <w:pPr>
        <w:pStyle w:val="ListParagraph"/>
        <w:numPr>
          <w:ilvl w:val="0"/>
          <w:numId w:val="40"/>
        </w:numPr>
        <w:spacing w:after="0"/>
        <w:ind w:left="720"/>
        <w:jc w:val="both"/>
        <w:rPr>
          <w:rFonts w:asciiTheme="majorHAnsi" w:hAnsiTheme="majorHAnsi"/>
          <w:sz w:val="21"/>
          <w:szCs w:val="21"/>
        </w:rPr>
      </w:pPr>
      <w:r>
        <w:rPr>
          <w:rFonts w:asciiTheme="majorHAnsi" w:hAnsiTheme="majorHAnsi"/>
          <w:sz w:val="21"/>
          <w:szCs w:val="21"/>
        </w:rPr>
        <w:t>Marrja e vendimeve për ankesat e parashtruara nga komunat konform nenit 39 të Rregullores 01/2020 për SMPK dhe Skemën e GP-së.</w:t>
      </w:r>
    </w:p>
    <w:p w14:paraId="1D2B4470" w14:textId="77777777" w:rsidR="003A6658" w:rsidRDefault="003A6658" w:rsidP="003A6658">
      <w:pPr>
        <w:spacing w:line="300" w:lineRule="atLeast"/>
        <w:rPr>
          <w:rFonts w:asciiTheme="majorHAnsi" w:hAnsiTheme="majorHAnsi" w:cstheme="majorHAnsi"/>
          <w:b/>
          <w:sz w:val="21"/>
          <w:szCs w:val="21"/>
          <w:lang w:eastAsia="de-CH"/>
        </w:rPr>
      </w:pPr>
    </w:p>
    <w:p w14:paraId="1FED4286" w14:textId="77777777" w:rsidR="00B25DF6" w:rsidRPr="003A6658" w:rsidRDefault="003A6658" w:rsidP="003A6658">
      <w:pPr>
        <w:spacing w:line="300" w:lineRule="atLeast"/>
        <w:rPr>
          <w:rFonts w:asciiTheme="majorHAnsi" w:hAnsiTheme="majorHAnsi" w:cstheme="majorHAnsi"/>
          <w:b/>
          <w:sz w:val="21"/>
          <w:szCs w:val="21"/>
          <w:lang w:eastAsia="de-CH"/>
        </w:rPr>
      </w:pPr>
      <w:r>
        <w:rPr>
          <w:rFonts w:asciiTheme="majorHAnsi" w:hAnsiTheme="majorHAnsi" w:cstheme="majorHAnsi"/>
          <w:b/>
          <w:sz w:val="21"/>
          <w:szCs w:val="21"/>
          <w:lang w:eastAsia="de-CH"/>
        </w:rPr>
        <w:t xml:space="preserve">3. </w:t>
      </w:r>
      <w:r w:rsidR="00224849" w:rsidRPr="003A6658">
        <w:rPr>
          <w:rFonts w:asciiTheme="majorHAnsi" w:hAnsiTheme="majorHAnsi" w:cstheme="majorHAnsi"/>
          <w:b/>
          <w:sz w:val="21"/>
          <w:szCs w:val="21"/>
          <w:lang w:eastAsia="de-CH"/>
        </w:rPr>
        <w:t>Administrimi i Komisionit t</w:t>
      </w:r>
      <w:r w:rsidR="008B6F96" w:rsidRPr="00793C02">
        <w:rPr>
          <w:rFonts w:asciiTheme="majorHAnsi" w:hAnsiTheme="majorHAnsi" w:cstheme="majorHAnsi"/>
          <w:b/>
          <w:bCs/>
          <w:sz w:val="21"/>
          <w:szCs w:val="21"/>
          <w:lang w:eastAsia="de-CH"/>
        </w:rPr>
        <w:t>ë</w:t>
      </w:r>
      <w:r w:rsidR="00224849" w:rsidRPr="003A6658">
        <w:rPr>
          <w:rFonts w:asciiTheme="majorHAnsi" w:hAnsiTheme="majorHAnsi" w:cstheme="majorHAnsi"/>
          <w:b/>
          <w:sz w:val="21"/>
          <w:szCs w:val="21"/>
          <w:lang w:eastAsia="de-CH"/>
        </w:rPr>
        <w:t xml:space="preserve"> ankesave</w:t>
      </w:r>
    </w:p>
    <w:p w14:paraId="6C1DCD3E" w14:textId="77777777" w:rsidR="00B25DF6" w:rsidRPr="003A6658" w:rsidRDefault="00B25DF6" w:rsidP="009A3BEC">
      <w:pPr>
        <w:pStyle w:val="ListParagraph"/>
        <w:numPr>
          <w:ilvl w:val="0"/>
          <w:numId w:val="39"/>
        </w:numPr>
        <w:spacing w:after="0"/>
        <w:ind w:left="734" w:hanging="446"/>
        <w:jc w:val="both"/>
        <w:rPr>
          <w:rFonts w:asciiTheme="majorHAnsi" w:hAnsiTheme="majorHAnsi" w:cstheme="majorHAnsi"/>
          <w:bCs/>
          <w:iCs/>
          <w:sz w:val="21"/>
          <w:szCs w:val="21"/>
          <w:lang w:eastAsia="de-CH"/>
        </w:rPr>
      </w:pPr>
      <w:r w:rsidRPr="003A6658">
        <w:rPr>
          <w:rFonts w:asciiTheme="majorHAnsi" w:hAnsiTheme="majorHAnsi" w:cstheme="majorHAnsi"/>
          <w:bCs/>
          <w:iCs/>
          <w:sz w:val="21"/>
          <w:szCs w:val="21"/>
          <w:lang w:eastAsia="de-CH"/>
        </w:rPr>
        <w:t xml:space="preserve">Kryesuesi i Komisionit të </w:t>
      </w:r>
      <w:r w:rsidR="005911E5">
        <w:rPr>
          <w:rFonts w:asciiTheme="majorHAnsi" w:hAnsiTheme="majorHAnsi" w:cstheme="majorHAnsi"/>
          <w:bCs/>
          <w:iCs/>
          <w:sz w:val="21"/>
          <w:szCs w:val="21"/>
          <w:lang w:eastAsia="de-CH"/>
        </w:rPr>
        <w:t>a</w:t>
      </w:r>
      <w:r w:rsidRPr="003A6658">
        <w:rPr>
          <w:rFonts w:asciiTheme="majorHAnsi" w:hAnsiTheme="majorHAnsi" w:cstheme="majorHAnsi"/>
          <w:bCs/>
          <w:iCs/>
          <w:sz w:val="21"/>
          <w:szCs w:val="21"/>
          <w:lang w:eastAsia="de-CH"/>
        </w:rPr>
        <w:t>nkesave thërret mbledhjet e komisionit.</w:t>
      </w:r>
    </w:p>
    <w:p w14:paraId="4E57B710" w14:textId="77777777" w:rsidR="00B25DF6" w:rsidRPr="003A6658" w:rsidRDefault="00B25DF6" w:rsidP="009A3BEC">
      <w:pPr>
        <w:pStyle w:val="ListParagraph"/>
        <w:numPr>
          <w:ilvl w:val="0"/>
          <w:numId w:val="39"/>
        </w:numPr>
        <w:spacing w:after="0"/>
        <w:ind w:left="734" w:hanging="446"/>
        <w:jc w:val="both"/>
        <w:rPr>
          <w:rFonts w:asciiTheme="majorHAnsi" w:hAnsiTheme="majorHAnsi" w:cstheme="majorHAnsi"/>
          <w:bCs/>
          <w:iCs/>
          <w:sz w:val="21"/>
          <w:szCs w:val="21"/>
          <w:lang w:eastAsia="de-CH"/>
        </w:rPr>
      </w:pPr>
      <w:r w:rsidRPr="003A6658">
        <w:rPr>
          <w:rFonts w:asciiTheme="majorHAnsi" w:hAnsiTheme="majorHAnsi" w:cstheme="majorHAnsi"/>
          <w:bCs/>
          <w:iCs/>
          <w:sz w:val="21"/>
          <w:szCs w:val="21"/>
          <w:lang w:eastAsia="de-CH"/>
        </w:rPr>
        <w:t>Njoftimit duhet t’i bashkangjitet agjenda dhe materialet e punës;</w:t>
      </w:r>
    </w:p>
    <w:p w14:paraId="1616BE40" w14:textId="77777777" w:rsidR="00B25DF6" w:rsidRPr="003A6658" w:rsidRDefault="00B25DF6" w:rsidP="009A3BEC">
      <w:pPr>
        <w:pStyle w:val="ListParagraph"/>
        <w:numPr>
          <w:ilvl w:val="0"/>
          <w:numId w:val="39"/>
        </w:numPr>
        <w:spacing w:after="0"/>
        <w:ind w:left="734" w:hanging="446"/>
        <w:jc w:val="both"/>
        <w:rPr>
          <w:rFonts w:asciiTheme="majorHAnsi" w:hAnsiTheme="majorHAnsi" w:cstheme="majorHAnsi"/>
          <w:bCs/>
          <w:iCs/>
          <w:sz w:val="21"/>
          <w:szCs w:val="21"/>
          <w:lang w:eastAsia="de-CH"/>
        </w:rPr>
      </w:pPr>
      <w:r w:rsidRPr="003A6658">
        <w:rPr>
          <w:rFonts w:asciiTheme="majorHAnsi" w:hAnsiTheme="majorHAnsi" w:cstheme="majorHAnsi"/>
          <w:bCs/>
          <w:iCs/>
          <w:sz w:val="21"/>
          <w:szCs w:val="21"/>
          <w:lang w:eastAsia="de-CH"/>
        </w:rPr>
        <w:t xml:space="preserve">Procesverbali përgatitet për </w:t>
      </w:r>
      <w:r w:rsidR="005911E5">
        <w:rPr>
          <w:rFonts w:asciiTheme="majorHAnsi" w:hAnsiTheme="majorHAnsi" w:cstheme="majorHAnsi"/>
          <w:bCs/>
          <w:iCs/>
          <w:sz w:val="21"/>
          <w:szCs w:val="21"/>
          <w:lang w:eastAsia="de-CH"/>
        </w:rPr>
        <w:t>ç</w:t>
      </w:r>
      <w:r w:rsidRPr="003A6658">
        <w:rPr>
          <w:rFonts w:asciiTheme="majorHAnsi" w:hAnsiTheme="majorHAnsi" w:cstheme="majorHAnsi"/>
          <w:bCs/>
          <w:iCs/>
          <w:sz w:val="21"/>
          <w:szCs w:val="21"/>
          <w:lang w:eastAsia="de-CH"/>
        </w:rPr>
        <w:t>do takim dhe nënshkruhet nga anëtarët e komisionit.</w:t>
      </w:r>
    </w:p>
    <w:p w14:paraId="018D6423" w14:textId="77777777" w:rsidR="00B25DF6" w:rsidRPr="000E4B09" w:rsidRDefault="00B25DF6" w:rsidP="00B25DF6">
      <w:pPr>
        <w:rPr>
          <w:rFonts w:asciiTheme="majorHAnsi" w:hAnsiTheme="majorHAnsi" w:cstheme="majorHAnsi"/>
          <w:sz w:val="21"/>
          <w:szCs w:val="21"/>
          <w:lang w:eastAsia="de-CH"/>
        </w:rPr>
      </w:pPr>
    </w:p>
    <w:p w14:paraId="28473FC0" w14:textId="77777777" w:rsidR="00B25DF6" w:rsidRDefault="00B25DF6" w:rsidP="00B25DF6">
      <w:pPr>
        <w:rPr>
          <w:rFonts w:asciiTheme="majorHAnsi" w:hAnsiTheme="majorHAnsi" w:cstheme="majorHAnsi"/>
          <w:color w:val="FFFFFF" w:themeColor="background1"/>
          <w:sz w:val="21"/>
          <w:szCs w:val="21"/>
        </w:rPr>
      </w:pPr>
    </w:p>
    <w:p w14:paraId="50656298" w14:textId="77777777" w:rsidR="00B25DF6" w:rsidRDefault="00B25DF6" w:rsidP="00B25DF6">
      <w:pPr>
        <w:rPr>
          <w:rFonts w:asciiTheme="majorHAnsi" w:hAnsiTheme="majorHAnsi" w:cstheme="majorHAnsi"/>
          <w:color w:val="FFFFFF" w:themeColor="background1"/>
          <w:sz w:val="21"/>
          <w:szCs w:val="21"/>
        </w:rPr>
      </w:pPr>
    </w:p>
    <w:p w14:paraId="5C844F40" w14:textId="77777777" w:rsidR="00B25DF6" w:rsidRDefault="00B25DF6" w:rsidP="00B25DF6">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br w:type="page"/>
      </w:r>
    </w:p>
    <w:p w14:paraId="5AE12D4E" w14:textId="77777777" w:rsidR="00A6322C" w:rsidRPr="00C576E1" w:rsidRDefault="00A6322C" w:rsidP="00A6322C">
      <w:pPr>
        <w:pStyle w:val="Heading1"/>
        <w:shd w:val="clear" w:color="auto" w:fill="D55635"/>
        <w:tabs>
          <w:tab w:val="left" w:pos="540"/>
        </w:tabs>
        <w:rPr>
          <w:rFonts w:asciiTheme="majorHAnsi" w:hAnsiTheme="majorHAnsi"/>
          <w:color w:val="FFFFFF" w:themeColor="background1"/>
          <w:sz w:val="32"/>
          <w:szCs w:val="32"/>
          <w:lang w:val="sq-AL"/>
        </w:rPr>
      </w:pPr>
      <w:bookmarkStart w:id="101" w:name="_Toc61062549"/>
      <w:r w:rsidRPr="00C576E1">
        <w:rPr>
          <w:rFonts w:asciiTheme="majorHAnsi" w:hAnsiTheme="majorHAnsi"/>
          <w:color w:val="FFFFFF" w:themeColor="background1"/>
          <w:sz w:val="32"/>
          <w:szCs w:val="32"/>
          <w:lang w:val="sq-AL"/>
        </w:rPr>
        <w:lastRenderedPageBreak/>
        <w:t xml:space="preserve">Shtojca </w:t>
      </w:r>
      <w:r w:rsidR="008507DD" w:rsidRPr="00C576E1">
        <w:rPr>
          <w:rFonts w:asciiTheme="majorHAnsi" w:hAnsiTheme="majorHAnsi"/>
          <w:color w:val="FFFFFF" w:themeColor="background1"/>
          <w:sz w:val="32"/>
          <w:szCs w:val="32"/>
          <w:lang w:val="sq-AL"/>
        </w:rPr>
        <w:t>8</w:t>
      </w:r>
      <w:r w:rsidRPr="00C576E1">
        <w:rPr>
          <w:rFonts w:asciiTheme="majorHAnsi" w:hAnsiTheme="majorHAnsi"/>
          <w:color w:val="FFFFFF" w:themeColor="background1"/>
          <w:sz w:val="32"/>
          <w:szCs w:val="32"/>
          <w:lang w:val="sq-AL"/>
        </w:rPr>
        <w:t>: Termat e referencës – Komisioni p</w:t>
      </w:r>
      <w:r w:rsidR="0043284A" w:rsidRPr="00C576E1">
        <w:rPr>
          <w:rFonts w:asciiTheme="majorHAnsi" w:hAnsiTheme="majorHAnsi"/>
          <w:color w:val="FFFFFF" w:themeColor="background1"/>
          <w:sz w:val="32"/>
          <w:szCs w:val="32"/>
          <w:lang w:val="sq-AL"/>
        </w:rPr>
        <w:t xml:space="preserve">ër hartimin e </w:t>
      </w:r>
      <w:r w:rsidR="00521B52" w:rsidRPr="00C576E1">
        <w:rPr>
          <w:rFonts w:asciiTheme="majorHAnsi" w:hAnsiTheme="majorHAnsi"/>
          <w:color w:val="FFFFFF" w:themeColor="background1"/>
          <w:sz w:val="32"/>
          <w:szCs w:val="32"/>
          <w:lang w:val="sq-AL"/>
        </w:rPr>
        <w:t>R</w:t>
      </w:r>
      <w:r w:rsidR="0043284A" w:rsidRPr="00C576E1">
        <w:rPr>
          <w:rFonts w:asciiTheme="majorHAnsi" w:hAnsiTheme="majorHAnsi"/>
          <w:color w:val="FFFFFF" w:themeColor="background1"/>
          <w:sz w:val="32"/>
          <w:szCs w:val="32"/>
          <w:lang w:val="sq-AL"/>
        </w:rPr>
        <w:t>regullave t</w:t>
      </w:r>
      <w:r w:rsidR="005911E5" w:rsidRPr="00C576E1">
        <w:rPr>
          <w:rFonts w:asciiTheme="majorHAnsi" w:hAnsiTheme="majorHAnsi"/>
          <w:color w:val="FFFFFF" w:themeColor="background1"/>
          <w:sz w:val="32"/>
          <w:szCs w:val="32"/>
          <w:lang w:val="sq-AL"/>
        </w:rPr>
        <w:t>ë</w:t>
      </w:r>
      <w:r w:rsidR="0043284A" w:rsidRPr="00C576E1">
        <w:rPr>
          <w:rFonts w:asciiTheme="majorHAnsi" w:hAnsiTheme="majorHAnsi"/>
          <w:color w:val="FFFFFF" w:themeColor="background1"/>
          <w:sz w:val="32"/>
          <w:szCs w:val="32"/>
          <w:lang w:val="sq-AL"/>
        </w:rPr>
        <w:t xml:space="preserve"> GPK-së</w:t>
      </w:r>
      <w:bookmarkEnd w:id="101"/>
    </w:p>
    <w:p w14:paraId="0B93E820" w14:textId="77777777" w:rsidR="00A6322C" w:rsidRPr="00D26EBC" w:rsidRDefault="00A6322C" w:rsidP="00A6322C">
      <w:pPr>
        <w:rPr>
          <w:rFonts w:asciiTheme="majorHAnsi" w:hAnsiTheme="majorHAnsi"/>
          <w:b/>
          <w:bCs/>
          <w:sz w:val="16"/>
          <w:szCs w:val="16"/>
          <w:lang w:val="de-CH" w:eastAsia="de-CH"/>
        </w:rPr>
      </w:pPr>
      <w:r w:rsidRPr="00D86DF1">
        <w:rPr>
          <w:rFonts w:ascii="Cambria" w:hAnsi="Cambria"/>
          <w:b/>
          <w:noProof/>
          <w:sz w:val="22"/>
          <w:szCs w:val="22"/>
          <w:lang w:val="en-US"/>
        </w:rPr>
        <w:drawing>
          <wp:anchor distT="0" distB="0" distL="114300" distR="114300" simplePos="0" relativeHeight="251658246" behindDoc="0" locked="0" layoutInCell="1" allowOverlap="1" wp14:anchorId="705F6B5E" wp14:editId="17A6ECD0">
            <wp:simplePos x="0" y="0"/>
            <wp:positionH relativeFrom="margin">
              <wp:align>left</wp:align>
            </wp:positionH>
            <wp:positionV relativeFrom="paragraph">
              <wp:posOffset>8890</wp:posOffset>
            </wp:positionV>
            <wp:extent cx="813435" cy="801370"/>
            <wp:effectExtent l="0" t="0" r="5715" b="0"/>
            <wp:wrapSquare wrapText="bothSides"/>
            <wp:docPr id="16" name="Picture 16"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EBC">
        <w:rPr>
          <w:rFonts w:asciiTheme="majorHAnsi" w:hAnsiTheme="majorHAnsi" w:cs="Book Antiqua"/>
          <w:b/>
          <w:bCs/>
          <w:sz w:val="16"/>
          <w:szCs w:val="16"/>
          <w:lang w:val="de-CH" w:eastAsia="de-CH"/>
        </w:rPr>
        <w:t>Republika e Kosovës</w:t>
      </w:r>
    </w:p>
    <w:p w14:paraId="443CBE7C" w14:textId="77777777" w:rsidR="00A6322C" w:rsidRPr="00D26EBC" w:rsidRDefault="00A6322C" w:rsidP="00A6322C">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696470FD" w14:textId="77777777" w:rsidR="00A6322C" w:rsidRPr="00D47B0D" w:rsidRDefault="00A6322C" w:rsidP="00A6322C">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4D4F80DC" w14:textId="77777777" w:rsidR="00A6322C" w:rsidRPr="00D47B0D" w:rsidRDefault="00A6322C" w:rsidP="00A6322C">
      <w:pPr>
        <w:rPr>
          <w:rFonts w:asciiTheme="majorHAnsi" w:hAnsiTheme="majorHAnsi" w:cs="Book Antiqua"/>
          <w:b/>
          <w:bCs/>
          <w:iCs/>
          <w:sz w:val="16"/>
          <w:szCs w:val="16"/>
          <w:lang w:eastAsia="de-CH"/>
        </w:rPr>
      </w:pPr>
    </w:p>
    <w:p w14:paraId="20ACC8B9"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1F9D2E03"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6BFAE388"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15B74806" w14:textId="77777777" w:rsidR="00A6322C" w:rsidRDefault="00A6322C" w:rsidP="00A6322C">
      <w:pPr>
        <w:rPr>
          <w:rFonts w:asciiTheme="majorHAnsi" w:hAnsiTheme="majorHAnsi" w:cstheme="majorHAnsi"/>
          <w:color w:val="FFFFFF" w:themeColor="background1"/>
          <w:sz w:val="21"/>
          <w:szCs w:val="21"/>
        </w:rPr>
      </w:pPr>
    </w:p>
    <w:p w14:paraId="3352DA62" w14:textId="77777777" w:rsidR="00A6322C" w:rsidRPr="00A05BAE" w:rsidRDefault="00A6322C" w:rsidP="00A05BAE"/>
    <w:p w14:paraId="0C90B107" w14:textId="77777777" w:rsidR="00B25DF6" w:rsidRPr="0043284A" w:rsidRDefault="00B25DF6" w:rsidP="00B25DF6">
      <w:pPr>
        <w:rPr>
          <w:rFonts w:asciiTheme="majorHAnsi" w:hAnsiTheme="majorHAnsi" w:cstheme="majorHAnsi"/>
          <w:color w:val="FFFFFF" w:themeColor="background1"/>
          <w:sz w:val="21"/>
          <w:szCs w:val="21"/>
        </w:rPr>
      </w:pPr>
    </w:p>
    <w:bookmarkEnd w:id="96"/>
    <w:bookmarkEnd w:id="97"/>
    <w:bookmarkEnd w:id="98"/>
    <w:p w14:paraId="25E421B3" w14:textId="77777777" w:rsidR="00CA6918" w:rsidRPr="0043284A" w:rsidRDefault="00CA6918" w:rsidP="00CA6918">
      <w:pPr>
        <w:spacing w:before="60" w:line="264" w:lineRule="auto"/>
        <w:jc w:val="both"/>
        <w:rPr>
          <w:rFonts w:asciiTheme="majorHAnsi" w:hAnsiTheme="majorHAnsi" w:cstheme="majorHAnsi"/>
          <w:sz w:val="21"/>
          <w:szCs w:val="21"/>
        </w:rPr>
      </w:pPr>
      <w:r w:rsidRPr="0043284A">
        <w:rPr>
          <w:rFonts w:asciiTheme="majorHAnsi" w:hAnsiTheme="majorHAnsi" w:cstheme="majorHAnsi"/>
          <w:sz w:val="21"/>
          <w:szCs w:val="21"/>
        </w:rPr>
        <w:t>Grupi hartues është përgjegjës për:</w:t>
      </w:r>
    </w:p>
    <w:p w14:paraId="2724A0A0" w14:textId="0D22423B" w:rsidR="001D6FCA" w:rsidRPr="002E66CC" w:rsidRDefault="00CA6918" w:rsidP="00CA6918">
      <w:pPr>
        <w:pStyle w:val="ListParagraph"/>
        <w:numPr>
          <w:ilvl w:val="0"/>
          <w:numId w:val="39"/>
        </w:numPr>
        <w:spacing w:before="60" w:line="264" w:lineRule="auto"/>
        <w:jc w:val="both"/>
        <w:rPr>
          <w:rFonts w:asciiTheme="majorHAnsi" w:hAnsiTheme="majorHAnsi" w:cstheme="majorHAnsi"/>
          <w:sz w:val="21"/>
          <w:szCs w:val="21"/>
        </w:rPr>
      </w:pPr>
      <w:r w:rsidRPr="003B5AB6">
        <w:rPr>
          <w:rFonts w:asciiTheme="majorHAnsi" w:hAnsiTheme="majorHAnsi" w:cstheme="majorHAnsi"/>
          <w:sz w:val="21"/>
          <w:szCs w:val="21"/>
        </w:rPr>
        <w:t xml:space="preserve">Përgatitjen e </w:t>
      </w:r>
      <w:r w:rsidR="00521B52" w:rsidRPr="003B5AB6">
        <w:rPr>
          <w:rFonts w:asciiTheme="majorHAnsi" w:hAnsiTheme="majorHAnsi" w:cstheme="majorHAnsi"/>
          <w:sz w:val="21"/>
          <w:szCs w:val="21"/>
        </w:rPr>
        <w:t>R</w:t>
      </w:r>
      <w:r w:rsidRPr="003B5AB6">
        <w:rPr>
          <w:rFonts w:asciiTheme="majorHAnsi" w:hAnsiTheme="majorHAnsi" w:cstheme="majorHAnsi"/>
          <w:sz w:val="21"/>
          <w:szCs w:val="21"/>
        </w:rPr>
        <w:t>regullave të GPK-së para çdo cikli të vlerësimit</w:t>
      </w:r>
      <w:r w:rsidR="003A6658" w:rsidRPr="003B5AB6">
        <w:rPr>
          <w:rFonts w:asciiTheme="majorHAnsi" w:hAnsiTheme="majorHAnsi" w:cstheme="majorHAnsi"/>
          <w:sz w:val="21"/>
          <w:szCs w:val="21"/>
        </w:rPr>
        <w:t xml:space="preserve"> në pajtim me Rregulloren 01/2020 për Sistemin e Menaxhimit të Performancës Komunale dhe Skemën e Grantit të bazuar në Performancë</w:t>
      </w:r>
      <w:r w:rsidRPr="003B5AB6">
        <w:rPr>
          <w:rFonts w:asciiTheme="majorHAnsi" w:hAnsiTheme="majorHAnsi" w:cstheme="majorHAnsi"/>
          <w:sz w:val="21"/>
          <w:szCs w:val="21"/>
        </w:rPr>
        <w:t>;</w:t>
      </w:r>
    </w:p>
    <w:p w14:paraId="4332DCA9" w14:textId="61DF8C43" w:rsidR="00CA6918" w:rsidRPr="003B5AB6" w:rsidRDefault="00CA6918" w:rsidP="003B5AB6">
      <w:pPr>
        <w:pStyle w:val="ListParagraph"/>
        <w:numPr>
          <w:ilvl w:val="0"/>
          <w:numId w:val="39"/>
        </w:numPr>
        <w:spacing w:before="60" w:line="264" w:lineRule="auto"/>
        <w:jc w:val="both"/>
        <w:rPr>
          <w:rFonts w:asciiTheme="majorHAnsi" w:hAnsiTheme="majorHAnsi" w:cstheme="majorBidi"/>
          <w:sz w:val="21"/>
          <w:szCs w:val="21"/>
        </w:rPr>
      </w:pPr>
      <w:r w:rsidRPr="003B5AB6">
        <w:rPr>
          <w:rFonts w:asciiTheme="majorHAnsi" w:hAnsiTheme="majorHAnsi" w:cstheme="majorBidi"/>
          <w:sz w:val="21"/>
          <w:szCs w:val="21"/>
        </w:rPr>
        <w:t xml:space="preserve">Dërgimin e rregullave Sekretarit të përgjithshëm të </w:t>
      </w:r>
      <w:r w:rsidR="1F75C88F" w:rsidRPr="003B5AB6">
        <w:rPr>
          <w:rFonts w:asciiTheme="majorHAnsi" w:hAnsiTheme="majorHAnsi" w:cstheme="majorBidi"/>
          <w:sz w:val="21"/>
          <w:szCs w:val="21"/>
        </w:rPr>
        <w:t>MAPL</w:t>
      </w:r>
      <w:r w:rsidRPr="003B5AB6">
        <w:rPr>
          <w:rFonts w:asciiTheme="majorHAnsi" w:hAnsiTheme="majorHAnsi" w:cstheme="majorBidi"/>
          <w:sz w:val="21"/>
          <w:szCs w:val="21"/>
        </w:rPr>
        <w:t>-së dhe kontributdhënësve për aprovim;</w:t>
      </w:r>
    </w:p>
    <w:p w14:paraId="114824A0" w14:textId="77777777" w:rsidR="00CA6918" w:rsidRPr="0043284A" w:rsidRDefault="003A6658" w:rsidP="00CA6918">
      <w:pPr>
        <w:tabs>
          <w:tab w:val="left" w:pos="1710"/>
        </w:tabs>
        <w:spacing w:before="20" w:line="264" w:lineRule="auto"/>
        <w:ind w:left="540"/>
        <w:jc w:val="both"/>
        <w:rPr>
          <w:rFonts w:asciiTheme="majorHAnsi" w:hAnsiTheme="majorHAnsi" w:cstheme="majorHAnsi"/>
          <w:b/>
          <w:sz w:val="21"/>
          <w:szCs w:val="21"/>
        </w:rPr>
      </w:pPr>
      <w:r w:rsidRPr="0043284A">
        <w:rPr>
          <w:rFonts w:asciiTheme="majorHAnsi" w:hAnsiTheme="majorHAnsi" w:cstheme="majorHAnsi"/>
          <w:b/>
          <w:sz w:val="21"/>
          <w:szCs w:val="21"/>
        </w:rPr>
        <w:t xml:space="preserve"> </w:t>
      </w:r>
    </w:p>
    <w:p w14:paraId="17B1D0D0" w14:textId="0958DDB1" w:rsidR="00CA6918" w:rsidRDefault="00CA6918" w:rsidP="00CA6918">
      <w:pPr>
        <w:tabs>
          <w:tab w:val="left" w:pos="1710"/>
        </w:tabs>
        <w:spacing w:before="20" w:line="264" w:lineRule="auto"/>
        <w:jc w:val="both"/>
        <w:rPr>
          <w:rFonts w:asciiTheme="majorHAnsi" w:hAnsiTheme="majorHAnsi" w:cstheme="majorHAnsi"/>
          <w:color w:val="000000" w:themeColor="text1"/>
          <w:sz w:val="21"/>
          <w:szCs w:val="21"/>
        </w:rPr>
      </w:pPr>
      <w:r w:rsidRPr="0043284A">
        <w:rPr>
          <w:rFonts w:asciiTheme="majorHAnsi" w:hAnsiTheme="majorHAnsi" w:cstheme="majorHAnsi"/>
          <w:color w:val="000000" w:themeColor="text1"/>
          <w:sz w:val="21"/>
          <w:szCs w:val="21"/>
        </w:rPr>
        <w:t>Përbërja e grupit punues themelohet sipas nenit 32.2 të Rregullores 01/2020 për SMPK dhe Skemën e Grantit të bazuar në performancë.</w:t>
      </w:r>
    </w:p>
    <w:p w14:paraId="313D8985" w14:textId="3AC7E0B3" w:rsidR="008C2B1A" w:rsidRDefault="008C2B1A" w:rsidP="00CA6918">
      <w:pPr>
        <w:tabs>
          <w:tab w:val="left" w:pos="1710"/>
        </w:tabs>
        <w:spacing w:before="20" w:line="264" w:lineRule="auto"/>
        <w:jc w:val="both"/>
        <w:rPr>
          <w:rFonts w:asciiTheme="majorHAnsi" w:hAnsiTheme="majorHAnsi" w:cstheme="majorHAnsi"/>
          <w:color w:val="000000" w:themeColor="text1"/>
          <w:sz w:val="21"/>
          <w:szCs w:val="21"/>
        </w:rPr>
      </w:pPr>
    </w:p>
    <w:p w14:paraId="2103F843" w14:textId="681F8A04" w:rsidR="008C2B1A" w:rsidRPr="0043284A" w:rsidRDefault="008C2B1A" w:rsidP="00CA6918">
      <w:pPr>
        <w:tabs>
          <w:tab w:val="left" w:pos="1710"/>
        </w:tabs>
        <w:spacing w:before="20" w:line="264" w:lineRule="auto"/>
        <w:jc w:val="both"/>
        <w:rPr>
          <w:rFonts w:asciiTheme="majorHAnsi" w:hAnsiTheme="majorHAnsi" w:cstheme="majorHAnsi"/>
          <w:b/>
          <w:sz w:val="21"/>
          <w:szCs w:val="21"/>
        </w:rPr>
      </w:pPr>
      <w:r>
        <w:rPr>
          <w:rFonts w:asciiTheme="majorHAnsi" w:hAnsiTheme="majorHAnsi" w:cstheme="majorHAnsi"/>
          <w:color w:val="000000" w:themeColor="text1"/>
          <w:sz w:val="21"/>
          <w:szCs w:val="21"/>
        </w:rPr>
        <w:t xml:space="preserve">Rregullat e GPK janë të miratuara nga MAPL në konsultim me kontributdhënbësit përmes një takimi ose një </w:t>
      </w:r>
      <w:r w:rsidR="001413F9">
        <w:rPr>
          <w:rFonts w:asciiTheme="majorHAnsi" w:hAnsiTheme="majorHAnsi" w:cstheme="majorHAnsi"/>
          <w:color w:val="000000" w:themeColor="text1"/>
          <w:sz w:val="21"/>
          <w:szCs w:val="21"/>
        </w:rPr>
        <w:t xml:space="preserve">shkëmbim </w:t>
      </w:r>
      <w:r>
        <w:rPr>
          <w:rFonts w:asciiTheme="majorHAnsi" w:hAnsiTheme="majorHAnsi" w:cstheme="majorHAnsi"/>
          <w:color w:val="000000" w:themeColor="text1"/>
          <w:sz w:val="21"/>
          <w:szCs w:val="21"/>
        </w:rPr>
        <w:t>email-i</w:t>
      </w:r>
      <w:r w:rsidR="001413F9">
        <w:rPr>
          <w:rFonts w:asciiTheme="majorHAnsi" w:hAnsiTheme="majorHAnsi" w:cstheme="majorHAnsi"/>
          <w:color w:val="000000" w:themeColor="text1"/>
          <w:sz w:val="21"/>
          <w:szCs w:val="21"/>
        </w:rPr>
        <w:t xml:space="preserve">. </w:t>
      </w:r>
    </w:p>
    <w:p w14:paraId="1357ECC6" w14:textId="77777777" w:rsidR="003A6658" w:rsidRPr="00A05BAE" w:rsidRDefault="003A6658" w:rsidP="00A05BAE">
      <w:bookmarkStart w:id="102" w:name="_Toc170432998"/>
    </w:p>
    <w:p w14:paraId="2F231B55" w14:textId="77777777" w:rsidR="003A6658" w:rsidRPr="00A05BAE" w:rsidRDefault="003A6658" w:rsidP="00A05BAE"/>
    <w:p w14:paraId="70DC5694" w14:textId="77777777" w:rsidR="003A6658" w:rsidRPr="00A05BAE" w:rsidRDefault="003A6658" w:rsidP="00A05BAE"/>
    <w:p w14:paraId="4FF26FA4" w14:textId="77777777" w:rsidR="003A6658" w:rsidRPr="00A05BAE" w:rsidRDefault="003A6658" w:rsidP="00A05BAE"/>
    <w:p w14:paraId="22B1B46E" w14:textId="77777777" w:rsidR="003A6658" w:rsidRPr="00A05BAE" w:rsidRDefault="003A6658" w:rsidP="00A05BAE"/>
    <w:p w14:paraId="1663AF3D" w14:textId="77777777" w:rsidR="003A6658" w:rsidRPr="00A05BAE" w:rsidRDefault="003A6658" w:rsidP="00A05BAE"/>
    <w:p w14:paraId="09467162" w14:textId="77777777" w:rsidR="003A6658" w:rsidRPr="00A05BAE" w:rsidRDefault="003A6658" w:rsidP="00A05BAE"/>
    <w:p w14:paraId="6E78753F" w14:textId="77777777" w:rsidR="003A6658" w:rsidRPr="00A05BAE" w:rsidRDefault="003A6658" w:rsidP="00A05BAE"/>
    <w:p w14:paraId="1E36D804" w14:textId="77777777" w:rsidR="003A6658" w:rsidRPr="00A05BAE" w:rsidRDefault="003A6658" w:rsidP="00A05BAE"/>
    <w:p w14:paraId="3909DB1C" w14:textId="77777777" w:rsidR="003A6658" w:rsidRPr="00A05BAE" w:rsidRDefault="003A6658" w:rsidP="00A05BAE"/>
    <w:p w14:paraId="4A2789DA" w14:textId="77777777" w:rsidR="003A6658" w:rsidRPr="00A05BAE" w:rsidRDefault="003A6658" w:rsidP="00A05BAE"/>
    <w:p w14:paraId="69E05160" w14:textId="77777777" w:rsidR="003A6658" w:rsidRPr="00A05BAE" w:rsidRDefault="003A6658" w:rsidP="00A05BAE"/>
    <w:p w14:paraId="5D9EC044" w14:textId="77777777" w:rsidR="003A6658" w:rsidRPr="00A05BAE" w:rsidRDefault="003A6658" w:rsidP="00A05BAE"/>
    <w:p w14:paraId="2E42DC3A" w14:textId="77777777" w:rsidR="003A6658" w:rsidRPr="00A05BAE" w:rsidRDefault="003A6658" w:rsidP="00A05BAE"/>
    <w:p w14:paraId="560769A5" w14:textId="77777777" w:rsidR="003A6658" w:rsidRPr="00A05BAE" w:rsidRDefault="003A6658" w:rsidP="00A05BAE"/>
    <w:p w14:paraId="756CD134" w14:textId="77777777" w:rsidR="003A6658" w:rsidRPr="00A05BAE" w:rsidRDefault="003A6658" w:rsidP="00A05BAE"/>
    <w:p w14:paraId="6AA2B82A" w14:textId="77777777" w:rsidR="003A6658" w:rsidRPr="00A05BAE" w:rsidRDefault="003A6658" w:rsidP="00A05BAE"/>
    <w:p w14:paraId="7F802242" w14:textId="77777777" w:rsidR="003A6658" w:rsidRPr="00A05BAE" w:rsidRDefault="003A6658" w:rsidP="00A05BAE"/>
    <w:p w14:paraId="71AF399B" w14:textId="77777777" w:rsidR="003A6658" w:rsidRPr="00A05BAE" w:rsidRDefault="003A6658" w:rsidP="00A05BAE"/>
    <w:p w14:paraId="6A41E46B" w14:textId="77777777" w:rsidR="003A6658" w:rsidRPr="00A05BAE" w:rsidRDefault="003A6658" w:rsidP="00A05BAE"/>
    <w:p w14:paraId="7CE4D979" w14:textId="77777777" w:rsidR="003A6658" w:rsidRPr="00A05BAE" w:rsidRDefault="003A6658" w:rsidP="00A05BAE"/>
    <w:p w14:paraId="7277F9C7" w14:textId="77777777" w:rsidR="003A6658" w:rsidRPr="00A05BAE" w:rsidRDefault="003A6658" w:rsidP="00A05BAE"/>
    <w:p w14:paraId="7FB64D30" w14:textId="77777777" w:rsidR="003A6658" w:rsidRPr="00A05BAE" w:rsidRDefault="003A6658" w:rsidP="00A05BAE"/>
    <w:p w14:paraId="0FBC1B0F" w14:textId="77777777" w:rsidR="003A6658" w:rsidRPr="00A05BAE" w:rsidRDefault="003A6658" w:rsidP="00A05BAE"/>
    <w:p w14:paraId="3E66C23A" w14:textId="77777777" w:rsidR="003A6658" w:rsidRPr="00A05BAE" w:rsidRDefault="003A6658" w:rsidP="00A05BAE"/>
    <w:p w14:paraId="0735F242" w14:textId="77777777" w:rsidR="00CA6918" w:rsidRPr="00A05BAE" w:rsidRDefault="00CA6918" w:rsidP="00A05BAE"/>
    <w:p w14:paraId="3B9B7085" w14:textId="77777777" w:rsidR="00CF24DF" w:rsidRPr="004D2E1C" w:rsidRDefault="001D6FCA" w:rsidP="00CF24DF">
      <w:pPr>
        <w:keepNext/>
        <w:shd w:val="clear" w:color="auto" w:fill="D55635"/>
        <w:tabs>
          <w:tab w:val="left" w:pos="540"/>
        </w:tabs>
        <w:outlineLvl w:val="0"/>
        <w:rPr>
          <w:rFonts w:asciiTheme="majorHAnsi" w:hAnsiTheme="majorHAnsi"/>
          <w:b/>
          <w:color w:val="FFFFFF" w:themeColor="background1"/>
          <w:sz w:val="32"/>
          <w:szCs w:val="32"/>
        </w:rPr>
      </w:pPr>
      <w:r>
        <w:rPr>
          <w:rFonts w:asciiTheme="majorHAnsi" w:hAnsiTheme="majorHAnsi"/>
          <w:b/>
          <w:color w:val="FFFFFF" w:themeColor="background1"/>
          <w:sz w:val="32"/>
          <w:szCs w:val="32"/>
        </w:rPr>
        <w:t xml:space="preserve">Shtojca </w:t>
      </w:r>
      <w:r w:rsidR="008507DD">
        <w:rPr>
          <w:rFonts w:asciiTheme="majorHAnsi" w:hAnsiTheme="majorHAnsi"/>
          <w:b/>
          <w:color w:val="FFFFFF" w:themeColor="background1"/>
          <w:sz w:val="32"/>
          <w:szCs w:val="32"/>
        </w:rPr>
        <w:t>9</w:t>
      </w:r>
      <w:r w:rsidR="00CF24DF" w:rsidRPr="004D2E1C">
        <w:rPr>
          <w:rFonts w:asciiTheme="majorHAnsi" w:hAnsiTheme="majorHAnsi"/>
          <w:b/>
          <w:color w:val="FFFFFF" w:themeColor="background1"/>
          <w:sz w:val="32"/>
          <w:szCs w:val="32"/>
        </w:rPr>
        <w:t xml:space="preserve">: </w:t>
      </w:r>
      <w:r w:rsidR="00253523">
        <w:rPr>
          <w:rFonts w:asciiTheme="majorHAnsi" w:hAnsiTheme="majorHAnsi"/>
          <w:b/>
          <w:color w:val="FFFFFF" w:themeColor="background1"/>
          <w:sz w:val="32"/>
          <w:szCs w:val="32"/>
        </w:rPr>
        <w:t>Kontaktet</w:t>
      </w:r>
    </w:p>
    <w:p w14:paraId="55386E0A" w14:textId="77777777" w:rsidR="00CF24DF" w:rsidRPr="004D2E1C" w:rsidRDefault="00CF24DF" w:rsidP="00CF24DF">
      <w:pPr>
        <w:rPr>
          <w:rFonts w:ascii="Arial" w:hAnsi="Arial" w:cs="Arial"/>
          <w:b/>
          <w:color w:val="C0504D"/>
          <w:sz w:val="28"/>
          <w:szCs w:val="28"/>
        </w:rPr>
      </w:pPr>
    </w:p>
    <w:bookmarkEnd w:id="102"/>
    <w:p w14:paraId="70E259A9" w14:textId="29AFA5C8" w:rsidR="00494E44" w:rsidRPr="00FF4E98" w:rsidRDefault="00494E44" w:rsidP="07D96137">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1. </w:t>
      </w:r>
      <w:r w:rsidR="0000386D">
        <w:rPr>
          <w:rFonts w:ascii="Calibri Light" w:eastAsia="Calibri" w:hAnsi="Calibri Light" w:cs="Calibri Light"/>
          <w:b/>
          <w:bCs/>
          <w:sz w:val="22"/>
          <w:szCs w:val="22"/>
        </w:rPr>
        <w:t>Venera Çerkini</w:t>
      </w:r>
      <w:r w:rsidRPr="07D96137">
        <w:rPr>
          <w:rFonts w:ascii="Calibri Light" w:eastAsia="Calibri" w:hAnsi="Calibri Light" w:cs="Calibri Light"/>
          <w:b/>
          <w:bCs/>
          <w:sz w:val="22"/>
          <w:szCs w:val="22"/>
        </w:rPr>
        <w:t xml:space="preserve">– </w:t>
      </w:r>
      <w:r w:rsidR="000C1E66" w:rsidRPr="07D96137">
        <w:rPr>
          <w:rFonts w:ascii="Calibri Light" w:eastAsia="Calibri" w:hAnsi="Calibri Light" w:cs="Calibri Light"/>
          <w:b/>
          <w:bCs/>
          <w:sz w:val="22"/>
          <w:szCs w:val="22"/>
        </w:rPr>
        <w:t>Z</w:t>
      </w:r>
      <w:r w:rsidR="003A6658" w:rsidRPr="07D96137">
        <w:rPr>
          <w:rFonts w:asciiTheme="majorHAnsi" w:hAnsiTheme="majorHAnsi" w:cstheme="majorBidi"/>
          <w:sz w:val="22"/>
          <w:szCs w:val="22"/>
        </w:rPr>
        <w:t>ë</w:t>
      </w:r>
      <w:r w:rsidR="000C1E66" w:rsidRPr="07D96137">
        <w:rPr>
          <w:rFonts w:ascii="Calibri Light" w:eastAsia="Calibri" w:hAnsi="Calibri Light" w:cs="Calibri Light"/>
          <w:b/>
          <w:bCs/>
          <w:sz w:val="22"/>
          <w:szCs w:val="22"/>
        </w:rPr>
        <w:t>vend</w:t>
      </w:r>
      <w:r w:rsidR="00521B52" w:rsidRPr="07D96137">
        <w:rPr>
          <w:rFonts w:ascii="Calibri Light" w:eastAsia="Calibri" w:hAnsi="Calibri Light" w:cs="Calibri Light"/>
          <w:b/>
          <w:bCs/>
          <w:sz w:val="22"/>
          <w:szCs w:val="22"/>
        </w:rPr>
        <w:t>ë</w:t>
      </w:r>
      <w:r w:rsidR="000C1E66" w:rsidRPr="07D96137">
        <w:rPr>
          <w:rFonts w:ascii="Calibri Light" w:eastAsia="Calibri" w:hAnsi="Calibri Light" w:cs="Calibri Light"/>
          <w:b/>
          <w:bCs/>
          <w:sz w:val="22"/>
          <w:szCs w:val="22"/>
        </w:rPr>
        <w:t xml:space="preserve">s </w:t>
      </w:r>
      <w:r w:rsidR="00E57AC6" w:rsidRPr="07D96137">
        <w:rPr>
          <w:rFonts w:ascii="Calibri Light" w:eastAsia="Calibri" w:hAnsi="Calibri Light" w:cs="Calibri Light"/>
          <w:b/>
          <w:bCs/>
          <w:sz w:val="22"/>
          <w:szCs w:val="22"/>
        </w:rPr>
        <w:t>Sekretar</w:t>
      </w:r>
      <w:r w:rsidR="0000386D">
        <w:rPr>
          <w:rFonts w:ascii="Calibri Light" w:eastAsia="Calibri" w:hAnsi="Calibri Light" w:cs="Calibri Light"/>
          <w:b/>
          <w:bCs/>
          <w:sz w:val="22"/>
          <w:szCs w:val="22"/>
        </w:rPr>
        <w:t>e</w:t>
      </w:r>
      <w:r w:rsidR="00E57AC6" w:rsidRPr="07D96137">
        <w:rPr>
          <w:rFonts w:ascii="Calibri Light" w:eastAsia="Calibri" w:hAnsi="Calibri Light" w:cs="Calibri Light"/>
          <w:b/>
          <w:bCs/>
          <w:sz w:val="22"/>
          <w:szCs w:val="22"/>
        </w:rPr>
        <w:t xml:space="preserve"> </w:t>
      </w:r>
      <w:r w:rsidR="0000386D">
        <w:rPr>
          <w:rFonts w:ascii="Calibri Light" w:eastAsia="Calibri" w:hAnsi="Calibri Light" w:cs="Calibri Light"/>
          <w:b/>
          <w:bCs/>
          <w:sz w:val="22"/>
          <w:szCs w:val="22"/>
        </w:rPr>
        <w:t>e</w:t>
      </w:r>
      <w:r w:rsidR="00E57AC6" w:rsidRPr="07D96137">
        <w:rPr>
          <w:rFonts w:ascii="Calibri Light" w:eastAsia="Calibri" w:hAnsi="Calibri Light" w:cs="Calibri Light"/>
          <w:b/>
          <w:bCs/>
          <w:sz w:val="22"/>
          <w:szCs w:val="22"/>
        </w:rPr>
        <w:t xml:space="preserve"> p</w:t>
      </w:r>
      <w:r w:rsidR="00E04BE3" w:rsidRPr="07D96137">
        <w:rPr>
          <w:rFonts w:ascii="Calibri Light" w:eastAsia="Calibri" w:hAnsi="Calibri Light" w:cs="Calibri Light"/>
          <w:b/>
          <w:bCs/>
          <w:sz w:val="22"/>
          <w:szCs w:val="22"/>
        </w:rPr>
        <w:t>ë</w:t>
      </w:r>
      <w:r w:rsidR="00E57AC6" w:rsidRPr="07D96137">
        <w:rPr>
          <w:rFonts w:ascii="Calibri Light" w:eastAsia="Calibri" w:hAnsi="Calibri Light" w:cs="Calibri Light"/>
          <w:b/>
          <w:bCs/>
          <w:sz w:val="22"/>
          <w:szCs w:val="22"/>
        </w:rPr>
        <w:t>rgjithshm</w:t>
      </w:r>
      <w:r w:rsidR="0000386D">
        <w:rPr>
          <w:rFonts w:ascii="Calibri Light" w:eastAsia="Calibri" w:hAnsi="Calibri Light" w:cs="Calibri Light"/>
          <w:b/>
          <w:bCs/>
          <w:sz w:val="22"/>
          <w:szCs w:val="22"/>
        </w:rPr>
        <w:t>e</w:t>
      </w:r>
      <w:r w:rsidR="00E57AC6" w:rsidRPr="07D96137">
        <w:rPr>
          <w:rFonts w:ascii="Calibri Light" w:eastAsia="Calibri" w:hAnsi="Calibri Light" w:cs="Calibri Light"/>
          <w:b/>
          <w:bCs/>
          <w:sz w:val="22"/>
          <w:szCs w:val="22"/>
        </w:rPr>
        <w:t xml:space="preserve"> n</w:t>
      </w:r>
      <w:r w:rsidR="00E04BE3" w:rsidRPr="07D96137">
        <w:rPr>
          <w:rFonts w:ascii="Calibri Light" w:eastAsia="Calibri" w:hAnsi="Calibri Light" w:cs="Calibri Light"/>
          <w:b/>
          <w:bCs/>
          <w:sz w:val="22"/>
          <w:szCs w:val="22"/>
        </w:rPr>
        <w:t>ë</w:t>
      </w:r>
      <w:r w:rsidR="00E57AC6" w:rsidRPr="07D96137">
        <w:rPr>
          <w:rFonts w:ascii="Calibri Light" w:eastAsia="Calibri" w:hAnsi="Calibri Light" w:cs="Calibri Light"/>
          <w:b/>
          <w:bCs/>
          <w:sz w:val="22"/>
          <w:szCs w:val="22"/>
        </w:rPr>
        <w:t xml:space="preserve"> </w:t>
      </w:r>
      <w:r w:rsidR="1F75C88F" w:rsidRPr="07D96137">
        <w:rPr>
          <w:rFonts w:ascii="Calibri Light" w:eastAsia="Calibri" w:hAnsi="Calibri Light" w:cs="Calibri Light"/>
          <w:b/>
          <w:bCs/>
          <w:sz w:val="22"/>
          <w:szCs w:val="22"/>
        </w:rPr>
        <w:t>MAPL</w:t>
      </w:r>
      <w:r w:rsidR="00E57AC6" w:rsidRPr="07D96137">
        <w:rPr>
          <w:rFonts w:ascii="Calibri Light" w:eastAsia="Calibri" w:hAnsi="Calibri Light" w:cs="Calibri Light"/>
          <w:b/>
          <w:bCs/>
          <w:sz w:val="22"/>
          <w:szCs w:val="22"/>
        </w:rPr>
        <w:t xml:space="preserve"> </w:t>
      </w:r>
    </w:p>
    <w:p w14:paraId="3696950B" w14:textId="77777777" w:rsidR="00494E44" w:rsidRPr="00FF4E98" w:rsidRDefault="00494E44" w:rsidP="00494E44">
      <w:pPr>
        <w:rPr>
          <w:rFonts w:ascii="Calibri Light" w:eastAsia="Calibri" w:hAnsi="Calibri Light" w:cs="Calibri Light"/>
          <w:sz w:val="22"/>
          <w:szCs w:val="22"/>
        </w:rPr>
      </w:pPr>
      <w:r w:rsidRPr="00FF4E98">
        <w:rPr>
          <w:rFonts w:ascii="Calibri Light" w:eastAsia="Calibri" w:hAnsi="Calibri Light" w:cs="Calibri Light"/>
          <w:sz w:val="22"/>
          <w:szCs w:val="22"/>
        </w:rPr>
        <w:t>Tel: 038 200 35 577</w:t>
      </w:r>
    </w:p>
    <w:p w14:paraId="49E08928" w14:textId="5277B3D6" w:rsidR="00494E44" w:rsidRPr="0052538C" w:rsidRDefault="00494E44" w:rsidP="00494E44">
      <w:pPr>
        <w:rPr>
          <w:rFonts w:ascii="Calibri Light" w:eastAsia="Calibri" w:hAnsi="Calibri Light" w:cs="Calibri Light"/>
          <w:color w:val="0563C1"/>
          <w:sz w:val="22"/>
          <w:szCs w:val="22"/>
          <w:u w:val="single"/>
        </w:rPr>
      </w:pPr>
      <w:r w:rsidRPr="00FF4E98">
        <w:rPr>
          <w:rFonts w:ascii="Calibri Light" w:eastAsia="Calibri" w:hAnsi="Calibri Light" w:cs="Calibri Light"/>
          <w:sz w:val="22"/>
          <w:szCs w:val="22"/>
        </w:rPr>
        <w:t>Em</w:t>
      </w:r>
      <w:r w:rsidR="004F307F" w:rsidRPr="00FF4E98">
        <w:rPr>
          <w:rFonts w:ascii="Calibri Light" w:eastAsia="Calibri" w:hAnsi="Calibri Light" w:cs="Calibri Light"/>
          <w:sz w:val="22"/>
          <w:szCs w:val="22"/>
        </w:rPr>
        <w:t>a</w:t>
      </w:r>
      <w:r w:rsidRPr="00FF4E98">
        <w:rPr>
          <w:rFonts w:ascii="Calibri Light" w:eastAsia="Calibri" w:hAnsi="Calibri Light" w:cs="Calibri Light"/>
          <w:sz w:val="22"/>
          <w:szCs w:val="22"/>
        </w:rPr>
        <w:t xml:space="preserve">il: </w:t>
      </w:r>
      <w:hyperlink r:id="rId20" w:history="1">
        <w:r w:rsidR="0000386D">
          <w:rPr>
            <w:rStyle w:val="Hyperlink"/>
            <w:rFonts w:ascii="Calibri Light" w:eastAsia="Calibri" w:hAnsi="Calibri Light" w:cs="Calibri Light"/>
            <w:sz w:val="22"/>
            <w:szCs w:val="22"/>
          </w:rPr>
          <w:t>venera.cerkini</w:t>
        </w:r>
        <w:r w:rsidR="0000386D" w:rsidRPr="007C2661">
          <w:rPr>
            <w:rStyle w:val="Hyperlink"/>
            <w:rFonts w:ascii="Calibri Light" w:eastAsia="Calibri" w:hAnsi="Calibri Light" w:cs="Calibri Light"/>
            <w:sz w:val="22"/>
            <w:szCs w:val="22"/>
          </w:rPr>
          <w:t>@rks-gov.net</w:t>
        </w:r>
      </w:hyperlink>
    </w:p>
    <w:p w14:paraId="45FAAC48" w14:textId="77777777" w:rsidR="00494E44" w:rsidRPr="00FF4E98" w:rsidRDefault="00494E44" w:rsidP="00494E44">
      <w:pPr>
        <w:rPr>
          <w:rFonts w:ascii="Calibri Light" w:eastAsia="Calibri" w:hAnsi="Calibri Light" w:cs="Calibri Light"/>
          <w:sz w:val="22"/>
          <w:szCs w:val="22"/>
        </w:rPr>
      </w:pPr>
    </w:p>
    <w:p w14:paraId="3CB01D73" w14:textId="5CDEA536" w:rsidR="00E57AC6" w:rsidRPr="00792B62" w:rsidRDefault="00494E44" w:rsidP="07D96137">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2. </w:t>
      </w:r>
      <w:r w:rsidR="00E57AC6" w:rsidRPr="07D96137">
        <w:rPr>
          <w:rFonts w:ascii="Calibri Light" w:eastAsia="Calibri" w:hAnsi="Calibri Light" w:cs="Calibri Light"/>
          <w:b/>
          <w:bCs/>
          <w:sz w:val="22"/>
          <w:szCs w:val="22"/>
        </w:rPr>
        <w:t xml:space="preserve">Diellor Gashi - Drejtor i Departamentit </w:t>
      </w:r>
      <w:r w:rsidR="003A6658" w:rsidRPr="07D96137">
        <w:rPr>
          <w:rFonts w:ascii="Calibri Light" w:eastAsia="Calibri" w:hAnsi="Calibri Light" w:cs="Calibri Light"/>
          <w:b/>
          <w:bCs/>
          <w:sz w:val="22"/>
          <w:szCs w:val="22"/>
        </w:rPr>
        <w:t xml:space="preserve">për Performancë dhe Transparencë Komunale </w:t>
      </w:r>
      <w:r w:rsidR="00E57AC6" w:rsidRPr="07D96137">
        <w:rPr>
          <w:rFonts w:ascii="Calibri Light" w:eastAsia="Calibri" w:hAnsi="Calibri Light" w:cs="Calibri Light"/>
          <w:b/>
          <w:bCs/>
          <w:sz w:val="22"/>
          <w:szCs w:val="22"/>
        </w:rPr>
        <w:t xml:space="preserve">në </w:t>
      </w:r>
      <w:r w:rsidR="21505015" w:rsidRPr="07D96137">
        <w:rPr>
          <w:rFonts w:ascii="Calibri Light" w:eastAsia="Calibri" w:hAnsi="Calibri Light" w:cs="Calibri Light"/>
          <w:b/>
          <w:bCs/>
          <w:sz w:val="22"/>
          <w:szCs w:val="22"/>
        </w:rPr>
        <w:t>MAPL</w:t>
      </w:r>
    </w:p>
    <w:p w14:paraId="4B668FB5" w14:textId="77777777" w:rsidR="00494E44" w:rsidRPr="00FF4E98" w:rsidRDefault="0076749B" w:rsidP="00494E44">
      <w:pPr>
        <w:rPr>
          <w:rFonts w:ascii="Calibri Light" w:eastAsia="Calibri" w:hAnsi="Calibri Light" w:cs="Calibri Light"/>
          <w:sz w:val="22"/>
          <w:szCs w:val="22"/>
        </w:rPr>
      </w:pPr>
      <w:r>
        <w:rPr>
          <w:rFonts w:ascii="Calibri Light" w:eastAsia="Calibri" w:hAnsi="Calibri Light" w:cs="Calibri Light"/>
          <w:sz w:val="22"/>
          <w:szCs w:val="22"/>
        </w:rPr>
        <w:t>Tel: 038 200 35 5</w:t>
      </w:r>
      <w:r w:rsidR="00E57AC6">
        <w:rPr>
          <w:rFonts w:ascii="Calibri Light" w:eastAsia="Calibri" w:hAnsi="Calibri Light" w:cs="Calibri Light"/>
          <w:sz w:val="22"/>
          <w:szCs w:val="22"/>
        </w:rPr>
        <w:t>5</w:t>
      </w:r>
      <w:r w:rsidR="003A6658">
        <w:rPr>
          <w:rFonts w:ascii="Calibri Light" w:eastAsia="Calibri" w:hAnsi="Calibri Light" w:cs="Calibri Light"/>
          <w:sz w:val="22"/>
          <w:szCs w:val="22"/>
        </w:rPr>
        <w:t>1</w:t>
      </w:r>
    </w:p>
    <w:p w14:paraId="38A3DECF" w14:textId="77777777" w:rsidR="00FF4E98" w:rsidRPr="00FF4E98" w:rsidRDefault="00494E44">
      <w:pPr>
        <w:rPr>
          <w:rFonts w:ascii="Calibri Light" w:eastAsia="Calibri" w:hAnsi="Calibri Light" w:cs="Calibri Light"/>
          <w:b/>
          <w:sz w:val="22"/>
          <w:szCs w:val="22"/>
        </w:rPr>
      </w:pPr>
      <w:r w:rsidRPr="00FF4E98">
        <w:rPr>
          <w:rFonts w:ascii="Calibri Light" w:eastAsia="Calibri" w:hAnsi="Calibri Light" w:cs="Calibri Light"/>
          <w:sz w:val="22"/>
          <w:szCs w:val="22"/>
        </w:rPr>
        <w:t xml:space="preserve">Email: </w:t>
      </w:r>
      <w:hyperlink r:id="rId21" w:history="1">
        <w:r w:rsidR="00E57AC6" w:rsidRPr="00FF4E98">
          <w:rPr>
            <w:rStyle w:val="Hyperlink"/>
            <w:rFonts w:ascii="Calibri Light" w:eastAsia="Calibri" w:hAnsi="Calibri Light" w:cs="Calibri Light"/>
            <w:sz w:val="22"/>
            <w:szCs w:val="22"/>
          </w:rPr>
          <w:t>diellor.gashi@rks-gov.net</w:t>
        </w:r>
      </w:hyperlink>
    </w:p>
    <w:p w14:paraId="01A76CB1" w14:textId="77777777" w:rsidR="00CA6918" w:rsidRPr="00A05BAE" w:rsidRDefault="00CA6918" w:rsidP="00A05BAE"/>
    <w:sectPr w:rsidR="00CA6918" w:rsidRPr="00A05BAE" w:rsidSect="004A693D">
      <w:footerReference w:type="default" r:id="rId22"/>
      <w:pgSz w:w="11909" w:h="16834" w:code="9"/>
      <w:pgMar w:top="1440" w:right="1800" w:bottom="1440" w:left="1800" w:header="1296" w:footer="10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C0F2" w14:textId="77777777" w:rsidR="00A63514" w:rsidRDefault="00A63514">
      <w:r>
        <w:separator/>
      </w:r>
    </w:p>
  </w:endnote>
  <w:endnote w:type="continuationSeparator" w:id="0">
    <w:p w14:paraId="3E8542D9" w14:textId="77777777" w:rsidR="00A63514" w:rsidRDefault="00A63514">
      <w:r>
        <w:continuationSeparator/>
      </w:r>
    </w:p>
  </w:endnote>
  <w:endnote w:type="continuationNotice" w:id="1">
    <w:p w14:paraId="6EA85C5E" w14:textId="77777777" w:rsidR="00A63514" w:rsidRDefault="00A63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B981" w14:textId="77777777" w:rsidR="007357ED" w:rsidRDefault="007357ED">
    <w:pPr>
      <w:pStyle w:val="Footer"/>
      <w:tabs>
        <w:tab w:val="clear" w:pos="8640"/>
        <w:tab w:val="right" w:pos="8460"/>
      </w:tabs>
      <w:ind w:right="360"/>
      <w:rPr>
        <w:rFonts w:ascii="Arial" w:hAnsi="Arial"/>
        <w:sz w:val="16"/>
      </w:rPr>
    </w:pPr>
  </w:p>
  <w:p w14:paraId="44143BC4" w14:textId="77777777" w:rsidR="007357ED" w:rsidRDefault="007357ED">
    <w:pPr>
      <w:pStyle w:val="Footer"/>
      <w:tabs>
        <w:tab w:val="clear" w:pos="8640"/>
        <w:tab w:val="right" w:pos="9090"/>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82D" w14:textId="260367CA" w:rsidR="007357ED" w:rsidRPr="00CD53A9" w:rsidRDefault="007357ED" w:rsidP="00CD53A9">
    <w:pPr>
      <w:spacing w:before="120"/>
      <w:jc w:val="right"/>
      <w:rPr>
        <w:rFonts w:ascii="Arial" w:hAnsi="Arial"/>
        <w:bCs/>
        <w:color w:val="FF0000"/>
      </w:rPr>
    </w:pPr>
    <w:r>
      <w:rPr>
        <w:rFonts w:ascii="Arial" w:hAnsi="Arial" w:cs="Arial"/>
        <w:b/>
        <w:i/>
        <w:iCs/>
        <w:color w:val="808080" w:themeColor="background1" w:themeShade="80"/>
        <w:sz w:val="16"/>
        <w:szCs w:val="16"/>
      </w:rPr>
      <w:t>Granti i Performancës Komunale – Rregullat 2023</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A1D1C">
      <w:rPr>
        <w:rFonts w:ascii="Arial" w:hAnsi="Arial" w:cs="Arial"/>
        <w:iCs/>
        <w:noProof/>
        <w:color w:val="000000" w:themeColor="text1"/>
        <w:sz w:val="16"/>
        <w:szCs w:val="16"/>
        <w:highlight w:val="lightGray"/>
      </w:rPr>
      <w:t>19</w:t>
    </w:r>
    <w:r w:rsidRPr="00E05687">
      <w:rPr>
        <w:rFonts w:ascii="Arial" w:hAnsi="Arial" w:cs="Arial"/>
        <w:iCs/>
        <w:color w:val="000000" w:themeColor="text1"/>
        <w:sz w:val="16"/>
        <w:szCs w:val="16"/>
        <w:highlight w:val="lightGray"/>
      </w:rPr>
      <w:fldChar w:fldCharType="end"/>
    </w:r>
  </w:p>
  <w:p w14:paraId="757B489E" w14:textId="77777777" w:rsidR="007357ED" w:rsidRDefault="007357ED"/>
  <w:p w14:paraId="159DC02D" w14:textId="77777777" w:rsidR="007357ED" w:rsidRDefault="007357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87EF" w14:textId="6BB18820" w:rsidR="007357ED" w:rsidRPr="00CD53A9" w:rsidRDefault="007357ED" w:rsidP="005434CB">
    <w:pPr>
      <w:spacing w:before="120"/>
      <w:ind w:right="-1046"/>
      <w:jc w:val="right"/>
      <w:rPr>
        <w:rFonts w:ascii="Arial" w:hAnsi="Arial"/>
        <w:bCs/>
        <w:color w:val="FF0000"/>
      </w:rPr>
    </w:pPr>
    <w:r>
      <w:rPr>
        <w:rFonts w:ascii="Arial" w:hAnsi="Arial" w:cs="Arial"/>
        <w:b/>
        <w:i/>
        <w:iCs/>
        <w:color w:val="808080" w:themeColor="background1" w:themeShade="80"/>
        <w:sz w:val="16"/>
        <w:szCs w:val="16"/>
      </w:rPr>
      <w:t>Granti i performancës komunale</w:t>
    </w:r>
    <w:r w:rsidRPr="00B45C08">
      <w:rPr>
        <w:rFonts w:ascii="Arial" w:hAnsi="Arial" w:cs="Arial"/>
        <w:b/>
        <w:i/>
        <w:iCs/>
        <w:color w:val="808080" w:themeColor="background1" w:themeShade="80"/>
        <w:sz w:val="16"/>
        <w:szCs w:val="16"/>
      </w:rPr>
      <w:t>-</w:t>
    </w:r>
    <w:r>
      <w:rPr>
        <w:rFonts w:ascii="Arial" w:hAnsi="Arial" w:cs="Arial"/>
        <w:b/>
        <w:i/>
        <w:iCs/>
        <w:color w:val="808080" w:themeColor="background1" w:themeShade="80"/>
        <w:sz w:val="16"/>
        <w:szCs w:val="16"/>
      </w:rPr>
      <w:t>Rregullat VF 2023</w:t>
    </w:r>
    <w:r w:rsidRPr="00B45C08">
      <w:rPr>
        <w:rFonts w:ascii="Arial" w:hAnsi="Arial" w:cs="Arial"/>
        <w:b/>
        <w:i/>
        <w:iCs/>
        <w:color w:val="808080" w:themeColor="background1" w:themeShade="80"/>
        <w:sz w:val="16"/>
        <w:szCs w:val="16"/>
      </w:rPr>
      <w:t xml:space="preserve"> -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FA1D1C">
      <w:rPr>
        <w:rFonts w:ascii="Arial" w:hAnsi="Arial" w:cs="Arial"/>
        <w:iCs/>
        <w:noProof/>
        <w:color w:val="000000" w:themeColor="text1"/>
        <w:sz w:val="16"/>
        <w:szCs w:val="16"/>
        <w:highlight w:val="lightGray"/>
      </w:rPr>
      <w:t>22</w:t>
    </w:r>
    <w:r w:rsidRPr="00E05687">
      <w:rPr>
        <w:rFonts w:ascii="Arial" w:hAnsi="Arial" w:cs="Arial"/>
        <w:iCs/>
        <w:color w:val="000000" w:themeColor="text1"/>
        <w:sz w:val="16"/>
        <w:szCs w:val="16"/>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C19" w14:textId="14DEBB3E" w:rsidR="007357ED" w:rsidRPr="00CD53A9" w:rsidRDefault="007357ED" w:rsidP="00CD53A9">
    <w:pPr>
      <w:spacing w:before="120"/>
      <w:jc w:val="right"/>
      <w:rPr>
        <w:rFonts w:ascii="Arial" w:hAnsi="Arial"/>
        <w:bCs/>
        <w:color w:val="FF0000"/>
      </w:rPr>
    </w:pPr>
    <w:r>
      <w:rPr>
        <w:rFonts w:ascii="Arial" w:hAnsi="Arial" w:cs="Arial"/>
        <w:b/>
        <w:i/>
        <w:iCs/>
        <w:color w:val="808080" w:themeColor="background1" w:themeShade="80"/>
        <w:sz w:val="16"/>
        <w:szCs w:val="16"/>
      </w:rPr>
      <w:t>Rregullat e grantit të performancës komunale</w:t>
    </w:r>
    <w:r w:rsidRPr="00DB3F91">
      <w:rPr>
        <w:rFonts w:ascii="Arial" w:hAnsi="Arial" w:cs="Arial"/>
        <w:b/>
        <w:i/>
        <w:iCs/>
        <w:color w:val="808080" w:themeColor="background1" w:themeShade="80"/>
        <w:sz w:val="16"/>
        <w:szCs w:val="16"/>
      </w:rPr>
      <w:t xml:space="preserve">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7575BB">
      <w:rPr>
        <w:rFonts w:ascii="Arial" w:hAnsi="Arial" w:cs="Arial"/>
        <w:iCs/>
        <w:noProof/>
        <w:color w:val="000000" w:themeColor="text1"/>
        <w:sz w:val="16"/>
        <w:szCs w:val="16"/>
        <w:highlight w:val="lightGray"/>
      </w:rPr>
      <w:t>32</w:t>
    </w:r>
    <w:r w:rsidRPr="00E05687">
      <w:rPr>
        <w:rFonts w:ascii="Arial" w:hAnsi="Arial" w:cs="Arial"/>
        <w:iCs/>
        <w:color w:val="000000" w:themeColor="text1"/>
        <w:sz w:val="16"/>
        <w:szCs w:val="16"/>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1351" w14:textId="77777777" w:rsidR="007357ED" w:rsidRDefault="007357ED" w:rsidP="00CD53A9">
    <w:pPr>
      <w:spacing w:before="120"/>
      <w:jc w:val="right"/>
      <w:rPr>
        <w:rFonts w:ascii="Arial" w:hAnsi="Arial" w:cs="Arial"/>
        <w:b/>
        <w:i/>
        <w:iCs/>
        <w:color w:val="808080" w:themeColor="background1" w:themeShade="80"/>
        <w:sz w:val="16"/>
        <w:szCs w:val="16"/>
      </w:rPr>
    </w:pPr>
  </w:p>
  <w:p w14:paraId="29CFC59F" w14:textId="205D3D84" w:rsidR="007357ED" w:rsidRPr="00CD53A9" w:rsidRDefault="007357ED" w:rsidP="00CD53A9">
    <w:pPr>
      <w:spacing w:before="120"/>
      <w:jc w:val="right"/>
      <w:rPr>
        <w:rFonts w:ascii="Arial" w:hAnsi="Arial"/>
        <w:bCs/>
        <w:color w:val="FF0000"/>
      </w:rPr>
    </w:pPr>
    <w:r w:rsidRPr="00DB3F91">
      <w:rPr>
        <w:rFonts w:ascii="Arial" w:hAnsi="Arial" w:cs="Arial"/>
        <w:b/>
        <w:i/>
        <w:iCs/>
        <w:color w:val="808080" w:themeColor="background1" w:themeShade="80"/>
        <w:sz w:val="16"/>
        <w:szCs w:val="16"/>
      </w:rPr>
      <w:t>R</w:t>
    </w:r>
    <w:r>
      <w:rPr>
        <w:rFonts w:ascii="Arial" w:hAnsi="Arial" w:cs="Arial"/>
        <w:b/>
        <w:i/>
        <w:iCs/>
        <w:color w:val="808080" w:themeColor="background1" w:themeShade="80"/>
        <w:sz w:val="16"/>
        <w:szCs w:val="16"/>
      </w:rPr>
      <w:t>regullat e Grantit të Performancës Komunale</w:t>
    </w:r>
    <w:r w:rsidRPr="00DB3F91">
      <w:rPr>
        <w:rFonts w:ascii="Arial" w:hAnsi="Arial" w:cs="Arial"/>
        <w:b/>
        <w:i/>
        <w:iCs/>
        <w:color w:val="808080" w:themeColor="background1" w:themeShade="80"/>
        <w:sz w:val="16"/>
        <w:szCs w:val="16"/>
      </w:rPr>
      <w:t xml:space="preserve">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7575BB">
      <w:rPr>
        <w:rFonts w:ascii="Arial" w:hAnsi="Arial" w:cs="Arial"/>
        <w:iCs/>
        <w:noProof/>
        <w:color w:val="000000" w:themeColor="text1"/>
        <w:sz w:val="16"/>
        <w:szCs w:val="16"/>
        <w:highlight w:val="lightGray"/>
      </w:rPr>
      <w:t>44</w:t>
    </w:r>
    <w:r w:rsidRPr="00E05687">
      <w:rPr>
        <w:rFonts w:ascii="Arial" w:hAnsi="Arial" w:cs="Arial"/>
        <w:iCs/>
        <w:color w:val="000000" w:themeColor="text1"/>
        <w:sz w:val="16"/>
        <w:szCs w:val="16"/>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CCB4" w14:textId="77777777" w:rsidR="00A63514" w:rsidRDefault="00A63514">
      <w:r>
        <w:separator/>
      </w:r>
    </w:p>
  </w:footnote>
  <w:footnote w:type="continuationSeparator" w:id="0">
    <w:p w14:paraId="327B97FC" w14:textId="77777777" w:rsidR="00A63514" w:rsidRDefault="00A63514">
      <w:r>
        <w:continuationSeparator/>
      </w:r>
    </w:p>
  </w:footnote>
  <w:footnote w:type="continuationNotice" w:id="1">
    <w:p w14:paraId="08BBF1E0" w14:textId="77777777" w:rsidR="00A63514" w:rsidRDefault="00A63514"/>
  </w:footnote>
  <w:footnote w:id="2">
    <w:p w14:paraId="4735B6F7" w14:textId="77777777" w:rsidR="007357ED" w:rsidRPr="00621240" w:rsidRDefault="007357ED" w:rsidP="000D6CE5">
      <w:pPr>
        <w:pStyle w:val="FootnoteText"/>
        <w:tabs>
          <w:tab w:val="left" w:pos="567"/>
        </w:tabs>
        <w:ind w:left="567" w:hanging="567"/>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w:t>
      </w:r>
      <w:r w:rsidRPr="00621240">
        <w:rPr>
          <w:rFonts w:asciiTheme="majorHAnsi" w:hAnsiTheme="majorHAnsi"/>
          <w:sz w:val="18"/>
          <w:szCs w:val="18"/>
        </w:rPr>
        <w:tab/>
        <w:t>Formula e alokimit për grantin e përgjithshëm është përkufizuar në Ligjin për Financat e Pushtetit Lokal (Ligji nr. 03/ L- 049)</w:t>
      </w:r>
    </w:p>
  </w:footnote>
  <w:footnote w:id="3">
    <w:p w14:paraId="2F3FFD82" w14:textId="74EC863C" w:rsidR="007357ED" w:rsidRPr="00CD55EA" w:rsidRDefault="007357ED">
      <w:pPr>
        <w:pStyle w:val="FootnoteText"/>
        <w:rPr>
          <w:rFonts w:asciiTheme="majorHAnsi" w:hAnsiTheme="majorHAnsi" w:cstheme="majorHAnsi"/>
          <w:sz w:val="22"/>
          <w:lang w:val="en-US"/>
        </w:rPr>
      </w:pPr>
      <w:r w:rsidRPr="00CD55EA">
        <w:rPr>
          <w:rStyle w:val="FootnoteReference"/>
          <w:rFonts w:asciiTheme="majorHAnsi" w:hAnsiTheme="majorHAnsi" w:cstheme="majorHAnsi"/>
          <w:sz w:val="14"/>
        </w:rPr>
        <w:footnoteRef/>
      </w:r>
      <w:r w:rsidRPr="00CD55EA">
        <w:rPr>
          <w:rFonts w:asciiTheme="majorHAnsi" w:hAnsiTheme="majorHAnsi" w:cstheme="majorHAnsi"/>
          <w:sz w:val="22"/>
        </w:rPr>
        <w:t xml:space="preserve"> </w:t>
      </w:r>
      <w:r w:rsidRPr="00CD55EA">
        <w:rPr>
          <w:rFonts w:asciiTheme="majorHAnsi" w:hAnsiTheme="majorHAnsi" w:cstheme="majorHAnsi"/>
          <w:sz w:val="14"/>
          <w:szCs w:val="16"/>
        </w:rPr>
        <w:t>Afati i raportimit të të dhënave të performancës nga komuna është 45 ditë kalendarike nga momenti i pranimit të kërkesës për raportim nga ministria</w:t>
      </w:r>
    </w:p>
  </w:footnote>
  <w:footnote w:id="4">
    <w:p w14:paraId="388E081F" w14:textId="14C01902" w:rsidR="007357ED" w:rsidRPr="00CD55EA" w:rsidRDefault="007357ED" w:rsidP="003B754E">
      <w:pPr>
        <w:pStyle w:val="FootnoteText"/>
        <w:rPr>
          <w:rFonts w:asciiTheme="majorHAnsi" w:hAnsiTheme="majorHAnsi" w:cstheme="majorHAnsi"/>
          <w:sz w:val="22"/>
          <w:lang w:val="en-GB"/>
        </w:rPr>
      </w:pPr>
      <w:r w:rsidRPr="00CD55EA">
        <w:rPr>
          <w:rStyle w:val="FootnoteReference"/>
          <w:rFonts w:asciiTheme="majorHAnsi" w:hAnsiTheme="majorHAnsi" w:cstheme="majorHAnsi"/>
          <w:sz w:val="14"/>
          <w:szCs w:val="16"/>
        </w:rPr>
        <w:footnoteRef/>
      </w:r>
      <w:r w:rsidRPr="00CD55EA">
        <w:rPr>
          <w:rFonts w:asciiTheme="majorHAnsi" w:hAnsiTheme="majorHAnsi" w:cstheme="majorHAnsi"/>
          <w:sz w:val="14"/>
          <w:szCs w:val="16"/>
        </w:rPr>
        <w:t xml:space="preserve">   Rishqyrtimi për qëllime të GPK-së është kriter procedural, që nënkupton obligimin e komunës për të rishqyrtuar në Kuvendin e Komunës aktet e vlerësuara si të kundërligjshme në vitin 2021 nga autoriteti mbikëqyrës, pa presupozuar përmbajtjen përfundimtare të aktit të rishqyrtuar.</w:t>
      </w:r>
    </w:p>
  </w:footnote>
  <w:footnote w:id="5">
    <w:p w14:paraId="4E8BD7A7" w14:textId="77777777" w:rsidR="007357ED" w:rsidRDefault="007357ED" w:rsidP="003B754E">
      <w:pPr>
        <w:pStyle w:val="FootnoteText"/>
        <w:rPr>
          <w:rFonts w:asciiTheme="majorHAnsi" w:hAnsiTheme="majorHAnsi"/>
          <w:sz w:val="18"/>
          <w:szCs w:val="18"/>
        </w:rPr>
      </w:pPr>
      <w:r w:rsidRPr="00CD55EA">
        <w:rPr>
          <w:rStyle w:val="FootnoteReference"/>
          <w:rFonts w:asciiTheme="majorHAnsi" w:hAnsiTheme="majorHAnsi" w:cstheme="majorHAnsi"/>
          <w:sz w:val="14"/>
          <w:szCs w:val="16"/>
        </w:rPr>
        <w:footnoteRef/>
      </w:r>
      <w:r w:rsidRPr="00CD55EA">
        <w:rPr>
          <w:rFonts w:asciiTheme="majorHAnsi" w:hAnsiTheme="majorHAnsi" w:cstheme="majorHAnsi"/>
          <w:sz w:val="14"/>
          <w:szCs w:val="16"/>
        </w:rPr>
        <w:t xml:space="preserve"> Autoritet mbikëqyrës nënkupton MAPL-në dhe ministritë e linjës</w:t>
      </w:r>
    </w:p>
  </w:footnote>
  <w:footnote w:id="6">
    <w:p w14:paraId="0193301C" w14:textId="4EBDC228" w:rsidR="007357ED" w:rsidRPr="00CD55EA" w:rsidRDefault="007357ED" w:rsidP="0086396D">
      <w:pPr>
        <w:pStyle w:val="FootnoteText"/>
        <w:tabs>
          <w:tab w:val="left" w:pos="516"/>
          <w:tab w:val="left" w:pos="567"/>
        </w:tabs>
        <w:ind w:left="567" w:hanging="567"/>
        <w:rPr>
          <w:rFonts w:asciiTheme="majorHAnsi" w:hAnsiTheme="majorHAnsi" w:cstheme="majorHAnsi"/>
          <w:sz w:val="16"/>
          <w:szCs w:val="16"/>
        </w:rPr>
      </w:pPr>
      <w:r w:rsidRPr="00CD55EA">
        <w:rPr>
          <w:rStyle w:val="FootnoteReference"/>
          <w:rFonts w:asciiTheme="majorHAnsi" w:hAnsiTheme="majorHAnsi" w:cstheme="majorHAnsi"/>
          <w:sz w:val="16"/>
          <w:szCs w:val="16"/>
        </w:rPr>
        <w:footnoteRef/>
      </w:r>
      <w:r w:rsidRPr="00CD55EA">
        <w:rPr>
          <w:rFonts w:asciiTheme="majorHAnsi" w:hAnsiTheme="majorHAnsi" w:cstheme="majorHAnsi"/>
          <w:sz w:val="16"/>
          <w:szCs w:val="16"/>
        </w:rPr>
        <w:t xml:space="preserve">  Shpjegimi më i hollësishëm i temave, treguesve dhe ngjyrave mund të gjendet në tekst dhe në shtojcën 2.</w:t>
      </w:r>
    </w:p>
  </w:footnote>
  <w:footnote w:id="7">
    <w:p w14:paraId="27C2844C" w14:textId="1B2EC372" w:rsidR="007357ED" w:rsidRPr="00CD55EA" w:rsidRDefault="007357ED">
      <w:pPr>
        <w:pStyle w:val="FootnoteText"/>
        <w:rPr>
          <w:lang w:val="en-US"/>
        </w:rPr>
      </w:pPr>
      <w:r w:rsidRPr="00CD55EA">
        <w:rPr>
          <w:rStyle w:val="FootnoteReference"/>
          <w:rFonts w:asciiTheme="majorHAnsi" w:hAnsiTheme="majorHAnsi" w:cstheme="majorHAnsi"/>
          <w:sz w:val="16"/>
          <w:szCs w:val="16"/>
        </w:rPr>
        <w:footnoteRef/>
      </w:r>
      <w:r w:rsidRPr="00CD55EA">
        <w:rPr>
          <w:rFonts w:asciiTheme="majorHAnsi" w:hAnsiTheme="majorHAnsi" w:cstheme="majorHAnsi"/>
          <w:sz w:val="16"/>
          <w:szCs w:val="16"/>
        </w:rPr>
        <w:t xml:space="preserve"> </w:t>
      </w:r>
      <w:r w:rsidRPr="00CD55EA">
        <w:rPr>
          <w:rFonts w:asciiTheme="majorHAnsi" w:hAnsiTheme="majorHAnsi" w:cstheme="majorHAnsi"/>
          <w:sz w:val="16"/>
          <w:szCs w:val="16"/>
          <w:lang w:val="en-US"/>
        </w:rPr>
        <w:t xml:space="preserve">Ky </w:t>
      </w:r>
      <w:proofErr w:type="spellStart"/>
      <w:r w:rsidRPr="00CD55EA">
        <w:rPr>
          <w:rFonts w:asciiTheme="majorHAnsi" w:hAnsiTheme="majorHAnsi" w:cstheme="majorHAnsi"/>
          <w:sz w:val="16"/>
          <w:szCs w:val="16"/>
          <w:lang w:val="en-US"/>
        </w:rPr>
        <w:t>tregues</w:t>
      </w:r>
      <w:proofErr w:type="spellEnd"/>
      <w:r w:rsidRPr="00CD55EA">
        <w:rPr>
          <w:rFonts w:asciiTheme="majorHAnsi" w:hAnsiTheme="majorHAnsi" w:cstheme="majorHAnsi"/>
          <w:sz w:val="16"/>
          <w:szCs w:val="16"/>
          <w:lang w:val="en-US"/>
        </w:rPr>
        <w:t xml:space="preserve"> </w:t>
      </w:r>
      <w:r w:rsidRPr="00CD55EA">
        <w:rPr>
          <w:rFonts w:asciiTheme="majorHAnsi" w:hAnsiTheme="majorHAnsi" w:cstheme="majorHAnsi"/>
          <w:sz w:val="16"/>
          <w:szCs w:val="16"/>
        </w:rPr>
        <w:t>është i ngrirë për shkak që raporti i SMPK</w:t>
      </w:r>
      <w:r>
        <w:rPr>
          <w:rFonts w:asciiTheme="majorHAnsi" w:hAnsiTheme="majorHAnsi" w:cstheme="majorHAnsi"/>
          <w:sz w:val="16"/>
          <w:szCs w:val="16"/>
        </w:rPr>
        <w:t xml:space="preserve"> për vitin 2020</w:t>
      </w:r>
      <w:r w:rsidRPr="00CD55EA">
        <w:rPr>
          <w:rFonts w:asciiTheme="majorHAnsi" w:hAnsiTheme="majorHAnsi" w:cstheme="majorHAnsi"/>
          <w:sz w:val="16"/>
          <w:szCs w:val="16"/>
        </w:rPr>
        <w:t xml:space="preserve"> është publikuar nga MAPL pas afatit për diskutim të raportit të performancës komunale nga Kuvendi Komunal</w:t>
      </w:r>
    </w:p>
  </w:footnote>
  <w:footnote w:id="8">
    <w:p w14:paraId="40648F85" w14:textId="288C0C10" w:rsidR="007357ED" w:rsidRPr="00CD55EA" w:rsidRDefault="007357ED">
      <w:pPr>
        <w:pStyle w:val="FootnoteText"/>
        <w:rPr>
          <w:rFonts w:asciiTheme="majorHAnsi" w:hAnsiTheme="majorHAnsi"/>
          <w:sz w:val="16"/>
          <w:szCs w:val="18"/>
        </w:rPr>
      </w:pPr>
      <w:r w:rsidRPr="00CD55EA">
        <w:rPr>
          <w:rStyle w:val="FootnoteReference"/>
          <w:sz w:val="18"/>
          <w:szCs w:val="20"/>
        </w:rPr>
        <w:footnoteRef/>
      </w:r>
      <w:r w:rsidRPr="00CD55EA">
        <w:rPr>
          <w:sz w:val="18"/>
          <w:szCs w:val="20"/>
        </w:rPr>
        <w:t xml:space="preserve"> </w:t>
      </w:r>
      <w:r w:rsidRPr="00CD55EA">
        <w:rPr>
          <w:rFonts w:asciiTheme="majorHAnsi" w:hAnsiTheme="majorHAnsi"/>
          <w:sz w:val="16"/>
          <w:szCs w:val="18"/>
        </w:rPr>
        <w:t>Ky tregues është i ngrirë për shkak të ndryshimit të ligjit për zyrtarët publik dhe mungesës së legjislacionit sekondar lidhur me procedurat e rekrutimit në shërbimin civil.</w:t>
      </w:r>
    </w:p>
  </w:footnote>
  <w:footnote w:id="9">
    <w:p w14:paraId="55767088" w14:textId="3B935F01" w:rsidR="007357ED" w:rsidRPr="00852D64" w:rsidRDefault="007357ED">
      <w:pPr>
        <w:pStyle w:val="FootnoteText"/>
        <w:rPr>
          <w:rFonts w:asciiTheme="majorHAnsi" w:hAnsiTheme="majorHAnsi"/>
          <w:sz w:val="18"/>
          <w:szCs w:val="18"/>
        </w:rPr>
      </w:pPr>
      <w:r w:rsidRPr="00CD55EA">
        <w:rPr>
          <w:rStyle w:val="FootnoteReference"/>
          <w:sz w:val="18"/>
          <w:szCs w:val="20"/>
        </w:rPr>
        <w:footnoteRef/>
      </w:r>
      <w:r w:rsidRPr="00CD55EA">
        <w:rPr>
          <w:sz w:val="18"/>
          <w:szCs w:val="20"/>
        </w:rPr>
        <w:t xml:space="preserve"> </w:t>
      </w:r>
      <w:r w:rsidRPr="00CD55EA">
        <w:rPr>
          <w:rFonts w:asciiTheme="majorHAnsi" w:hAnsiTheme="majorHAnsi"/>
          <w:sz w:val="16"/>
          <w:szCs w:val="18"/>
        </w:rPr>
        <w:t>Ky tregues është i ngrirë në këtë cikël të vlerësimit për shkak të mungesës së të dhënave në SMPK.</w:t>
      </w:r>
    </w:p>
  </w:footnote>
  <w:footnote w:id="10">
    <w:p w14:paraId="4AD79B70" w14:textId="1D68FED8" w:rsidR="007357ED" w:rsidRPr="00CD55EA" w:rsidRDefault="007357ED">
      <w:pPr>
        <w:pStyle w:val="FootnoteText"/>
        <w:rPr>
          <w:sz w:val="16"/>
          <w:szCs w:val="16"/>
          <w:lang w:val="en-US"/>
        </w:rPr>
      </w:pPr>
      <w:r w:rsidRPr="00CD55EA">
        <w:rPr>
          <w:rStyle w:val="FootnoteReference"/>
          <w:sz w:val="16"/>
          <w:szCs w:val="16"/>
        </w:rPr>
        <w:footnoteRef/>
      </w:r>
      <w:r w:rsidRPr="00CD55EA">
        <w:rPr>
          <w:sz w:val="16"/>
          <w:szCs w:val="16"/>
        </w:rPr>
        <w:t xml:space="preserve"> </w:t>
      </w:r>
      <w:proofErr w:type="spellStart"/>
      <w:r w:rsidRPr="00CD55EA">
        <w:rPr>
          <w:sz w:val="16"/>
          <w:szCs w:val="16"/>
          <w:lang w:val="en-US"/>
        </w:rPr>
        <w:t>Pjesa</w:t>
      </w:r>
      <w:proofErr w:type="spellEnd"/>
      <w:r w:rsidRPr="00CD55EA">
        <w:rPr>
          <w:sz w:val="16"/>
          <w:szCs w:val="16"/>
          <w:lang w:val="en-US"/>
        </w:rPr>
        <w:t xml:space="preserve"> e </w:t>
      </w:r>
      <w:proofErr w:type="spellStart"/>
      <w:r w:rsidRPr="00CD55EA">
        <w:rPr>
          <w:sz w:val="16"/>
          <w:szCs w:val="16"/>
          <w:lang w:val="en-US"/>
        </w:rPr>
        <w:t>fondeve</w:t>
      </w:r>
      <w:proofErr w:type="spellEnd"/>
      <w:r w:rsidRPr="00CD55EA">
        <w:rPr>
          <w:sz w:val="16"/>
          <w:szCs w:val="16"/>
          <w:lang w:val="en-US"/>
        </w:rPr>
        <w:t xml:space="preserve"> </w:t>
      </w:r>
      <w:proofErr w:type="spellStart"/>
      <w:r w:rsidRPr="00CD55EA">
        <w:rPr>
          <w:sz w:val="16"/>
          <w:szCs w:val="16"/>
          <w:lang w:val="en-US"/>
        </w:rPr>
        <w:t>të</w:t>
      </w:r>
      <w:proofErr w:type="spellEnd"/>
      <w:r w:rsidRPr="00CD55EA">
        <w:rPr>
          <w:sz w:val="16"/>
          <w:szCs w:val="16"/>
          <w:lang w:val="en-US"/>
        </w:rPr>
        <w:t xml:space="preserve"> GPK e </w:t>
      </w:r>
      <w:proofErr w:type="spellStart"/>
      <w:r w:rsidRPr="00CD55EA">
        <w:rPr>
          <w:sz w:val="16"/>
          <w:szCs w:val="16"/>
          <w:lang w:val="en-US"/>
        </w:rPr>
        <w:t>financuar</w:t>
      </w:r>
      <w:proofErr w:type="spellEnd"/>
      <w:r w:rsidRPr="00CD55EA">
        <w:rPr>
          <w:sz w:val="16"/>
          <w:szCs w:val="16"/>
          <w:lang w:val="en-US"/>
        </w:rPr>
        <w:t xml:space="preserve"> </w:t>
      </w:r>
      <w:proofErr w:type="spellStart"/>
      <w:r w:rsidRPr="00CD55EA">
        <w:rPr>
          <w:sz w:val="16"/>
          <w:szCs w:val="16"/>
          <w:lang w:val="en-US"/>
        </w:rPr>
        <w:t>nga</w:t>
      </w:r>
      <w:proofErr w:type="spellEnd"/>
      <w:r w:rsidRPr="00CD55EA">
        <w:rPr>
          <w:sz w:val="16"/>
          <w:szCs w:val="16"/>
          <w:lang w:val="en-US"/>
        </w:rPr>
        <w:t xml:space="preserve"> </w:t>
      </w:r>
      <w:proofErr w:type="spellStart"/>
      <w:r w:rsidRPr="00CD55EA">
        <w:rPr>
          <w:sz w:val="16"/>
          <w:szCs w:val="16"/>
          <w:lang w:val="en-US"/>
        </w:rPr>
        <w:t>donatorët</w:t>
      </w:r>
      <w:proofErr w:type="spellEnd"/>
      <w:r w:rsidRPr="00CD55EA">
        <w:rPr>
          <w:sz w:val="16"/>
          <w:szCs w:val="16"/>
          <w:lang w:val="en-US"/>
        </w:rPr>
        <w:t xml:space="preserve"> </w:t>
      </w:r>
      <w:proofErr w:type="spellStart"/>
      <w:r w:rsidRPr="00CD55EA">
        <w:rPr>
          <w:sz w:val="16"/>
          <w:szCs w:val="16"/>
          <w:lang w:val="en-US"/>
        </w:rPr>
        <w:t>mund</w:t>
      </w:r>
      <w:proofErr w:type="spellEnd"/>
      <w:r w:rsidRPr="00CD55EA">
        <w:rPr>
          <w:sz w:val="16"/>
          <w:szCs w:val="16"/>
          <w:lang w:val="en-US"/>
        </w:rPr>
        <w:t xml:space="preserve"> </w:t>
      </w:r>
      <w:proofErr w:type="spellStart"/>
      <w:r w:rsidRPr="00CD55EA">
        <w:rPr>
          <w:sz w:val="16"/>
          <w:szCs w:val="16"/>
          <w:lang w:val="en-US"/>
        </w:rPr>
        <w:t>të</w:t>
      </w:r>
      <w:proofErr w:type="spellEnd"/>
      <w:r w:rsidRPr="00CD55EA">
        <w:rPr>
          <w:sz w:val="16"/>
          <w:szCs w:val="16"/>
          <w:lang w:val="en-US"/>
        </w:rPr>
        <w:t xml:space="preserve"> </w:t>
      </w:r>
      <w:proofErr w:type="spellStart"/>
      <w:r w:rsidRPr="00CD55EA">
        <w:rPr>
          <w:sz w:val="16"/>
          <w:szCs w:val="16"/>
          <w:lang w:val="en-US"/>
        </w:rPr>
        <w:t>shfrytëzohet</w:t>
      </w:r>
      <w:proofErr w:type="spellEnd"/>
      <w:r w:rsidRPr="00CD55EA">
        <w:rPr>
          <w:sz w:val="16"/>
          <w:szCs w:val="16"/>
          <w:lang w:val="en-US"/>
        </w:rPr>
        <w:t xml:space="preserve"> </w:t>
      </w:r>
      <w:proofErr w:type="spellStart"/>
      <w:r w:rsidRPr="00CD55EA">
        <w:rPr>
          <w:sz w:val="16"/>
          <w:szCs w:val="16"/>
          <w:lang w:val="en-US"/>
        </w:rPr>
        <w:t>gjatë</w:t>
      </w:r>
      <w:proofErr w:type="spellEnd"/>
      <w:r w:rsidRPr="00CD55EA">
        <w:rPr>
          <w:sz w:val="16"/>
          <w:szCs w:val="16"/>
          <w:lang w:val="en-US"/>
        </w:rPr>
        <w:t xml:space="preserve"> </w:t>
      </w:r>
      <w:proofErr w:type="spellStart"/>
      <w:r w:rsidRPr="00CD55EA">
        <w:rPr>
          <w:sz w:val="16"/>
          <w:szCs w:val="16"/>
          <w:lang w:val="en-US"/>
        </w:rPr>
        <w:t>vitit</w:t>
      </w:r>
      <w:proofErr w:type="spellEnd"/>
      <w:r w:rsidRPr="00CD55EA">
        <w:rPr>
          <w:sz w:val="16"/>
          <w:szCs w:val="16"/>
          <w:lang w:val="en-US"/>
        </w:rPr>
        <w:t xml:space="preserve"> 2023 </w:t>
      </w:r>
      <w:proofErr w:type="spellStart"/>
      <w:r w:rsidRPr="00CD55EA">
        <w:rPr>
          <w:sz w:val="16"/>
          <w:szCs w:val="16"/>
          <w:lang w:val="en-US"/>
        </w:rPr>
        <w:t>dhe</w:t>
      </w:r>
      <w:proofErr w:type="spellEnd"/>
      <w:r w:rsidRPr="00CD55EA">
        <w:rPr>
          <w:sz w:val="16"/>
          <w:szCs w:val="16"/>
          <w:lang w:val="en-US"/>
        </w:rPr>
        <w:t xml:space="preserve"> 2024.</w:t>
      </w:r>
    </w:p>
  </w:footnote>
  <w:footnote w:id="11">
    <w:p w14:paraId="2A2D88A2" w14:textId="77777777" w:rsidR="007357ED" w:rsidRPr="00621240" w:rsidRDefault="007357ED" w:rsidP="004824FF">
      <w:pPr>
        <w:pStyle w:val="FootnoteText"/>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ZKA ofron lloje të ndryshme të opinioneve:</w:t>
      </w:r>
    </w:p>
    <w:p w14:paraId="2FDF7CF6" w14:textId="77777777" w:rsidR="007357ED" w:rsidRPr="00621240" w:rsidRDefault="007357ED"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 xml:space="preserve">Opinion i pamodifikuar: </w:t>
      </w:r>
    </w:p>
    <w:p w14:paraId="2BC9B635" w14:textId="77777777" w:rsidR="007357ED" w:rsidRPr="00621240" w:rsidRDefault="007357ED" w:rsidP="00792B62">
      <w:pPr>
        <w:pStyle w:val="FootnoteText"/>
        <w:widowControl w:val="0"/>
        <w:numPr>
          <w:ilvl w:val="0"/>
          <w:numId w:val="10"/>
        </w:numPr>
        <w:ind w:left="180" w:hanging="180"/>
        <w:jc w:val="both"/>
        <w:rPr>
          <w:rFonts w:asciiTheme="majorHAnsi" w:hAnsiTheme="majorHAnsi"/>
          <w:sz w:val="18"/>
          <w:szCs w:val="18"/>
        </w:rPr>
      </w:pPr>
      <w:r w:rsidRPr="00621240">
        <w:rPr>
          <w:rFonts w:asciiTheme="majorHAnsi" w:hAnsiTheme="majorHAnsi"/>
          <w:sz w:val="18"/>
          <w:szCs w:val="18"/>
        </w:rPr>
        <w:t>Nëse konstatohet se janë përgatitur pasqyrat financiare, në të gjitha aspektet materiale, në përputhje me kornizën financiare në fuqi</w:t>
      </w:r>
    </w:p>
    <w:p w14:paraId="745FE05C" w14:textId="77777777" w:rsidR="007357ED" w:rsidRPr="00621240" w:rsidRDefault="007357ED"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 xml:space="preserve">Opinion i kualifikuar: </w:t>
      </w:r>
    </w:p>
    <w:p w14:paraId="1D2F2E76" w14:textId="77777777" w:rsidR="007357ED" w:rsidRPr="00621240" w:rsidRDefault="007357ED" w:rsidP="00792B62">
      <w:pPr>
        <w:pStyle w:val="FootnoteText"/>
        <w:widowControl w:val="0"/>
        <w:numPr>
          <w:ilvl w:val="0"/>
          <w:numId w:val="10"/>
        </w:numPr>
        <w:ind w:left="180" w:hanging="180"/>
        <w:jc w:val="both"/>
        <w:rPr>
          <w:rFonts w:asciiTheme="majorHAnsi" w:hAnsiTheme="majorHAnsi"/>
          <w:sz w:val="18"/>
          <w:szCs w:val="18"/>
        </w:rPr>
      </w:pPr>
      <w:r w:rsidRPr="00621240">
        <w:rPr>
          <w:rFonts w:asciiTheme="majorHAnsi" w:hAnsiTheme="majorHAnsi"/>
          <w:sz w:val="18"/>
          <w:szCs w:val="18"/>
        </w:rPr>
        <w:t xml:space="preserve">Nëse posedon dëshmi të mjaftueshme të auditimit të duhur, auditori konstaton se gabimet, individualisht ose në tërësi, janë materiale, por jo të përhapura, në pasqyrat financiare; ose </w:t>
      </w:r>
    </w:p>
    <w:p w14:paraId="3616187E" w14:textId="77777777" w:rsidR="007357ED" w:rsidRPr="00621240" w:rsidRDefault="007357ED" w:rsidP="00792B62">
      <w:pPr>
        <w:pStyle w:val="FootnoteText"/>
        <w:widowControl w:val="0"/>
        <w:numPr>
          <w:ilvl w:val="0"/>
          <w:numId w:val="10"/>
        </w:numPr>
        <w:ind w:left="180" w:hanging="180"/>
        <w:jc w:val="both"/>
        <w:rPr>
          <w:rFonts w:asciiTheme="majorHAnsi" w:hAnsiTheme="majorHAnsi"/>
          <w:sz w:val="18"/>
          <w:szCs w:val="18"/>
        </w:rPr>
      </w:pPr>
      <w:r w:rsidRPr="00621240">
        <w:rPr>
          <w:rFonts w:asciiTheme="majorHAnsi" w:hAnsiTheme="majorHAnsi"/>
          <w:sz w:val="18"/>
          <w:szCs w:val="18"/>
        </w:rPr>
        <w:t>Nëse auditori nuk ishte në gjendje të siguronte dëshmi të mjaftueshme të auditimit të duhur mbi të cilën do të bazonte një opinion, por konkludon se efektet në pasqyrat financiare të çdo gabimi të pazbuluar mund të jenë materiale por jo të përhapura</w:t>
      </w:r>
    </w:p>
    <w:p w14:paraId="08B67963" w14:textId="77777777" w:rsidR="007357ED" w:rsidRPr="00621240" w:rsidRDefault="007357ED"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Opinion i kundërt:</w:t>
      </w:r>
    </w:p>
    <w:p w14:paraId="5B5B75BF" w14:textId="77777777" w:rsidR="007357ED" w:rsidRPr="00621240" w:rsidRDefault="007357ED" w:rsidP="00792B62">
      <w:pPr>
        <w:pStyle w:val="FootnoteText"/>
        <w:widowControl w:val="0"/>
        <w:numPr>
          <w:ilvl w:val="0"/>
          <w:numId w:val="11"/>
        </w:numPr>
        <w:ind w:left="180" w:hanging="180"/>
        <w:jc w:val="both"/>
        <w:rPr>
          <w:rFonts w:asciiTheme="majorHAnsi" w:hAnsiTheme="majorHAnsi"/>
          <w:sz w:val="18"/>
          <w:szCs w:val="18"/>
        </w:rPr>
      </w:pPr>
      <w:r w:rsidRPr="00621240">
        <w:rPr>
          <w:rFonts w:asciiTheme="majorHAnsi" w:hAnsiTheme="majorHAnsi"/>
          <w:sz w:val="18"/>
          <w:szCs w:val="18"/>
        </w:rPr>
        <w:t>Nëse posedon dëshmi të mjaftueshme të auditimit të duhur, auditori konstaton se gabimet, individualisht ose në tërësi, janë si materiale ashtu edhe të përhapura në pasqyrat financiare</w:t>
      </w:r>
    </w:p>
    <w:p w14:paraId="5EC115B9" w14:textId="77777777" w:rsidR="007357ED" w:rsidRPr="00621240" w:rsidRDefault="007357ED"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Refuzon dhënien e Opinionit :</w:t>
      </w:r>
    </w:p>
    <w:p w14:paraId="306B4548" w14:textId="77777777" w:rsidR="007357ED" w:rsidRPr="00621240" w:rsidRDefault="007357ED" w:rsidP="00792B62">
      <w:pPr>
        <w:pStyle w:val="FootnoteText"/>
        <w:widowControl w:val="0"/>
        <w:numPr>
          <w:ilvl w:val="0"/>
          <w:numId w:val="11"/>
        </w:numPr>
        <w:ind w:left="180" w:hanging="180"/>
        <w:jc w:val="both"/>
        <w:rPr>
          <w:rFonts w:asciiTheme="majorHAnsi" w:hAnsiTheme="majorHAnsi"/>
          <w:sz w:val="18"/>
          <w:szCs w:val="18"/>
        </w:rPr>
      </w:pPr>
      <w:r w:rsidRPr="00621240">
        <w:rPr>
          <w:rFonts w:asciiTheme="majorHAnsi" w:hAnsiTheme="majorHAnsi"/>
          <w:sz w:val="18"/>
          <w:szCs w:val="18"/>
        </w:rPr>
        <w:t>Nëse nuk ka qenë në gjendje të posedoj dëshmi të mjaftueshme të auditimit të duhur mbi të cilën do ta bazonte opinionin, auditori konstaton se efektet në pasqyrat financiare të çdo gabimi të pa zbuluar mund të jenë edhe materiale edhe të përhapura. Nëse pas pranimit të angazhimit, auditori bëhet i vetëdijshëm se menaxhmenti ka vendosur një kufizim në fushëveprimin e auditimit të cilën auditori e konsideron se mund të rezultojë në nevojën për të shprehur një opinion të kualifikuar ose refuzon dhënien e një opinionin mbi pasqyrat financiare, auditori duhet të kërkojë që menaxhmenti ta heq kufizimin.</w:t>
      </w:r>
    </w:p>
    <w:p w14:paraId="1E4DA44A" w14:textId="77777777" w:rsidR="007357ED" w:rsidRPr="00621240" w:rsidRDefault="007357ED"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Theksim i çështjes:</w:t>
      </w:r>
    </w:p>
    <w:p w14:paraId="23A46926" w14:textId="77777777" w:rsidR="007357ED" w:rsidRPr="00621240" w:rsidRDefault="007357ED" w:rsidP="00792B62">
      <w:pPr>
        <w:pStyle w:val="FootnoteText"/>
        <w:widowControl w:val="0"/>
        <w:numPr>
          <w:ilvl w:val="0"/>
          <w:numId w:val="11"/>
        </w:numPr>
        <w:ind w:left="180" w:hanging="180"/>
        <w:jc w:val="both"/>
        <w:rPr>
          <w:rFonts w:asciiTheme="majorHAnsi" w:hAnsiTheme="majorHAnsi"/>
          <w:sz w:val="18"/>
          <w:szCs w:val="18"/>
        </w:rPr>
      </w:pPr>
      <w:r w:rsidRPr="00621240">
        <w:rPr>
          <w:rFonts w:asciiTheme="majorHAnsi" w:hAnsiTheme="majorHAnsi"/>
          <w:sz w:val="18"/>
          <w:szCs w:val="18"/>
        </w:rPr>
        <w:t>Nëse auditori e konsideron të nevojshme të tërheqë vëmendjen e përdoruesit në një çështje të paraqitur ose të shpalosur në pasqyrat financiare që është e një rëndësie të tillë që është thelbësore për ata të kuptojnë pasqyrat financiare, por ekziston dëshmi e mjaftueshme adekuate se çështja nuk është materialisht e gabuar në pasqyrat financiare, auditori duhet të përfshijë paragrafin e theksimit të çështjes në raportin e auditorit. Paragrafi me Theksimin e Çështjes duhet t'i referohet vetëm informacionit të paraqitur ose të shpalosur në pasqyrat financiare.</w:t>
      </w:r>
    </w:p>
  </w:footnote>
  <w:footnote w:id="12">
    <w:p w14:paraId="65CC1F5D" w14:textId="35B4DEF0" w:rsidR="007357ED" w:rsidRPr="00501FA8" w:rsidRDefault="007357ED" w:rsidP="000079E8">
      <w:pPr>
        <w:spacing w:before="60"/>
        <w:ind w:left="567" w:hanging="567"/>
        <w:jc w:val="both"/>
        <w:rPr>
          <w:rFonts w:asciiTheme="majorHAnsi" w:hAnsiTheme="majorHAnsi"/>
          <w:sz w:val="18"/>
          <w:szCs w:val="18"/>
        </w:rPr>
      </w:pPr>
      <w:r w:rsidRPr="006F6ABC">
        <w:rPr>
          <w:rStyle w:val="FootnoteReference"/>
          <w:rFonts w:asciiTheme="majorHAnsi" w:hAnsiTheme="majorHAnsi"/>
          <w:sz w:val="18"/>
          <w:szCs w:val="18"/>
        </w:rPr>
        <w:footnoteRef/>
      </w:r>
      <w:r w:rsidRPr="006F6ABC">
        <w:rPr>
          <w:rFonts w:asciiTheme="majorHAnsi" w:hAnsiTheme="majorHAnsi"/>
          <w:sz w:val="18"/>
          <w:szCs w:val="18"/>
        </w:rPr>
        <w:t xml:space="preserve"> </w:t>
      </w:r>
      <w:r w:rsidRPr="006F6ABC">
        <w:rPr>
          <w:rFonts w:asciiTheme="majorHAnsi" w:hAnsiTheme="majorHAnsi"/>
          <w:sz w:val="18"/>
          <w:szCs w:val="18"/>
        </w:rPr>
        <w:tab/>
      </w:r>
      <w:r w:rsidRPr="004A2B83">
        <w:rPr>
          <w:rFonts w:asciiTheme="majorHAnsi" w:hAnsiTheme="majorHAnsi"/>
          <w:sz w:val="18"/>
          <w:szCs w:val="18"/>
        </w:rPr>
        <w:t xml:space="preserve">Siç mund të shihet, duke pasur parasysh supozimet, </w:t>
      </w:r>
      <w:r w:rsidRPr="004A2B83">
        <w:rPr>
          <w:rFonts w:asciiTheme="majorHAnsi" w:hAnsiTheme="majorHAnsi"/>
          <w:color w:val="000000" w:themeColor="text1"/>
          <w:sz w:val="18"/>
          <w:szCs w:val="18"/>
        </w:rPr>
        <w:t xml:space="preserve">llogaritjet tregojnë një rritje të njëjtë relative të grantit të përgjithshëm për të gjitha komunat pasi të gjithë kanë të njëjtin rezultat. </w:t>
      </w:r>
      <w:r w:rsidRPr="004A2B83">
        <w:rPr>
          <w:rFonts w:asciiTheme="majorHAnsi" w:hAnsiTheme="majorHAnsi"/>
          <w:color w:val="000000" w:themeColor="text1"/>
          <w:sz w:val="18"/>
          <w:szCs w:val="18"/>
        </w:rPr>
        <w:t>3.</w:t>
      </w:r>
      <w:r>
        <w:rPr>
          <w:rFonts w:asciiTheme="majorHAnsi" w:hAnsiTheme="majorHAnsi"/>
          <w:color w:val="000000" w:themeColor="text1"/>
          <w:sz w:val="18"/>
          <w:szCs w:val="18"/>
        </w:rPr>
        <w:t>10</w:t>
      </w:r>
      <w:r w:rsidRPr="004A2B83">
        <w:rPr>
          <w:rFonts w:asciiTheme="majorHAnsi" w:hAnsiTheme="majorHAnsi"/>
          <w:color w:val="000000" w:themeColor="text1"/>
          <w:sz w:val="18"/>
          <w:szCs w:val="18"/>
        </w:rPr>
        <w:t xml:space="preserve">% është pikërisht shuma e grantit të performancës si pjesë e </w:t>
      </w:r>
      <w:r w:rsidRPr="004A2B83">
        <w:rPr>
          <w:rFonts w:asciiTheme="majorHAnsi" w:hAnsiTheme="majorHAnsi"/>
          <w:color w:val="000000" w:themeColor="text1"/>
          <w:sz w:val="18"/>
          <w:szCs w:val="18"/>
        </w:rPr>
        <w:t>grantit të përgjithshëm (7,</w:t>
      </w:r>
      <w:r w:rsidR="00416ED3">
        <w:rPr>
          <w:rFonts w:asciiTheme="majorHAnsi" w:hAnsiTheme="majorHAnsi"/>
          <w:color w:val="000000" w:themeColor="text1"/>
          <w:sz w:val="18"/>
          <w:szCs w:val="18"/>
        </w:rPr>
        <w:t>771</w:t>
      </w:r>
      <w:r w:rsidRPr="004A2B83">
        <w:rPr>
          <w:rFonts w:asciiTheme="majorHAnsi" w:hAnsiTheme="majorHAnsi"/>
          <w:color w:val="000000" w:themeColor="text1"/>
          <w:sz w:val="18"/>
          <w:szCs w:val="18"/>
        </w:rPr>
        <w:t>,500/</w:t>
      </w:r>
      <w:r>
        <w:rPr>
          <w:rFonts w:asciiTheme="majorHAnsi" w:hAnsiTheme="majorHAnsi"/>
          <w:color w:val="000000" w:themeColor="text1"/>
          <w:sz w:val="18"/>
          <w:szCs w:val="18"/>
        </w:rPr>
        <w:t>255,210,000</w:t>
      </w:r>
      <w:r w:rsidRPr="004A2B83">
        <w:rPr>
          <w:rFonts w:asciiTheme="majorHAnsi" w:hAnsiTheme="majorHAnsi"/>
          <w:color w:val="000000" w:themeColor="text1"/>
          <w:sz w:val="18"/>
          <w:szCs w:val="18"/>
        </w:rPr>
        <w:t xml:space="preserve">). Në fakt, për shkak se disa komuna nuk do t'i përmbushin KM-të, ndërkohë që edhe rezultatet </w:t>
      </w:r>
      <w:r w:rsidRPr="004A2B83">
        <w:rPr>
          <w:rFonts w:asciiTheme="majorHAnsi" w:hAnsiTheme="majorHAnsi"/>
          <w:sz w:val="18"/>
          <w:szCs w:val="18"/>
        </w:rPr>
        <w:t>(pikat) ndryshojnë, rritja relative do të jetë (shumë) më e lartë në varësi të performancës relative. Në fakt, ndarja/alokimi faktik që një komunë merr, varet nga rezultati i saj relativ dhe nga komunat që kanë (ose sidomos ato që nuk i kanë plotësuar) kushtet minimale.</w:t>
      </w:r>
      <w:r w:rsidRPr="00BC44C7">
        <w:rPr>
          <w:rFonts w:asciiTheme="majorHAnsi" w:hAnsi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417B" w14:textId="77777777" w:rsidR="007357ED" w:rsidRDefault="007357ED" w:rsidP="00742297">
    <w:pPr>
      <w:jc w:val="center"/>
    </w:pPr>
    <w:r>
      <w:rPr>
        <w:rFonts w:asciiTheme="majorHAnsi" w:hAnsiTheme="majorHAnsi"/>
        <w:b/>
        <w:noProof/>
        <w:sz w:val="16"/>
        <w:szCs w:val="16"/>
        <w:lang w:val="en-US"/>
      </w:rPr>
      <w:ptab w:relativeTo="indent" w:alignment="center" w:leader="none"/>
    </w:r>
    <w:r w:rsidRPr="00737C94">
      <w:rPr>
        <w:rFonts w:asciiTheme="majorHAnsi" w:hAnsiTheme="majorHAnsi"/>
        <w:b/>
        <w:noProof/>
        <w:sz w:val="16"/>
        <w:szCs w:val="16"/>
        <w:lang w:val="de-CH"/>
      </w:rPr>
      <w:t xml:space="preserve">      </w:t>
    </w:r>
  </w:p>
  <w:p w14:paraId="57F0D20A" w14:textId="77777777" w:rsidR="007357ED" w:rsidRDefault="007357ED" w:rsidP="00742297">
    <w:pPr>
      <w:jc w:val="center"/>
    </w:pPr>
  </w:p>
  <w:p w14:paraId="4CB6B8FA" w14:textId="77777777" w:rsidR="007357ED" w:rsidRDefault="007357ED" w:rsidP="00742297">
    <w:pPr>
      <w:jc w:val="center"/>
    </w:pPr>
    <w:r>
      <w:t xml:space="preserve">                         </w:t>
    </w:r>
  </w:p>
  <w:p w14:paraId="18E32584" w14:textId="77777777" w:rsidR="007357ED" w:rsidRDefault="007357ED" w:rsidP="00742297">
    <w:pPr>
      <w:jc w:val="center"/>
    </w:pPr>
    <w:r w:rsidRPr="00AF27F0">
      <w:rPr>
        <w:rFonts w:asciiTheme="majorHAnsi" w:hAnsiTheme="majorHAnsi"/>
        <w:b/>
        <w:noProof/>
        <w:sz w:val="16"/>
        <w:szCs w:val="16"/>
        <w:lang w:val="en-US"/>
      </w:rPr>
      <w:drawing>
        <wp:anchor distT="0" distB="0" distL="114300" distR="114300" simplePos="0" relativeHeight="251664384" behindDoc="0" locked="0" layoutInCell="1" allowOverlap="1" wp14:anchorId="226AEA26" wp14:editId="7AA56E82">
          <wp:simplePos x="0" y="0"/>
          <wp:positionH relativeFrom="page">
            <wp:posOffset>3411855</wp:posOffset>
          </wp:positionH>
          <wp:positionV relativeFrom="paragraph">
            <wp:posOffset>6350</wp:posOffset>
          </wp:positionV>
          <wp:extent cx="895350" cy="859790"/>
          <wp:effectExtent l="0" t="0" r="0" b="0"/>
          <wp:wrapSquare wrapText="bothSides"/>
          <wp:docPr id="24" name="Picture 24"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979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 xml:space="preserve">                                                           </w:t>
    </w:r>
  </w:p>
  <w:p w14:paraId="5D22F27F" w14:textId="77777777" w:rsidR="007357ED" w:rsidRDefault="007357ED" w:rsidP="00742297">
    <w:pPr>
      <w:jc w:val="center"/>
    </w:pPr>
  </w:p>
  <w:p w14:paraId="20BDDF29" w14:textId="77777777" w:rsidR="007357ED" w:rsidRPr="008F1687" w:rsidRDefault="007357ED" w:rsidP="00742297">
    <w:pPr>
      <w:jc w:val="center"/>
      <w:rPr>
        <w:sz w:val="22"/>
        <w:szCs w:val="22"/>
      </w:rPr>
    </w:pPr>
  </w:p>
  <w:p w14:paraId="2F26E663" w14:textId="77777777" w:rsidR="007357ED" w:rsidRDefault="007357ED" w:rsidP="004D4457">
    <w:pPr>
      <w:jc w:val="center"/>
      <w:rPr>
        <w:b/>
        <w:bCs/>
        <w:sz w:val="32"/>
        <w:szCs w:val="32"/>
      </w:rPr>
    </w:pPr>
  </w:p>
  <w:p w14:paraId="02612A2D" w14:textId="77777777" w:rsidR="007357ED" w:rsidRDefault="007357ED" w:rsidP="004D4457">
    <w:pPr>
      <w:jc w:val="center"/>
      <w:rPr>
        <w:b/>
        <w:bCs/>
        <w:sz w:val="32"/>
        <w:szCs w:val="32"/>
      </w:rPr>
    </w:pPr>
  </w:p>
  <w:p w14:paraId="649BBB64" w14:textId="77777777" w:rsidR="007357ED" w:rsidRPr="00A6322C" w:rsidRDefault="007357ED" w:rsidP="004D4457">
    <w:pPr>
      <w:jc w:val="center"/>
      <w:rPr>
        <w:b/>
        <w:bCs/>
        <w:sz w:val="32"/>
        <w:szCs w:val="32"/>
      </w:rPr>
    </w:pPr>
    <w:r w:rsidRPr="00A6322C">
      <w:rPr>
        <w:b/>
        <w:bCs/>
        <w:sz w:val="32"/>
        <w:szCs w:val="32"/>
      </w:rPr>
      <w:t>Republika e Kosovës</w:t>
    </w:r>
  </w:p>
  <w:p w14:paraId="4570CA44" w14:textId="77777777" w:rsidR="007357ED" w:rsidRPr="00A6322C" w:rsidRDefault="007357ED" w:rsidP="004D4457">
    <w:pPr>
      <w:jc w:val="center"/>
      <w:rPr>
        <w:b/>
        <w:bCs/>
        <w:sz w:val="28"/>
        <w:szCs w:val="28"/>
      </w:rPr>
    </w:pPr>
    <w:r w:rsidRPr="00A6322C">
      <w:rPr>
        <w:b/>
        <w:bCs/>
        <w:sz w:val="28"/>
        <w:szCs w:val="28"/>
      </w:rPr>
      <w:t>Republika Kosova - Republic of Kosovo</w:t>
    </w:r>
  </w:p>
  <w:p w14:paraId="130C6281" w14:textId="77777777" w:rsidR="007357ED" w:rsidRPr="00A6322C" w:rsidRDefault="007357ED" w:rsidP="004D4457">
    <w:pPr>
      <w:jc w:val="center"/>
      <w:rPr>
        <w:b/>
        <w:bCs/>
        <w:i/>
      </w:rPr>
    </w:pPr>
    <w:r w:rsidRPr="00A6322C">
      <w:rPr>
        <w:b/>
        <w:bCs/>
        <w:i/>
      </w:rPr>
      <w:t>Qeveria - Vlada - Government</w:t>
    </w:r>
  </w:p>
  <w:p w14:paraId="5D2BB37F" w14:textId="77777777" w:rsidR="007357ED" w:rsidRPr="008F1687" w:rsidRDefault="007357ED" w:rsidP="004D4457">
    <w:pPr>
      <w:tabs>
        <w:tab w:val="left" w:pos="4995"/>
      </w:tabs>
      <w:rPr>
        <w:sz w:val="22"/>
        <w:szCs w:val="22"/>
      </w:rPr>
    </w:pPr>
    <w:r w:rsidRPr="008F1687">
      <w:rPr>
        <w:sz w:val="22"/>
        <w:szCs w:val="22"/>
      </w:rPr>
      <w:tab/>
    </w:r>
  </w:p>
  <w:p w14:paraId="5C6FBB1C" w14:textId="77777777" w:rsidR="007357ED" w:rsidRPr="00810FA2" w:rsidRDefault="007357ED" w:rsidP="00B01597">
    <w:pPr>
      <w:pStyle w:val="Header"/>
      <w:jc w:val="center"/>
      <w:rPr>
        <w:i/>
        <w:sz w:val="22"/>
        <w:szCs w:val="22"/>
      </w:rPr>
    </w:pPr>
    <w:r w:rsidRPr="00810FA2">
      <w:rPr>
        <w:i/>
        <w:sz w:val="22"/>
        <w:szCs w:val="22"/>
      </w:rPr>
      <w:t>Ministria e Administrimit të Pushtetit Lokal</w:t>
    </w:r>
  </w:p>
  <w:p w14:paraId="456A1709" w14:textId="77777777" w:rsidR="007357ED" w:rsidRPr="00810FA2" w:rsidRDefault="007357ED" w:rsidP="00B01597">
    <w:pPr>
      <w:pStyle w:val="Header"/>
      <w:jc w:val="center"/>
      <w:rPr>
        <w:i/>
        <w:sz w:val="22"/>
        <w:szCs w:val="22"/>
      </w:rPr>
    </w:pPr>
    <w:r w:rsidRPr="00810FA2">
      <w:rPr>
        <w:i/>
        <w:sz w:val="22"/>
        <w:szCs w:val="22"/>
      </w:rPr>
      <w:t>Ministarstvo Administracije Lokalne Samouprave</w:t>
    </w:r>
  </w:p>
  <w:p w14:paraId="4B8B3FF7" w14:textId="196566F2" w:rsidR="007357ED" w:rsidRDefault="007357ED" w:rsidP="00B01597">
    <w:pPr>
      <w:pStyle w:val="Quote"/>
      <w:jc w:val="center"/>
    </w:pPr>
    <w:r w:rsidRPr="00810FA2">
      <w:rPr>
        <w:sz w:val="22"/>
        <w:szCs w:val="22"/>
      </w:rPr>
      <w:t>Ministry of Local Government Administration</w:t>
    </w:r>
  </w:p>
  <w:p w14:paraId="3821D0E8" w14:textId="77777777" w:rsidR="007357ED" w:rsidRDefault="007357ED" w:rsidP="00A73176">
    <w:pPr>
      <w:pStyle w:val="Quote"/>
    </w:pPr>
  </w:p>
  <w:p w14:paraId="04581686" w14:textId="77777777" w:rsidR="007357ED" w:rsidRPr="001922DE" w:rsidRDefault="007357ED" w:rsidP="00A73176">
    <w:pPr>
      <w:pStyle w:val="Quote"/>
      <w:rPr>
        <w:b/>
        <w:sz w:val="28"/>
        <w:szCs w:val="28"/>
      </w:rPr>
    </w:pPr>
  </w:p>
  <w:p w14:paraId="4264B5AC" w14:textId="77777777" w:rsidR="007357ED" w:rsidRDefault="007357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B6A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51A7"/>
    <w:multiLevelType w:val="hybridMultilevel"/>
    <w:tmpl w:val="733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15464"/>
    <w:multiLevelType w:val="hybridMultilevel"/>
    <w:tmpl w:val="961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4888"/>
    <w:multiLevelType w:val="multilevel"/>
    <w:tmpl w:val="981CD17A"/>
    <w:lvl w:ilvl="0">
      <w:start w:val="1"/>
      <w:numFmt w:val="decimal"/>
      <w:lvlText w:val="%1"/>
      <w:lvlJc w:val="left"/>
      <w:pPr>
        <w:ind w:left="380" w:hanging="380"/>
      </w:pPr>
      <w:rPr>
        <w:rFonts w:hint="default"/>
      </w:rPr>
    </w:lvl>
    <w:lvl w:ilvl="1">
      <w:start w:val="1"/>
      <w:numFmt w:val="decimal"/>
      <w:lvlText w:val="%1.%2"/>
      <w:lvlJc w:val="left"/>
      <w:pPr>
        <w:ind w:left="2847" w:hanging="720"/>
      </w:pPr>
      <w:rPr>
        <w:rFonts w:hint="default"/>
        <w:color w:val="C0504D" w:themeColor="accent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58146D4"/>
    <w:multiLevelType w:val="hybridMultilevel"/>
    <w:tmpl w:val="E440F47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4DB5"/>
    <w:multiLevelType w:val="multilevel"/>
    <w:tmpl w:val="F684E8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pStyle w:val="Prodoctex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B1024E"/>
    <w:multiLevelType w:val="hybridMultilevel"/>
    <w:tmpl w:val="43A8052C"/>
    <w:lvl w:ilvl="0" w:tplc="08090005">
      <w:start w:val="1"/>
      <w:numFmt w:val="bullet"/>
      <w:lvlText w:val=""/>
      <w:lvlJc w:val="left"/>
      <w:pPr>
        <w:tabs>
          <w:tab w:val="num" w:pos="921"/>
        </w:tabs>
        <w:ind w:left="921" w:hanging="360"/>
      </w:pPr>
      <w:rPr>
        <w:rFonts w:ascii="Wingdings" w:hAnsi="Wingdings" w:hint="default"/>
      </w:rPr>
    </w:lvl>
    <w:lvl w:ilvl="1" w:tplc="08090005">
      <w:start w:val="1"/>
      <w:numFmt w:val="bullet"/>
      <w:lvlText w:val=""/>
      <w:lvlJc w:val="left"/>
      <w:pPr>
        <w:tabs>
          <w:tab w:val="num" w:pos="1641"/>
        </w:tabs>
        <w:ind w:left="1641" w:hanging="360"/>
      </w:pPr>
      <w:rPr>
        <w:rFonts w:ascii="Wingdings" w:hAnsi="Wingdings" w:hint="default"/>
      </w:rPr>
    </w:lvl>
    <w:lvl w:ilvl="2" w:tplc="30BE5ECA" w:tentative="1">
      <w:start w:val="1"/>
      <w:numFmt w:val="bullet"/>
      <w:lvlText w:val="o"/>
      <w:lvlJc w:val="left"/>
      <w:pPr>
        <w:tabs>
          <w:tab w:val="num" w:pos="2361"/>
        </w:tabs>
        <w:ind w:left="2361" w:hanging="360"/>
      </w:pPr>
      <w:rPr>
        <w:rFonts w:ascii="Courier New" w:hAnsi="Courier New" w:hint="default"/>
      </w:rPr>
    </w:lvl>
    <w:lvl w:ilvl="3" w:tplc="F4DE7CD2" w:tentative="1">
      <w:start w:val="1"/>
      <w:numFmt w:val="bullet"/>
      <w:lvlText w:val="o"/>
      <w:lvlJc w:val="left"/>
      <w:pPr>
        <w:tabs>
          <w:tab w:val="num" w:pos="3081"/>
        </w:tabs>
        <w:ind w:left="3081" w:hanging="360"/>
      </w:pPr>
      <w:rPr>
        <w:rFonts w:ascii="Courier New" w:hAnsi="Courier New" w:hint="default"/>
      </w:rPr>
    </w:lvl>
    <w:lvl w:ilvl="4" w:tplc="EFFC1EEE" w:tentative="1">
      <w:start w:val="1"/>
      <w:numFmt w:val="bullet"/>
      <w:lvlText w:val="o"/>
      <w:lvlJc w:val="left"/>
      <w:pPr>
        <w:tabs>
          <w:tab w:val="num" w:pos="3801"/>
        </w:tabs>
        <w:ind w:left="3801" w:hanging="360"/>
      </w:pPr>
      <w:rPr>
        <w:rFonts w:ascii="Courier New" w:hAnsi="Courier New" w:hint="default"/>
      </w:rPr>
    </w:lvl>
    <w:lvl w:ilvl="5" w:tplc="0E36AC22" w:tentative="1">
      <w:start w:val="1"/>
      <w:numFmt w:val="bullet"/>
      <w:lvlText w:val="o"/>
      <w:lvlJc w:val="left"/>
      <w:pPr>
        <w:tabs>
          <w:tab w:val="num" w:pos="4521"/>
        </w:tabs>
        <w:ind w:left="4521" w:hanging="360"/>
      </w:pPr>
      <w:rPr>
        <w:rFonts w:ascii="Courier New" w:hAnsi="Courier New" w:hint="default"/>
      </w:rPr>
    </w:lvl>
    <w:lvl w:ilvl="6" w:tplc="0E065620" w:tentative="1">
      <w:start w:val="1"/>
      <w:numFmt w:val="bullet"/>
      <w:lvlText w:val="o"/>
      <w:lvlJc w:val="left"/>
      <w:pPr>
        <w:tabs>
          <w:tab w:val="num" w:pos="5241"/>
        </w:tabs>
        <w:ind w:left="5241" w:hanging="360"/>
      </w:pPr>
      <w:rPr>
        <w:rFonts w:ascii="Courier New" w:hAnsi="Courier New" w:hint="default"/>
      </w:rPr>
    </w:lvl>
    <w:lvl w:ilvl="7" w:tplc="602E18D4" w:tentative="1">
      <w:start w:val="1"/>
      <w:numFmt w:val="bullet"/>
      <w:lvlText w:val="o"/>
      <w:lvlJc w:val="left"/>
      <w:pPr>
        <w:tabs>
          <w:tab w:val="num" w:pos="5961"/>
        </w:tabs>
        <w:ind w:left="5961" w:hanging="360"/>
      </w:pPr>
      <w:rPr>
        <w:rFonts w:ascii="Courier New" w:hAnsi="Courier New" w:hint="default"/>
      </w:rPr>
    </w:lvl>
    <w:lvl w:ilvl="8" w:tplc="E536E546" w:tentative="1">
      <w:start w:val="1"/>
      <w:numFmt w:val="bullet"/>
      <w:lvlText w:val="o"/>
      <w:lvlJc w:val="left"/>
      <w:pPr>
        <w:tabs>
          <w:tab w:val="num" w:pos="6681"/>
        </w:tabs>
        <w:ind w:left="6681" w:hanging="360"/>
      </w:pPr>
      <w:rPr>
        <w:rFonts w:ascii="Courier New" w:hAnsi="Courier New" w:hint="default"/>
      </w:rPr>
    </w:lvl>
  </w:abstractNum>
  <w:abstractNum w:abstractNumId="7" w15:restartNumberingAfterBreak="0">
    <w:nsid w:val="100D7EEB"/>
    <w:multiLevelType w:val="hybridMultilevel"/>
    <w:tmpl w:val="7618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C7891"/>
    <w:multiLevelType w:val="multilevel"/>
    <w:tmpl w:val="5056540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2032C33"/>
    <w:multiLevelType w:val="hybridMultilevel"/>
    <w:tmpl w:val="A36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469F0"/>
    <w:multiLevelType w:val="hybridMultilevel"/>
    <w:tmpl w:val="CAD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A1FD0"/>
    <w:multiLevelType w:val="multilevel"/>
    <w:tmpl w:val="A642C26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903968"/>
    <w:multiLevelType w:val="hybridMultilevel"/>
    <w:tmpl w:val="F0F480E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4F6EB0"/>
    <w:multiLevelType w:val="multilevel"/>
    <w:tmpl w:val="FD9E1CF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color w:val="C0504D"/>
        <w:sz w:val="28"/>
        <w:szCs w:val="28"/>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3F47E3E"/>
    <w:multiLevelType w:val="hybridMultilevel"/>
    <w:tmpl w:val="A44A32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28092CCF"/>
    <w:multiLevelType w:val="hybridMultilevel"/>
    <w:tmpl w:val="96D87908"/>
    <w:lvl w:ilvl="0" w:tplc="A600CC30">
      <w:start w:val="1"/>
      <w:numFmt w:val="bullet"/>
      <w:lvlText w:val=""/>
      <w:lvlJc w:val="left"/>
      <w:pPr>
        <w:tabs>
          <w:tab w:val="num" w:pos="920"/>
        </w:tabs>
        <w:ind w:left="920" w:hanging="360"/>
      </w:pPr>
      <w:rPr>
        <w:rFonts w:ascii="Wingdings" w:hAnsi="Wingdings" w:hint="default"/>
      </w:rPr>
    </w:lvl>
    <w:lvl w:ilvl="1" w:tplc="F2567562">
      <w:start w:val="1"/>
      <w:numFmt w:val="bullet"/>
      <w:lvlText w:val=""/>
      <w:lvlJc w:val="left"/>
      <w:pPr>
        <w:tabs>
          <w:tab w:val="num" w:pos="1640"/>
        </w:tabs>
        <w:ind w:left="1640" w:hanging="360"/>
      </w:pPr>
      <w:rPr>
        <w:rFonts w:ascii="Wingdings" w:hAnsi="Wingdings" w:hint="default"/>
      </w:rPr>
    </w:lvl>
    <w:lvl w:ilvl="2" w:tplc="C534DF58">
      <w:start w:val="1"/>
      <w:numFmt w:val="bullet"/>
      <w:lvlText w:val=""/>
      <w:lvlJc w:val="left"/>
      <w:pPr>
        <w:tabs>
          <w:tab w:val="num" w:pos="2360"/>
        </w:tabs>
        <w:ind w:left="2360" w:hanging="360"/>
      </w:pPr>
      <w:rPr>
        <w:rFonts w:ascii="Wingdings" w:hAnsi="Wingdings" w:hint="default"/>
      </w:rPr>
    </w:lvl>
    <w:lvl w:ilvl="3" w:tplc="C7B03008" w:tentative="1">
      <w:start w:val="1"/>
      <w:numFmt w:val="bullet"/>
      <w:lvlText w:val=""/>
      <w:lvlJc w:val="left"/>
      <w:pPr>
        <w:tabs>
          <w:tab w:val="num" w:pos="3080"/>
        </w:tabs>
        <w:ind w:left="3080" w:hanging="360"/>
      </w:pPr>
      <w:rPr>
        <w:rFonts w:ascii="Wingdings" w:hAnsi="Wingdings" w:hint="default"/>
      </w:rPr>
    </w:lvl>
    <w:lvl w:ilvl="4" w:tplc="2A16EA78" w:tentative="1">
      <w:start w:val="1"/>
      <w:numFmt w:val="bullet"/>
      <w:lvlText w:val=""/>
      <w:lvlJc w:val="left"/>
      <w:pPr>
        <w:tabs>
          <w:tab w:val="num" w:pos="3800"/>
        </w:tabs>
        <w:ind w:left="3800" w:hanging="360"/>
      </w:pPr>
      <w:rPr>
        <w:rFonts w:ascii="Wingdings" w:hAnsi="Wingdings" w:hint="default"/>
      </w:rPr>
    </w:lvl>
    <w:lvl w:ilvl="5" w:tplc="93361E36" w:tentative="1">
      <w:start w:val="1"/>
      <w:numFmt w:val="bullet"/>
      <w:lvlText w:val=""/>
      <w:lvlJc w:val="left"/>
      <w:pPr>
        <w:tabs>
          <w:tab w:val="num" w:pos="4520"/>
        </w:tabs>
        <w:ind w:left="4520" w:hanging="360"/>
      </w:pPr>
      <w:rPr>
        <w:rFonts w:ascii="Wingdings" w:hAnsi="Wingdings" w:hint="default"/>
      </w:rPr>
    </w:lvl>
    <w:lvl w:ilvl="6" w:tplc="74AAFD0E" w:tentative="1">
      <w:start w:val="1"/>
      <w:numFmt w:val="bullet"/>
      <w:lvlText w:val=""/>
      <w:lvlJc w:val="left"/>
      <w:pPr>
        <w:tabs>
          <w:tab w:val="num" w:pos="5240"/>
        </w:tabs>
        <w:ind w:left="5240" w:hanging="360"/>
      </w:pPr>
      <w:rPr>
        <w:rFonts w:ascii="Wingdings" w:hAnsi="Wingdings" w:hint="default"/>
      </w:rPr>
    </w:lvl>
    <w:lvl w:ilvl="7" w:tplc="B3DA2DEC" w:tentative="1">
      <w:start w:val="1"/>
      <w:numFmt w:val="bullet"/>
      <w:lvlText w:val=""/>
      <w:lvlJc w:val="left"/>
      <w:pPr>
        <w:tabs>
          <w:tab w:val="num" w:pos="5960"/>
        </w:tabs>
        <w:ind w:left="5960" w:hanging="360"/>
      </w:pPr>
      <w:rPr>
        <w:rFonts w:ascii="Wingdings" w:hAnsi="Wingdings" w:hint="default"/>
      </w:rPr>
    </w:lvl>
    <w:lvl w:ilvl="8" w:tplc="446C453C"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2D30401A"/>
    <w:multiLevelType w:val="hybridMultilevel"/>
    <w:tmpl w:val="2D2A2774"/>
    <w:lvl w:ilvl="0" w:tplc="08EE05D0">
      <w:start w:val="1"/>
      <w:numFmt w:val="decimal"/>
      <w:lvlText w:val="%1."/>
      <w:lvlJc w:val="left"/>
      <w:pPr>
        <w:tabs>
          <w:tab w:val="num" w:pos="900"/>
        </w:tabs>
        <w:ind w:left="900" w:hanging="540"/>
      </w:pPr>
      <w:rPr>
        <w:rFonts w:asciiTheme="majorHAnsi" w:hAnsiTheme="majorHAnsi" w:hint="default"/>
        <w:color w:val="FFFFFF" w:themeColor="background1"/>
        <w:sz w:val="32"/>
        <w:szCs w:val="32"/>
      </w:rPr>
    </w:lvl>
    <w:lvl w:ilvl="1" w:tplc="04090017">
      <w:start w:val="1"/>
      <w:numFmt w:val="lowerLetter"/>
      <w:lvlText w:val="%2)"/>
      <w:lvlJc w:val="left"/>
      <w:pPr>
        <w:ind w:left="1440" w:hanging="360"/>
      </w:pPr>
    </w:lvl>
    <w:lvl w:ilvl="2" w:tplc="001B0409">
      <w:start w:val="1"/>
      <w:numFmt w:val="low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BC068C"/>
    <w:multiLevelType w:val="hybridMultilevel"/>
    <w:tmpl w:val="AEA21122"/>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8" w15:restartNumberingAfterBreak="0">
    <w:nsid w:val="32C022C3"/>
    <w:multiLevelType w:val="hybridMultilevel"/>
    <w:tmpl w:val="AB6E2C6A"/>
    <w:lvl w:ilvl="0" w:tplc="08090005">
      <w:start w:val="1"/>
      <w:numFmt w:val="bullet"/>
      <w:lvlText w:val=""/>
      <w:lvlJc w:val="left"/>
      <w:pPr>
        <w:tabs>
          <w:tab w:val="num" w:pos="879"/>
        </w:tabs>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9" w15:restartNumberingAfterBreak="0">
    <w:nsid w:val="356B12EC"/>
    <w:multiLevelType w:val="hybridMultilevel"/>
    <w:tmpl w:val="CEC0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51D06"/>
    <w:multiLevelType w:val="hybridMultilevel"/>
    <w:tmpl w:val="4AE2196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39131F"/>
    <w:multiLevelType w:val="hybridMultilevel"/>
    <w:tmpl w:val="B7364B76"/>
    <w:lvl w:ilvl="0" w:tplc="42FE975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9114C"/>
    <w:multiLevelType w:val="hybridMultilevel"/>
    <w:tmpl w:val="7F402CBE"/>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3" w15:restartNumberingAfterBreak="0">
    <w:nsid w:val="42E62875"/>
    <w:multiLevelType w:val="hybridMultilevel"/>
    <w:tmpl w:val="996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A3715"/>
    <w:multiLevelType w:val="hybridMultilevel"/>
    <w:tmpl w:val="1320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F3215"/>
    <w:multiLevelType w:val="hybridMultilevel"/>
    <w:tmpl w:val="3D5EBDD4"/>
    <w:lvl w:ilvl="0" w:tplc="CEAEA77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30E75"/>
    <w:multiLevelType w:val="hybridMultilevel"/>
    <w:tmpl w:val="8F5E6D48"/>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872D0"/>
    <w:multiLevelType w:val="hybridMultilevel"/>
    <w:tmpl w:val="E16C6ED8"/>
    <w:lvl w:ilvl="0" w:tplc="04090005">
      <w:start w:val="1"/>
      <w:numFmt w:val="bullet"/>
      <w:lvlText w:val=""/>
      <w:lvlJc w:val="left"/>
      <w:pPr>
        <w:ind w:left="-54" w:hanging="360"/>
      </w:pPr>
      <w:rPr>
        <w:rFonts w:ascii="Wingdings" w:hAnsi="Wingdings"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8" w15:restartNumberingAfterBreak="0">
    <w:nsid w:val="5268299F"/>
    <w:multiLevelType w:val="hybridMultilevel"/>
    <w:tmpl w:val="CC76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9C4A00"/>
    <w:multiLevelType w:val="hybridMultilevel"/>
    <w:tmpl w:val="721C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74CEB"/>
    <w:multiLevelType w:val="hybridMultilevel"/>
    <w:tmpl w:val="431CFF06"/>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1" w15:restartNumberingAfterBreak="0">
    <w:nsid w:val="57180795"/>
    <w:multiLevelType w:val="hybridMultilevel"/>
    <w:tmpl w:val="3D46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422DD"/>
    <w:multiLevelType w:val="hybridMultilevel"/>
    <w:tmpl w:val="509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9115F"/>
    <w:multiLevelType w:val="hybridMultilevel"/>
    <w:tmpl w:val="4F1E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B7159"/>
    <w:multiLevelType w:val="hybridMultilevel"/>
    <w:tmpl w:val="D59A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13C80"/>
    <w:multiLevelType w:val="hybridMultilevel"/>
    <w:tmpl w:val="884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14780"/>
    <w:multiLevelType w:val="hybridMultilevel"/>
    <w:tmpl w:val="830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0559E"/>
    <w:multiLevelType w:val="hybridMultilevel"/>
    <w:tmpl w:val="9CE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D70"/>
    <w:multiLevelType w:val="hybridMultilevel"/>
    <w:tmpl w:val="DA56D358"/>
    <w:lvl w:ilvl="0" w:tplc="F9B8CD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lvl>
    <w:lvl w:ilvl="2" w:tplc="35B83F68" w:tentative="1">
      <w:start w:val="1"/>
      <w:numFmt w:val="bullet"/>
      <w:lvlText w:val=""/>
      <w:lvlJc w:val="left"/>
      <w:pPr>
        <w:tabs>
          <w:tab w:val="num" w:pos="2160"/>
        </w:tabs>
        <w:ind w:left="2160" w:hanging="360"/>
      </w:pPr>
      <w:rPr>
        <w:rFonts w:ascii="Wingdings" w:hAnsi="Wingdings" w:hint="default"/>
      </w:rPr>
    </w:lvl>
    <w:lvl w:ilvl="3" w:tplc="C946FE32" w:tentative="1">
      <w:start w:val="1"/>
      <w:numFmt w:val="bullet"/>
      <w:lvlText w:val=""/>
      <w:lvlJc w:val="left"/>
      <w:pPr>
        <w:tabs>
          <w:tab w:val="num" w:pos="2880"/>
        </w:tabs>
        <w:ind w:left="2880" w:hanging="360"/>
      </w:pPr>
      <w:rPr>
        <w:rFonts w:ascii="Wingdings" w:hAnsi="Wingdings" w:hint="default"/>
      </w:rPr>
    </w:lvl>
    <w:lvl w:ilvl="4" w:tplc="7794D5FE" w:tentative="1">
      <w:start w:val="1"/>
      <w:numFmt w:val="bullet"/>
      <w:lvlText w:val=""/>
      <w:lvlJc w:val="left"/>
      <w:pPr>
        <w:tabs>
          <w:tab w:val="num" w:pos="3600"/>
        </w:tabs>
        <w:ind w:left="3600" w:hanging="360"/>
      </w:pPr>
      <w:rPr>
        <w:rFonts w:ascii="Wingdings" w:hAnsi="Wingdings" w:hint="default"/>
      </w:rPr>
    </w:lvl>
    <w:lvl w:ilvl="5" w:tplc="003AF9AA" w:tentative="1">
      <w:start w:val="1"/>
      <w:numFmt w:val="bullet"/>
      <w:lvlText w:val=""/>
      <w:lvlJc w:val="left"/>
      <w:pPr>
        <w:tabs>
          <w:tab w:val="num" w:pos="4320"/>
        </w:tabs>
        <w:ind w:left="4320" w:hanging="360"/>
      </w:pPr>
      <w:rPr>
        <w:rFonts w:ascii="Wingdings" w:hAnsi="Wingdings" w:hint="default"/>
      </w:rPr>
    </w:lvl>
    <w:lvl w:ilvl="6" w:tplc="8AAA1646" w:tentative="1">
      <w:start w:val="1"/>
      <w:numFmt w:val="bullet"/>
      <w:lvlText w:val=""/>
      <w:lvlJc w:val="left"/>
      <w:pPr>
        <w:tabs>
          <w:tab w:val="num" w:pos="5040"/>
        </w:tabs>
        <w:ind w:left="5040" w:hanging="360"/>
      </w:pPr>
      <w:rPr>
        <w:rFonts w:ascii="Wingdings" w:hAnsi="Wingdings" w:hint="default"/>
      </w:rPr>
    </w:lvl>
    <w:lvl w:ilvl="7" w:tplc="C9509AE2" w:tentative="1">
      <w:start w:val="1"/>
      <w:numFmt w:val="bullet"/>
      <w:lvlText w:val=""/>
      <w:lvlJc w:val="left"/>
      <w:pPr>
        <w:tabs>
          <w:tab w:val="num" w:pos="5760"/>
        </w:tabs>
        <w:ind w:left="5760" w:hanging="360"/>
      </w:pPr>
      <w:rPr>
        <w:rFonts w:ascii="Wingdings" w:hAnsi="Wingdings" w:hint="default"/>
      </w:rPr>
    </w:lvl>
    <w:lvl w:ilvl="8" w:tplc="4670B8D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666D8"/>
    <w:multiLevelType w:val="hybridMultilevel"/>
    <w:tmpl w:val="4FCE13A8"/>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0" w15:restartNumberingAfterBreak="0">
    <w:nsid w:val="7E4A416E"/>
    <w:multiLevelType w:val="hybridMultilevel"/>
    <w:tmpl w:val="1AC663A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125493574">
    <w:abstractNumId w:val="0"/>
  </w:num>
  <w:num w:numId="2" w16cid:durableId="213784958">
    <w:abstractNumId w:val="16"/>
  </w:num>
  <w:num w:numId="3" w16cid:durableId="68046366">
    <w:abstractNumId w:val="3"/>
  </w:num>
  <w:num w:numId="4" w16cid:durableId="446893070">
    <w:abstractNumId w:val="5"/>
  </w:num>
  <w:num w:numId="5" w16cid:durableId="357859122">
    <w:abstractNumId w:val="15"/>
  </w:num>
  <w:num w:numId="6" w16cid:durableId="512959659">
    <w:abstractNumId w:val="13"/>
  </w:num>
  <w:num w:numId="7" w16cid:durableId="1414401508">
    <w:abstractNumId w:val="8"/>
  </w:num>
  <w:num w:numId="8" w16cid:durableId="2113698983">
    <w:abstractNumId w:val="39"/>
  </w:num>
  <w:num w:numId="9" w16cid:durableId="1805268942">
    <w:abstractNumId w:val="27"/>
  </w:num>
  <w:num w:numId="10" w16cid:durableId="1106313713">
    <w:abstractNumId w:val="24"/>
  </w:num>
  <w:num w:numId="11" w16cid:durableId="2085754997">
    <w:abstractNumId w:val="10"/>
  </w:num>
  <w:num w:numId="12" w16cid:durableId="738477524">
    <w:abstractNumId w:val="19"/>
  </w:num>
  <w:num w:numId="13" w16cid:durableId="6258006">
    <w:abstractNumId w:val="7"/>
  </w:num>
  <w:num w:numId="14" w16cid:durableId="780497079">
    <w:abstractNumId w:val="21"/>
  </w:num>
  <w:num w:numId="15" w16cid:durableId="313683024">
    <w:abstractNumId w:val="18"/>
  </w:num>
  <w:num w:numId="16" w16cid:durableId="292909223">
    <w:abstractNumId w:val="12"/>
  </w:num>
  <w:num w:numId="17" w16cid:durableId="158349658">
    <w:abstractNumId w:val="6"/>
  </w:num>
  <w:num w:numId="18" w16cid:durableId="586503590">
    <w:abstractNumId w:val="1"/>
  </w:num>
  <w:num w:numId="19" w16cid:durableId="1313103002">
    <w:abstractNumId w:val="20"/>
  </w:num>
  <w:num w:numId="20" w16cid:durableId="1453285059">
    <w:abstractNumId w:val="28"/>
  </w:num>
  <w:num w:numId="21" w16cid:durableId="597758985">
    <w:abstractNumId w:val="33"/>
  </w:num>
  <w:num w:numId="22" w16cid:durableId="359362136">
    <w:abstractNumId w:val="29"/>
  </w:num>
  <w:num w:numId="23" w16cid:durableId="698238121">
    <w:abstractNumId w:val="37"/>
  </w:num>
  <w:num w:numId="24" w16cid:durableId="1563979490">
    <w:abstractNumId w:val="35"/>
  </w:num>
  <w:num w:numId="25" w16cid:durableId="372585559">
    <w:abstractNumId w:val="32"/>
  </w:num>
  <w:num w:numId="26" w16cid:durableId="781725536">
    <w:abstractNumId w:val="9"/>
  </w:num>
  <w:num w:numId="27" w16cid:durableId="1871410001">
    <w:abstractNumId w:val="23"/>
  </w:num>
  <w:num w:numId="28" w16cid:durableId="1077243535">
    <w:abstractNumId w:val="34"/>
  </w:num>
  <w:num w:numId="29" w16cid:durableId="1915964856">
    <w:abstractNumId w:val="11"/>
  </w:num>
  <w:num w:numId="30" w16cid:durableId="900942624">
    <w:abstractNumId w:val="40"/>
  </w:num>
  <w:num w:numId="31" w16cid:durableId="1530022286">
    <w:abstractNumId w:val="38"/>
  </w:num>
  <w:num w:numId="32" w16cid:durableId="933249461">
    <w:abstractNumId w:val="30"/>
  </w:num>
  <w:num w:numId="33" w16cid:durableId="1732271506">
    <w:abstractNumId w:val="17"/>
  </w:num>
  <w:num w:numId="34" w16cid:durableId="1034699545">
    <w:abstractNumId w:val="22"/>
  </w:num>
  <w:num w:numId="35" w16cid:durableId="1451163710">
    <w:abstractNumId w:val="14"/>
  </w:num>
  <w:num w:numId="36" w16cid:durableId="1477379288">
    <w:abstractNumId w:val="2"/>
  </w:num>
  <w:num w:numId="37" w16cid:durableId="745297067">
    <w:abstractNumId w:val="36"/>
  </w:num>
  <w:num w:numId="38" w16cid:durableId="1418594939">
    <w:abstractNumId w:val="26"/>
  </w:num>
  <w:num w:numId="39" w16cid:durableId="1327786591">
    <w:abstractNumId w:val="4"/>
  </w:num>
  <w:num w:numId="40" w16cid:durableId="83260756">
    <w:abstractNumId w:val="25"/>
  </w:num>
  <w:num w:numId="41" w16cid:durableId="151553068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88279F"/>
    <w:rsid w:val="000004FF"/>
    <w:rsid w:val="00000613"/>
    <w:rsid w:val="00000B0F"/>
    <w:rsid w:val="00000DD8"/>
    <w:rsid w:val="000010D2"/>
    <w:rsid w:val="000011E3"/>
    <w:rsid w:val="000014B4"/>
    <w:rsid w:val="000037ED"/>
    <w:rsid w:val="0000386D"/>
    <w:rsid w:val="000041DD"/>
    <w:rsid w:val="00004271"/>
    <w:rsid w:val="00005886"/>
    <w:rsid w:val="000061B9"/>
    <w:rsid w:val="000067A1"/>
    <w:rsid w:val="00007044"/>
    <w:rsid w:val="00007884"/>
    <w:rsid w:val="0000796B"/>
    <w:rsid w:val="00007970"/>
    <w:rsid w:val="000079E8"/>
    <w:rsid w:val="0001063F"/>
    <w:rsid w:val="00010D72"/>
    <w:rsid w:val="000112BB"/>
    <w:rsid w:val="0001155D"/>
    <w:rsid w:val="000118A6"/>
    <w:rsid w:val="000121DD"/>
    <w:rsid w:val="000128C5"/>
    <w:rsid w:val="00012D69"/>
    <w:rsid w:val="000133CB"/>
    <w:rsid w:val="00013E1F"/>
    <w:rsid w:val="00014069"/>
    <w:rsid w:val="0001419A"/>
    <w:rsid w:val="00016F84"/>
    <w:rsid w:val="00017BC1"/>
    <w:rsid w:val="0002010D"/>
    <w:rsid w:val="00020751"/>
    <w:rsid w:val="0002092F"/>
    <w:rsid w:val="00020D27"/>
    <w:rsid w:val="00021DA8"/>
    <w:rsid w:val="00021F57"/>
    <w:rsid w:val="000226ED"/>
    <w:rsid w:val="00023496"/>
    <w:rsid w:val="00023499"/>
    <w:rsid w:val="0002362A"/>
    <w:rsid w:val="00025A4B"/>
    <w:rsid w:val="0002610E"/>
    <w:rsid w:val="00027107"/>
    <w:rsid w:val="000278B5"/>
    <w:rsid w:val="00031175"/>
    <w:rsid w:val="0003140A"/>
    <w:rsid w:val="00031CB7"/>
    <w:rsid w:val="00032308"/>
    <w:rsid w:val="00033F2E"/>
    <w:rsid w:val="00034BFC"/>
    <w:rsid w:val="00035366"/>
    <w:rsid w:val="000362C9"/>
    <w:rsid w:val="00036DAB"/>
    <w:rsid w:val="00037436"/>
    <w:rsid w:val="00041D07"/>
    <w:rsid w:val="00041F79"/>
    <w:rsid w:val="00042A17"/>
    <w:rsid w:val="00042A31"/>
    <w:rsid w:val="00042B50"/>
    <w:rsid w:val="00042D86"/>
    <w:rsid w:val="0004337D"/>
    <w:rsid w:val="00043792"/>
    <w:rsid w:val="0004381C"/>
    <w:rsid w:val="00044C30"/>
    <w:rsid w:val="00045083"/>
    <w:rsid w:val="0004541B"/>
    <w:rsid w:val="000455C0"/>
    <w:rsid w:val="00046BCA"/>
    <w:rsid w:val="000473D8"/>
    <w:rsid w:val="00047CA9"/>
    <w:rsid w:val="00047DAB"/>
    <w:rsid w:val="00050DE7"/>
    <w:rsid w:val="00050F6F"/>
    <w:rsid w:val="00051517"/>
    <w:rsid w:val="00051852"/>
    <w:rsid w:val="0005187F"/>
    <w:rsid w:val="00051C7B"/>
    <w:rsid w:val="00052703"/>
    <w:rsid w:val="00054449"/>
    <w:rsid w:val="00055520"/>
    <w:rsid w:val="00062146"/>
    <w:rsid w:val="00062242"/>
    <w:rsid w:val="00062CC5"/>
    <w:rsid w:val="000635B7"/>
    <w:rsid w:val="00064997"/>
    <w:rsid w:val="00064C67"/>
    <w:rsid w:val="000653D2"/>
    <w:rsid w:val="0006673F"/>
    <w:rsid w:val="00067658"/>
    <w:rsid w:val="0007098F"/>
    <w:rsid w:val="000712B4"/>
    <w:rsid w:val="00072013"/>
    <w:rsid w:val="000726F8"/>
    <w:rsid w:val="00072D44"/>
    <w:rsid w:val="0007347E"/>
    <w:rsid w:val="00074496"/>
    <w:rsid w:val="000746B2"/>
    <w:rsid w:val="00074839"/>
    <w:rsid w:val="00074A0C"/>
    <w:rsid w:val="00074D5B"/>
    <w:rsid w:val="00074E14"/>
    <w:rsid w:val="000750B3"/>
    <w:rsid w:val="000751B2"/>
    <w:rsid w:val="000752AE"/>
    <w:rsid w:val="00075382"/>
    <w:rsid w:val="0007613B"/>
    <w:rsid w:val="000763BD"/>
    <w:rsid w:val="000777AA"/>
    <w:rsid w:val="0008070F"/>
    <w:rsid w:val="000807C3"/>
    <w:rsid w:val="00080A1E"/>
    <w:rsid w:val="00080D04"/>
    <w:rsid w:val="000816C8"/>
    <w:rsid w:val="00081FF8"/>
    <w:rsid w:val="0008290C"/>
    <w:rsid w:val="000830C1"/>
    <w:rsid w:val="00083332"/>
    <w:rsid w:val="00084256"/>
    <w:rsid w:val="0008450B"/>
    <w:rsid w:val="00084D09"/>
    <w:rsid w:val="00087079"/>
    <w:rsid w:val="000870BD"/>
    <w:rsid w:val="00087164"/>
    <w:rsid w:val="00090937"/>
    <w:rsid w:val="00091212"/>
    <w:rsid w:val="0009123B"/>
    <w:rsid w:val="0009148F"/>
    <w:rsid w:val="00092D17"/>
    <w:rsid w:val="000932A4"/>
    <w:rsid w:val="000939B6"/>
    <w:rsid w:val="000944F5"/>
    <w:rsid w:val="00096281"/>
    <w:rsid w:val="00097156"/>
    <w:rsid w:val="000973F7"/>
    <w:rsid w:val="000A06DB"/>
    <w:rsid w:val="000A06F7"/>
    <w:rsid w:val="000A16F2"/>
    <w:rsid w:val="000A196B"/>
    <w:rsid w:val="000A1E9F"/>
    <w:rsid w:val="000A2DC4"/>
    <w:rsid w:val="000A3299"/>
    <w:rsid w:val="000A47C9"/>
    <w:rsid w:val="000A5717"/>
    <w:rsid w:val="000A5E7B"/>
    <w:rsid w:val="000A6010"/>
    <w:rsid w:val="000A675F"/>
    <w:rsid w:val="000A72A0"/>
    <w:rsid w:val="000B0391"/>
    <w:rsid w:val="000B2751"/>
    <w:rsid w:val="000B2EBE"/>
    <w:rsid w:val="000B3C8B"/>
    <w:rsid w:val="000B3F69"/>
    <w:rsid w:val="000B4A17"/>
    <w:rsid w:val="000B4FC2"/>
    <w:rsid w:val="000B5C59"/>
    <w:rsid w:val="000B663C"/>
    <w:rsid w:val="000B7471"/>
    <w:rsid w:val="000B7777"/>
    <w:rsid w:val="000B7D56"/>
    <w:rsid w:val="000C0ADB"/>
    <w:rsid w:val="000C148F"/>
    <w:rsid w:val="000C1DA7"/>
    <w:rsid w:val="000C1E66"/>
    <w:rsid w:val="000C24D4"/>
    <w:rsid w:val="000C3A47"/>
    <w:rsid w:val="000C4317"/>
    <w:rsid w:val="000C47CA"/>
    <w:rsid w:val="000C4EB2"/>
    <w:rsid w:val="000C4F23"/>
    <w:rsid w:val="000C4FFE"/>
    <w:rsid w:val="000C5274"/>
    <w:rsid w:val="000C537C"/>
    <w:rsid w:val="000C56A2"/>
    <w:rsid w:val="000C73D0"/>
    <w:rsid w:val="000C751B"/>
    <w:rsid w:val="000C77DC"/>
    <w:rsid w:val="000D0F51"/>
    <w:rsid w:val="000D10E9"/>
    <w:rsid w:val="000D175F"/>
    <w:rsid w:val="000D1B02"/>
    <w:rsid w:val="000D28B9"/>
    <w:rsid w:val="000D2BC8"/>
    <w:rsid w:val="000D30C2"/>
    <w:rsid w:val="000D3796"/>
    <w:rsid w:val="000D3EAF"/>
    <w:rsid w:val="000D3F84"/>
    <w:rsid w:val="000D47BE"/>
    <w:rsid w:val="000D4D91"/>
    <w:rsid w:val="000D509F"/>
    <w:rsid w:val="000D50B3"/>
    <w:rsid w:val="000D56BF"/>
    <w:rsid w:val="000D56C3"/>
    <w:rsid w:val="000D61D9"/>
    <w:rsid w:val="000D63F8"/>
    <w:rsid w:val="000D6428"/>
    <w:rsid w:val="000D6CE5"/>
    <w:rsid w:val="000D6D0D"/>
    <w:rsid w:val="000D6F29"/>
    <w:rsid w:val="000D7663"/>
    <w:rsid w:val="000E07DE"/>
    <w:rsid w:val="000E0D64"/>
    <w:rsid w:val="000E132B"/>
    <w:rsid w:val="000E16C0"/>
    <w:rsid w:val="000E1B80"/>
    <w:rsid w:val="000E1B8A"/>
    <w:rsid w:val="000E2884"/>
    <w:rsid w:val="000E3857"/>
    <w:rsid w:val="000E418F"/>
    <w:rsid w:val="000E455A"/>
    <w:rsid w:val="000E4B09"/>
    <w:rsid w:val="000E563B"/>
    <w:rsid w:val="000E6073"/>
    <w:rsid w:val="000E6263"/>
    <w:rsid w:val="000E66FE"/>
    <w:rsid w:val="000F014F"/>
    <w:rsid w:val="000F1776"/>
    <w:rsid w:val="000F1990"/>
    <w:rsid w:val="000F2562"/>
    <w:rsid w:val="000F27BA"/>
    <w:rsid w:val="000F2CD7"/>
    <w:rsid w:val="000F40F4"/>
    <w:rsid w:val="000F4BC5"/>
    <w:rsid w:val="000F5D44"/>
    <w:rsid w:val="000F699F"/>
    <w:rsid w:val="000F73BA"/>
    <w:rsid w:val="00100768"/>
    <w:rsid w:val="00101E07"/>
    <w:rsid w:val="0010212D"/>
    <w:rsid w:val="00102E83"/>
    <w:rsid w:val="001035DA"/>
    <w:rsid w:val="00104617"/>
    <w:rsid w:val="0010556E"/>
    <w:rsid w:val="00105BE2"/>
    <w:rsid w:val="001064AD"/>
    <w:rsid w:val="00106523"/>
    <w:rsid w:val="00106842"/>
    <w:rsid w:val="0011099A"/>
    <w:rsid w:val="00110D1D"/>
    <w:rsid w:val="0011136B"/>
    <w:rsid w:val="001118E0"/>
    <w:rsid w:val="00111DC9"/>
    <w:rsid w:val="0011276A"/>
    <w:rsid w:val="001128D2"/>
    <w:rsid w:val="00112D92"/>
    <w:rsid w:val="00113337"/>
    <w:rsid w:val="001137FB"/>
    <w:rsid w:val="001137FE"/>
    <w:rsid w:val="00114AC4"/>
    <w:rsid w:val="00115064"/>
    <w:rsid w:val="0011570D"/>
    <w:rsid w:val="0011631B"/>
    <w:rsid w:val="0011638A"/>
    <w:rsid w:val="00116BE1"/>
    <w:rsid w:val="001178DC"/>
    <w:rsid w:val="00117DC4"/>
    <w:rsid w:val="00121D8F"/>
    <w:rsid w:val="00121DAA"/>
    <w:rsid w:val="00122030"/>
    <w:rsid w:val="0012262A"/>
    <w:rsid w:val="00122C48"/>
    <w:rsid w:val="00122E20"/>
    <w:rsid w:val="00123035"/>
    <w:rsid w:val="00123E23"/>
    <w:rsid w:val="00124F5D"/>
    <w:rsid w:val="0012516D"/>
    <w:rsid w:val="00125298"/>
    <w:rsid w:val="00125D31"/>
    <w:rsid w:val="001302F1"/>
    <w:rsid w:val="0013076D"/>
    <w:rsid w:val="00130B52"/>
    <w:rsid w:val="00130E66"/>
    <w:rsid w:val="00130EA6"/>
    <w:rsid w:val="00131290"/>
    <w:rsid w:val="00132072"/>
    <w:rsid w:val="001324E9"/>
    <w:rsid w:val="001358BA"/>
    <w:rsid w:val="00135936"/>
    <w:rsid w:val="00135D9C"/>
    <w:rsid w:val="001360C4"/>
    <w:rsid w:val="00136983"/>
    <w:rsid w:val="0014043A"/>
    <w:rsid w:val="001408E9"/>
    <w:rsid w:val="00140C9B"/>
    <w:rsid w:val="00141251"/>
    <w:rsid w:val="00141254"/>
    <w:rsid w:val="001413F9"/>
    <w:rsid w:val="00141469"/>
    <w:rsid w:val="00142742"/>
    <w:rsid w:val="00143B46"/>
    <w:rsid w:val="001441FF"/>
    <w:rsid w:val="0014486F"/>
    <w:rsid w:val="00144FB3"/>
    <w:rsid w:val="00145677"/>
    <w:rsid w:val="0014693B"/>
    <w:rsid w:val="00146BA3"/>
    <w:rsid w:val="00146D08"/>
    <w:rsid w:val="001474D9"/>
    <w:rsid w:val="00150254"/>
    <w:rsid w:val="00150762"/>
    <w:rsid w:val="0015163A"/>
    <w:rsid w:val="001517B2"/>
    <w:rsid w:val="00151ADF"/>
    <w:rsid w:val="00151D46"/>
    <w:rsid w:val="00151EDF"/>
    <w:rsid w:val="00151FE7"/>
    <w:rsid w:val="00152904"/>
    <w:rsid w:val="00153137"/>
    <w:rsid w:val="00153A14"/>
    <w:rsid w:val="00154EA6"/>
    <w:rsid w:val="00155758"/>
    <w:rsid w:val="00155DA1"/>
    <w:rsid w:val="00156C19"/>
    <w:rsid w:val="00157557"/>
    <w:rsid w:val="0015790F"/>
    <w:rsid w:val="00157C48"/>
    <w:rsid w:val="00157EAA"/>
    <w:rsid w:val="0016014D"/>
    <w:rsid w:val="00160F17"/>
    <w:rsid w:val="00161F76"/>
    <w:rsid w:val="00162590"/>
    <w:rsid w:val="001632C2"/>
    <w:rsid w:val="001634C3"/>
    <w:rsid w:val="001637FD"/>
    <w:rsid w:val="00163CF9"/>
    <w:rsid w:val="00163FEF"/>
    <w:rsid w:val="00164C7A"/>
    <w:rsid w:val="00164F19"/>
    <w:rsid w:val="0016501C"/>
    <w:rsid w:val="001657D0"/>
    <w:rsid w:val="00165AF3"/>
    <w:rsid w:val="00166192"/>
    <w:rsid w:val="0016794C"/>
    <w:rsid w:val="00170428"/>
    <w:rsid w:val="001707D9"/>
    <w:rsid w:val="00170E2A"/>
    <w:rsid w:val="001722C3"/>
    <w:rsid w:val="00172D0A"/>
    <w:rsid w:val="0017315B"/>
    <w:rsid w:val="00173246"/>
    <w:rsid w:val="001736D8"/>
    <w:rsid w:val="001753A4"/>
    <w:rsid w:val="00175F2B"/>
    <w:rsid w:val="001761C7"/>
    <w:rsid w:val="001775CA"/>
    <w:rsid w:val="001779DA"/>
    <w:rsid w:val="00177E49"/>
    <w:rsid w:val="00181365"/>
    <w:rsid w:val="00181F92"/>
    <w:rsid w:val="0018309B"/>
    <w:rsid w:val="00185480"/>
    <w:rsid w:val="001854A0"/>
    <w:rsid w:val="001857FC"/>
    <w:rsid w:val="00185D5F"/>
    <w:rsid w:val="00185E50"/>
    <w:rsid w:val="00186295"/>
    <w:rsid w:val="00186E80"/>
    <w:rsid w:val="00187A12"/>
    <w:rsid w:val="00187E90"/>
    <w:rsid w:val="001909CA"/>
    <w:rsid w:val="00190C34"/>
    <w:rsid w:val="001922DE"/>
    <w:rsid w:val="001926AB"/>
    <w:rsid w:val="0019274A"/>
    <w:rsid w:val="00192AF5"/>
    <w:rsid w:val="00192FCA"/>
    <w:rsid w:val="00193B86"/>
    <w:rsid w:val="00194F04"/>
    <w:rsid w:val="001950C3"/>
    <w:rsid w:val="001955B5"/>
    <w:rsid w:val="00196040"/>
    <w:rsid w:val="001974F9"/>
    <w:rsid w:val="00197B5F"/>
    <w:rsid w:val="001A011C"/>
    <w:rsid w:val="001A1348"/>
    <w:rsid w:val="001A1CD1"/>
    <w:rsid w:val="001A229F"/>
    <w:rsid w:val="001A25AB"/>
    <w:rsid w:val="001A2AE8"/>
    <w:rsid w:val="001A2E76"/>
    <w:rsid w:val="001A3EA2"/>
    <w:rsid w:val="001A496A"/>
    <w:rsid w:val="001A61E4"/>
    <w:rsid w:val="001A6A92"/>
    <w:rsid w:val="001A7025"/>
    <w:rsid w:val="001A72B6"/>
    <w:rsid w:val="001A750E"/>
    <w:rsid w:val="001A7C68"/>
    <w:rsid w:val="001A7CEE"/>
    <w:rsid w:val="001B014B"/>
    <w:rsid w:val="001B0DC8"/>
    <w:rsid w:val="001B0E63"/>
    <w:rsid w:val="001B1163"/>
    <w:rsid w:val="001B1CB9"/>
    <w:rsid w:val="001B2084"/>
    <w:rsid w:val="001B21A6"/>
    <w:rsid w:val="001B33AA"/>
    <w:rsid w:val="001B3A01"/>
    <w:rsid w:val="001B3AE0"/>
    <w:rsid w:val="001B4DC8"/>
    <w:rsid w:val="001B4E08"/>
    <w:rsid w:val="001B4E4E"/>
    <w:rsid w:val="001B4EDA"/>
    <w:rsid w:val="001B5402"/>
    <w:rsid w:val="001B585A"/>
    <w:rsid w:val="001B5C40"/>
    <w:rsid w:val="001B5DCA"/>
    <w:rsid w:val="001B6D7F"/>
    <w:rsid w:val="001C056F"/>
    <w:rsid w:val="001C0FBC"/>
    <w:rsid w:val="001C153A"/>
    <w:rsid w:val="001C162B"/>
    <w:rsid w:val="001C1CDD"/>
    <w:rsid w:val="001C26EE"/>
    <w:rsid w:val="001C3856"/>
    <w:rsid w:val="001C397B"/>
    <w:rsid w:val="001C44C4"/>
    <w:rsid w:val="001C48D4"/>
    <w:rsid w:val="001C524B"/>
    <w:rsid w:val="001C5447"/>
    <w:rsid w:val="001C5524"/>
    <w:rsid w:val="001D0647"/>
    <w:rsid w:val="001D11BE"/>
    <w:rsid w:val="001D1BB3"/>
    <w:rsid w:val="001D1FDB"/>
    <w:rsid w:val="001D245D"/>
    <w:rsid w:val="001D2575"/>
    <w:rsid w:val="001D27DB"/>
    <w:rsid w:val="001D418B"/>
    <w:rsid w:val="001D52D0"/>
    <w:rsid w:val="001D5766"/>
    <w:rsid w:val="001D5CFE"/>
    <w:rsid w:val="001D5F36"/>
    <w:rsid w:val="001D60BB"/>
    <w:rsid w:val="001D687E"/>
    <w:rsid w:val="001D6FCA"/>
    <w:rsid w:val="001E0899"/>
    <w:rsid w:val="001E29F7"/>
    <w:rsid w:val="001E2B97"/>
    <w:rsid w:val="001E36E3"/>
    <w:rsid w:val="001E58CB"/>
    <w:rsid w:val="001E6E17"/>
    <w:rsid w:val="001E743F"/>
    <w:rsid w:val="001E75EC"/>
    <w:rsid w:val="001E7D7A"/>
    <w:rsid w:val="001F0194"/>
    <w:rsid w:val="001F2772"/>
    <w:rsid w:val="001F2F1C"/>
    <w:rsid w:val="001F3872"/>
    <w:rsid w:val="001F389E"/>
    <w:rsid w:val="001F41B0"/>
    <w:rsid w:val="001F4AA9"/>
    <w:rsid w:val="001F5617"/>
    <w:rsid w:val="001F59BA"/>
    <w:rsid w:val="001F6050"/>
    <w:rsid w:val="001F6D21"/>
    <w:rsid w:val="001F75BF"/>
    <w:rsid w:val="001F7AF9"/>
    <w:rsid w:val="001F7CE5"/>
    <w:rsid w:val="001F7F43"/>
    <w:rsid w:val="0020035C"/>
    <w:rsid w:val="0020062C"/>
    <w:rsid w:val="002008D4"/>
    <w:rsid w:val="00201EE7"/>
    <w:rsid w:val="00202620"/>
    <w:rsid w:val="00202844"/>
    <w:rsid w:val="00202AB3"/>
    <w:rsid w:val="00203481"/>
    <w:rsid w:val="002052DC"/>
    <w:rsid w:val="00205946"/>
    <w:rsid w:val="00205A2D"/>
    <w:rsid w:val="00205E85"/>
    <w:rsid w:val="0020664C"/>
    <w:rsid w:val="0020774F"/>
    <w:rsid w:val="00207934"/>
    <w:rsid w:val="00207E5C"/>
    <w:rsid w:val="00210D4C"/>
    <w:rsid w:val="0021218F"/>
    <w:rsid w:val="00212676"/>
    <w:rsid w:val="00215A4E"/>
    <w:rsid w:val="00217F2C"/>
    <w:rsid w:val="002208C2"/>
    <w:rsid w:val="00220EB6"/>
    <w:rsid w:val="00221A5D"/>
    <w:rsid w:val="00221C94"/>
    <w:rsid w:val="002227EE"/>
    <w:rsid w:val="00223A6F"/>
    <w:rsid w:val="00223E82"/>
    <w:rsid w:val="00224121"/>
    <w:rsid w:val="0022443B"/>
    <w:rsid w:val="002245AE"/>
    <w:rsid w:val="00224849"/>
    <w:rsid w:val="00224FCC"/>
    <w:rsid w:val="002253BA"/>
    <w:rsid w:val="00225C80"/>
    <w:rsid w:val="0022614C"/>
    <w:rsid w:val="00226BF1"/>
    <w:rsid w:val="00227815"/>
    <w:rsid w:val="0023019F"/>
    <w:rsid w:val="002301B3"/>
    <w:rsid w:val="00230219"/>
    <w:rsid w:val="002311B5"/>
    <w:rsid w:val="002316B4"/>
    <w:rsid w:val="00231E65"/>
    <w:rsid w:val="00233801"/>
    <w:rsid w:val="00234225"/>
    <w:rsid w:val="00234BF8"/>
    <w:rsid w:val="00236C0D"/>
    <w:rsid w:val="0024031B"/>
    <w:rsid w:val="00240A2C"/>
    <w:rsid w:val="00241185"/>
    <w:rsid w:val="00241932"/>
    <w:rsid w:val="00243746"/>
    <w:rsid w:val="002446A2"/>
    <w:rsid w:val="002453F5"/>
    <w:rsid w:val="00245EF9"/>
    <w:rsid w:val="002475F7"/>
    <w:rsid w:val="0024786B"/>
    <w:rsid w:val="00248122"/>
    <w:rsid w:val="002505FD"/>
    <w:rsid w:val="0025063A"/>
    <w:rsid w:val="0025086F"/>
    <w:rsid w:val="00250BE5"/>
    <w:rsid w:val="002518ED"/>
    <w:rsid w:val="00251B99"/>
    <w:rsid w:val="0025238E"/>
    <w:rsid w:val="00253523"/>
    <w:rsid w:val="00253AF5"/>
    <w:rsid w:val="0025422F"/>
    <w:rsid w:val="0025586C"/>
    <w:rsid w:val="00256335"/>
    <w:rsid w:val="00257B8F"/>
    <w:rsid w:val="00261312"/>
    <w:rsid w:val="00261550"/>
    <w:rsid w:val="00261BFF"/>
    <w:rsid w:val="00262A55"/>
    <w:rsid w:val="00262E21"/>
    <w:rsid w:val="0026326F"/>
    <w:rsid w:val="00263AA4"/>
    <w:rsid w:val="002645FB"/>
    <w:rsid w:val="00264BA4"/>
    <w:rsid w:val="00264D14"/>
    <w:rsid w:val="0026596D"/>
    <w:rsid w:val="00270054"/>
    <w:rsid w:val="0027056F"/>
    <w:rsid w:val="002716A1"/>
    <w:rsid w:val="00271F1D"/>
    <w:rsid w:val="00271FE2"/>
    <w:rsid w:val="00272860"/>
    <w:rsid w:val="00272A0C"/>
    <w:rsid w:val="00274663"/>
    <w:rsid w:val="0027588A"/>
    <w:rsid w:val="00276736"/>
    <w:rsid w:val="002767BA"/>
    <w:rsid w:val="00276847"/>
    <w:rsid w:val="002771A6"/>
    <w:rsid w:val="00280003"/>
    <w:rsid w:val="002817BE"/>
    <w:rsid w:val="00281B9E"/>
    <w:rsid w:val="00281BE9"/>
    <w:rsid w:val="00281F04"/>
    <w:rsid w:val="0028202A"/>
    <w:rsid w:val="00282A0F"/>
    <w:rsid w:val="00283ABD"/>
    <w:rsid w:val="002840A5"/>
    <w:rsid w:val="00286C20"/>
    <w:rsid w:val="00287A61"/>
    <w:rsid w:val="00287BFE"/>
    <w:rsid w:val="00292237"/>
    <w:rsid w:val="00292864"/>
    <w:rsid w:val="002933D5"/>
    <w:rsid w:val="00294497"/>
    <w:rsid w:val="00294FF0"/>
    <w:rsid w:val="002956FD"/>
    <w:rsid w:val="0029647E"/>
    <w:rsid w:val="00296F49"/>
    <w:rsid w:val="0029738C"/>
    <w:rsid w:val="002A0323"/>
    <w:rsid w:val="002A053F"/>
    <w:rsid w:val="002A0B26"/>
    <w:rsid w:val="002A0CF2"/>
    <w:rsid w:val="002A153B"/>
    <w:rsid w:val="002A18DB"/>
    <w:rsid w:val="002A1D77"/>
    <w:rsid w:val="002A2AAE"/>
    <w:rsid w:val="002A2FBD"/>
    <w:rsid w:val="002A32DA"/>
    <w:rsid w:val="002A3D6C"/>
    <w:rsid w:val="002A4764"/>
    <w:rsid w:val="002A4C0A"/>
    <w:rsid w:val="002A692C"/>
    <w:rsid w:val="002A6F47"/>
    <w:rsid w:val="002A749A"/>
    <w:rsid w:val="002A77CA"/>
    <w:rsid w:val="002A78FE"/>
    <w:rsid w:val="002A7B92"/>
    <w:rsid w:val="002A7E23"/>
    <w:rsid w:val="002B0636"/>
    <w:rsid w:val="002B14EB"/>
    <w:rsid w:val="002B2212"/>
    <w:rsid w:val="002B2218"/>
    <w:rsid w:val="002B25B0"/>
    <w:rsid w:val="002B3379"/>
    <w:rsid w:val="002B3682"/>
    <w:rsid w:val="002B3933"/>
    <w:rsid w:val="002B3B6C"/>
    <w:rsid w:val="002B3FD5"/>
    <w:rsid w:val="002B4A8D"/>
    <w:rsid w:val="002B4CE4"/>
    <w:rsid w:val="002B4DB1"/>
    <w:rsid w:val="002B4DF4"/>
    <w:rsid w:val="002B4FB2"/>
    <w:rsid w:val="002B5526"/>
    <w:rsid w:val="002B57F4"/>
    <w:rsid w:val="002B58F5"/>
    <w:rsid w:val="002B5DFD"/>
    <w:rsid w:val="002B6D2B"/>
    <w:rsid w:val="002B7305"/>
    <w:rsid w:val="002B7343"/>
    <w:rsid w:val="002B7981"/>
    <w:rsid w:val="002B7A1C"/>
    <w:rsid w:val="002C0757"/>
    <w:rsid w:val="002C175E"/>
    <w:rsid w:val="002C1E09"/>
    <w:rsid w:val="002C20B2"/>
    <w:rsid w:val="002C254C"/>
    <w:rsid w:val="002C2BD4"/>
    <w:rsid w:val="002C30F2"/>
    <w:rsid w:val="002C3235"/>
    <w:rsid w:val="002C3855"/>
    <w:rsid w:val="002C4B59"/>
    <w:rsid w:val="002C4DBD"/>
    <w:rsid w:val="002C5553"/>
    <w:rsid w:val="002C6565"/>
    <w:rsid w:val="002D07D3"/>
    <w:rsid w:val="002D0989"/>
    <w:rsid w:val="002D10B1"/>
    <w:rsid w:val="002D1597"/>
    <w:rsid w:val="002D1C00"/>
    <w:rsid w:val="002D1F9C"/>
    <w:rsid w:val="002D23D3"/>
    <w:rsid w:val="002D273A"/>
    <w:rsid w:val="002D3B46"/>
    <w:rsid w:val="002D43B6"/>
    <w:rsid w:val="002D4B35"/>
    <w:rsid w:val="002D4BA5"/>
    <w:rsid w:val="002D6189"/>
    <w:rsid w:val="002E0DBA"/>
    <w:rsid w:val="002E1653"/>
    <w:rsid w:val="002E2040"/>
    <w:rsid w:val="002E27CE"/>
    <w:rsid w:val="002E2BC1"/>
    <w:rsid w:val="002E2C2F"/>
    <w:rsid w:val="002E31FD"/>
    <w:rsid w:val="002E34BB"/>
    <w:rsid w:val="002E3612"/>
    <w:rsid w:val="002E41BD"/>
    <w:rsid w:val="002E478D"/>
    <w:rsid w:val="002E4AF1"/>
    <w:rsid w:val="002E51C6"/>
    <w:rsid w:val="002E573A"/>
    <w:rsid w:val="002E573C"/>
    <w:rsid w:val="002E5887"/>
    <w:rsid w:val="002E58D6"/>
    <w:rsid w:val="002E66CC"/>
    <w:rsid w:val="002E6BFD"/>
    <w:rsid w:val="002E7273"/>
    <w:rsid w:val="002F0E9D"/>
    <w:rsid w:val="002F129E"/>
    <w:rsid w:val="002F12F7"/>
    <w:rsid w:val="002F23D6"/>
    <w:rsid w:val="002F2A59"/>
    <w:rsid w:val="002F2AB4"/>
    <w:rsid w:val="002F3172"/>
    <w:rsid w:val="002F33E4"/>
    <w:rsid w:val="002F4EF6"/>
    <w:rsid w:val="002F4F4A"/>
    <w:rsid w:val="002F6957"/>
    <w:rsid w:val="0030027D"/>
    <w:rsid w:val="003007A5"/>
    <w:rsid w:val="00301B65"/>
    <w:rsid w:val="00301D8A"/>
    <w:rsid w:val="003021DB"/>
    <w:rsid w:val="003025DC"/>
    <w:rsid w:val="0030325A"/>
    <w:rsid w:val="0030419C"/>
    <w:rsid w:val="003055B8"/>
    <w:rsid w:val="00305ADF"/>
    <w:rsid w:val="0030775D"/>
    <w:rsid w:val="00307AA3"/>
    <w:rsid w:val="003112B8"/>
    <w:rsid w:val="00311411"/>
    <w:rsid w:val="00311B6D"/>
    <w:rsid w:val="00311F2C"/>
    <w:rsid w:val="00312520"/>
    <w:rsid w:val="00312F20"/>
    <w:rsid w:val="00314373"/>
    <w:rsid w:val="003143AA"/>
    <w:rsid w:val="0031454F"/>
    <w:rsid w:val="00314567"/>
    <w:rsid w:val="003151E1"/>
    <w:rsid w:val="00315850"/>
    <w:rsid w:val="003162EE"/>
    <w:rsid w:val="003168FC"/>
    <w:rsid w:val="00316B29"/>
    <w:rsid w:val="0031703E"/>
    <w:rsid w:val="00317334"/>
    <w:rsid w:val="003173F5"/>
    <w:rsid w:val="00317AE7"/>
    <w:rsid w:val="00317B93"/>
    <w:rsid w:val="00317C09"/>
    <w:rsid w:val="00321259"/>
    <w:rsid w:val="003218D0"/>
    <w:rsid w:val="00321A74"/>
    <w:rsid w:val="00321E48"/>
    <w:rsid w:val="00322558"/>
    <w:rsid w:val="0032333E"/>
    <w:rsid w:val="00323D65"/>
    <w:rsid w:val="00325189"/>
    <w:rsid w:val="00325665"/>
    <w:rsid w:val="00326C52"/>
    <w:rsid w:val="00327143"/>
    <w:rsid w:val="0032714A"/>
    <w:rsid w:val="00327C86"/>
    <w:rsid w:val="00330A04"/>
    <w:rsid w:val="00331753"/>
    <w:rsid w:val="00332C43"/>
    <w:rsid w:val="003340EC"/>
    <w:rsid w:val="00334B0C"/>
    <w:rsid w:val="00334CF1"/>
    <w:rsid w:val="00334EC2"/>
    <w:rsid w:val="00336E90"/>
    <w:rsid w:val="00337FFB"/>
    <w:rsid w:val="00340208"/>
    <w:rsid w:val="00340B56"/>
    <w:rsid w:val="003410E9"/>
    <w:rsid w:val="00341FF1"/>
    <w:rsid w:val="003429B8"/>
    <w:rsid w:val="003435CE"/>
    <w:rsid w:val="003441CB"/>
    <w:rsid w:val="003448B1"/>
    <w:rsid w:val="00345320"/>
    <w:rsid w:val="00345D99"/>
    <w:rsid w:val="00346972"/>
    <w:rsid w:val="00347238"/>
    <w:rsid w:val="00347AA9"/>
    <w:rsid w:val="00347E18"/>
    <w:rsid w:val="00347E19"/>
    <w:rsid w:val="00347E22"/>
    <w:rsid w:val="003501EB"/>
    <w:rsid w:val="00350B65"/>
    <w:rsid w:val="003510C8"/>
    <w:rsid w:val="00351823"/>
    <w:rsid w:val="0035228A"/>
    <w:rsid w:val="00352664"/>
    <w:rsid w:val="00352DC4"/>
    <w:rsid w:val="00352EB0"/>
    <w:rsid w:val="00353350"/>
    <w:rsid w:val="00353685"/>
    <w:rsid w:val="00353D2D"/>
    <w:rsid w:val="00353FC1"/>
    <w:rsid w:val="00354A49"/>
    <w:rsid w:val="0035594A"/>
    <w:rsid w:val="003562D9"/>
    <w:rsid w:val="00356A98"/>
    <w:rsid w:val="00357092"/>
    <w:rsid w:val="003570AB"/>
    <w:rsid w:val="00357876"/>
    <w:rsid w:val="00357BFE"/>
    <w:rsid w:val="00361402"/>
    <w:rsid w:val="003616B0"/>
    <w:rsid w:val="00361715"/>
    <w:rsid w:val="00362188"/>
    <w:rsid w:val="00362F7C"/>
    <w:rsid w:val="00363711"/>
    <w:rsid w:val="003641DF"/>
    <w:rsid w:val="003648F4"/>
    <w:rsid w:val="0036717C"/>
    <w:rsid w:val="0037157F"/>
    <w:rsid w:val="003716E4"/>
    <w:rsid w:val="00372767"/>
    <w:rsid w:val="00372F3A"/>
    <w:rsid w:val="003735F7"/>
    <w:rsid w:val="00374A87"/>
    <w:rsid w:val="003754A5"/>
    <w:rsid w:val="0037572F"/>
    <w:rsid w:val="00376D75"/>
    <w:rsid w:val="00377F8E"/>
    <w:rsid w:val="003804B4"/>
    <w:rsid w:val="00380597"/>
    <w:rsid w:val="00380D79"/>
    <w:rsid w:val="003812B0"/>
    <w:rsid w:val="003813C8"/>
    <w:rsid w:val="00381818"/>
    <w:rsid w:val="003819D1"/>
    <w:rsid w:val="00381B5C"/>
    <w:rsid w:val="003834D7"/>
    <w:rsid w:val="00383547"/>
    <w:rsid w:val="00383955"/>
    <w:rsid w:val="00385957"/>
    <w:rsid w:val="00386797"/>
    <w:rsid w:val="00387225"/>
    <w:rsid w:val="003902C6"/>
    <w:rsid w:val="00390401"/>
    <w:rsid w:val="00391126"/>
    <w:rsid w:val="0039145E"/>
    <w:rsid w:val="00392FB7"/>
    <w:rsid w:val="0039480B"/>
    <w:rsid w:val="00394893"/>
    <w:rsid w:val="00394E7C"/>
    <w:rsid w:val="00394F21"/>
    <w:rsid w:val="003954C4"/>
    <w:rsid w:val="0039560B"/>
    <w:rsid w:val="00395B00"/>
    <w:rsid w:val="00395CC9"/>
    <w:rsid w:val="00396037"/>
    <w:rsid w:val="00396415"/>
    <w:rsid w:val="00396427"/>
    <w:rsid w:val="00397EB6"/>
    <w:rsid w:val="003A00A2"/>
    <w:rsid w:val="003A020B"/>
    <w:rsid w:val="003A06C9"/>
    <w:rsid w:val="003A0A42"/>
    <w:rsid w:val="003A10C4"/>
    <w:rsid w:val="003A1466"/>
    <w:rsid w:val="003A2519"/>
    <w:rsid w:val="003A2F13"/>
    <w:rsid w:val="003A3249"/>
    <w:rsid w:val="003A3E89"/>
    <w:rsid w:val="003A422D"/>
    <w:rsid w:val="003A4D71"/>
    <w:rsid w:val="003A4F9A"/>
    <w:rsid w:val="003A4FAA"/>
    <w:rsid w:val="003A5210"/>
    <w:rsid w:val="003A56B1"/>
    <w:rsid w:val="003A58E3"/>
    <w:rsid w:val="003A5A21"/>
    <w:rsid w:val="003A6402"/>
    <w:rsid w:val="003A643D"/>
    <w:rsid w:val="003A6658"/>
    <w:rsid w:val="003A7251"/>
    <w:rsid w:val="003A7341"/>
    <w:rsid w:val="003B053F"/>
    <w:rsid w:val="003B076A"/>
    <w:rsid w:val="003B086C"/>
    <w:rsid w:val="003B16C4"/>
    <w:rsid w:val="003B27A2"/>
    <w:rsid w:val="003B2EEE"/>
    <w:rsid w:val="003B4509"/>
    <w:rsid w:val="003B4D43"/>
    <w:rsid w:val="003B5973"/>
    <w:rsid w:val="003B5AB6"/>
    <w:rsid w:val="003B7390"/>
    <w:rsid w:val="003B754E"/>
    <w:rsid w:val="003B77A8"/>
    <w:rsid w:val="003B7803"/>
    <w:rsid w:val="003B784D"/>
    <w:rsid w:val="003C0D2D"/>
    <w:rsid w:val="003C11C4"/>
    <w:rsid w:val="003C356A"/>
    <w:rsid w:val="003C3E54"/>
    <w:rsid w:val="003C47C9"/>
    <w:rsid w:val="003C4B79"/>
    <w:rsid w:val="003C4D58"/>
    <w:rsid w:val="003C4F97"/>
    <w:rsid w:val="003C6344"/>
    <w:rsid w:val="003C6F3D"/>
    <w:rsid w:val="003C75F5"/>
    <w:rsid w:val="003C7ED2"/>
    <w:rsid w:val="003C7EF6"/>
    <w:rsid w:val="003D042D"/>
    <w:rsid w:val="003D1CCD"/>
    <w:rsid w:val="003D1F2A"/>
    <w:rsid w:val="003D2472"/>
    <w:rsid w:val="003D259D"/>
    <w:rsid w:val="003D2863"/>
    <w:rsid w:val="003D29C1"/>
    <w:rsid w:val="003D2B94"/>
    <w:rsid w:val="003D3091"/>
    <w:rsid w:val="003D309A"/>
    <w:rsid w:val="003D32D3"/>
    <w:rsid w:val="003D4F05"/>
    <w:rsid w:val="003D52B9"/>
    <w:rsid w:val="003D569B"/>
    <w:rsid w:val="003D5DB4"/>
    <w:rsid w:val="003D6A24"/>
    <w:rsid w:val="003D6C58"/>
    <w:rsid w:val="003D76DD"/>
    <w:rsid w:val="003E0CB5"/>
    <w:rsid w:val="003E1067"/>
    <w:rsid w:val="003E1239"/>
    <w:rsid w:val="003E1605"/>
    <w:rsid w:val="003E18F6"/>
    <w:rsid w:val="003E1CA1"/>
    <w:rsid w:val="003E303E"/>
    <w:rsid w:val="003E329C"/>
    <w:rsid w:val="003E3DD7"/>
    <w:rsid w:val="003E4020"/>
    <w:rsid w:val="003E544D"/>
    <w:rsid w:val="003E5AEB"/>
    <w:rsid w:val="003E61FF"/>
    <w:rsid w:val="003E66DB"/>
    <w:rsid w:val="003E7353"/>
    <w:rsid w:val="003E7414"/>
    <w:rsid w:val="003F2379"/>
    <w:rsid w:val="003F299D"/>
    <w:rsid w:val="003F3536"/>
    <w:rsid w:val="003F35C0"/>
    <w:rsid w:val="003F4529"/>
    <w:rsid w:val="003F4888"/>
    <w:rsid w:val="003F4EFD"/>
    <w:rsid w:val="003F5170"/>
    <w:rsid w:val="003F5FB3"/>
    <w:rsid w:val="003F6CF4"/>
    <w:rsid w:val="003F74AB"/>
    <w:rsid w:val="003F78CF"/>
    <w:rsid w:val="003F7BB9"/>
    <w:rsid w:val="003F7D6E"/>
    <w:rsid w:val="00400250"/>
    <w:rsid w:val="004002AD"/>
    <w:rsid w:val="00401B4E"/>
    <w:rsid w:val="0040237F"/>
    <w:rsid w:val="00402804"/>
    <w:rsid w:val="0040288B"/>
    <w:rsid w:val="00402AEA"/>
    <w:rsid w:val="004030DB"/>
    <w:rsid w:val="0040348C"/>
    <w:rsid w:val="004035B7"/>
    <w:rsid w:val="00404A50"/>
    <w:rsid w:val="00406E29"/>
    <w:rsid w:val="00406E5F"/>
    <w:rsid w:val="00406F98"/>
    <w:rsid w:val="00411A08"/>
    <w:rsid w:val="00411C99"/>
    <w:rsid w:val="00413073"/>
    <w:rsid w:val="00415700"/>
    <w:rsid w:val="0041594B"/>
    <w:rsid w:val="00416239"/>
    <w:rsid w:val="00416ED3"/>
    <w:rsid w:val="0041742E"/>
    <w:rsid w:val="004177FE"/>
    <w:rsid w:val="00417A0D"/>
    <w:rsid w:val="00420335"/>
    <w:rsid w:val="004208D5"/>
    <w:rsid w:val="00420957"/>
    <w:rsid w:val="00421E5A"/>
    <w:rsid w:val="00422B62"/>
    <w:rsid w:val="00423054"/>
    <w:rsid w:val="004238A9"/>
    <w:rsid w:val="00423BB3"/>
    <w:rsid w:val="004241AD"/>
    <w:rsid w:val="00424AE6"/>
    <w:rsid w:val="00424FE8"/>
    <w:rsid w:val="0042507D"/>
    <w:rsid w:val="00425132"/>
    <w:rsid w:val="0042651A"/>
    <w:rsid w:val="004267A3"/>
    <w:rsid w:val="00427090"/>
    <w:rsid w:val="00430240"/>
    <w:rsid w:val="0043034A"/>
    <w:rsid w:val="00430353"/>
    <w:rsid w:val="00430724"/>
    <w:rsid w:val="0043074D"/>
    <w:rsid w:val="004310D7"/>
    <w:rsid w:val="00431551"/>
    <w:rsid w:val="004316EB"/>
    <w:rsid w:val="0043186D"/>
    <w:rsid w:val="004320B2"/>
    <w:rsid w:val="00432273"/>
    <w:rsid w:val="00432289"/>
    <w:rsid w:val="0043239A"/>
    <w:rsid w:val="00432713"/>
    <w:rsid w:val="0043284A"/>
    <w:rsid w:val="0043364A"/>
    <w:rsid w:val="00434294"/>
    <w:rsid w:val="0043542A"/>
    <w:rsid w:val="00436102"/>
    <w:rsid w:val="0043713A"/>
    <w:rsid w:val="00437199"/>
    <w:rsid w:val="004372A5"/>
    <w:rsid w:val="00437380"/>
    <w:rsid w:val="00437444"/>
    <w:rsid w:val="00440360"/>
    <w:rsid w:val="00440A01"/>
    <w:rsid w:val="00440A03"/>
    <w:rsid w:val="004412C1"/>
    <w:rsid w:val="004424E5"/>
    <w:rsid w:val="00443289"/>
    <w:rsid w:val="00443CCE"/>
    <w:rsid w:val="0044420E"/>
    <w:rsid w:val="00445541"/>
    <w:rsid w:val="004455E9"/>
    <w:rsid w:val="00445916"/>
    <w:rsid w:val="00445B71"/>
    <w:rsid w:val="004463E7"/>
    <w:rsid w:val="00446B58"/>
    <w:rsid w:val="0044752A"/>
    <w:rsid w:val="00447D97"/>
    <w:rsid w:val="00451541"/>
    <w:rsid w:val="004517C3"/>
    <w:rsid w:val="004518C0"/>
    <w:rsid w:val="0045192D"/>
    <w:rsid w:val="00451973"/>
    <w:rsid w:val="00451F22"/>
    <w:rsid w:val="00453410"/>
    <w:rsid w:val="00453BB3"/>
    <w:rsid w:val="004543DE"/>
    <w:rsid w:val="00455216"/>
    <w:rsid w:val="00455936"/>
    <w:rsid w:val="004565F1"/>
    <w:rsid w:val="0045681D"/>
    <w:rsid w:val="00456F07"/>
    <w:rsid w:val="00457CC9"/>
    <w:rsid w:val="00460B2E"/>
    <w:rsid w:val="004615DC"/>
    <w:rsid w:val="0046188B"/>
    <w:rsid w:val="004625C4"/>
    <w:rsid w:val="004626EB"/>
    <w:rsid w:val="0046277A"/>
    <w:rsid w:val="00462E28"/>
    <w:rsid w:val="004649D8"/>
    <w:rsid w:val="004652F8"/>
    <w:rsid w:val="0046760E"/>
    <w:rsid w:val="00467867"/>
    <w:rsid w:val="00470997"/>
    <w:rsid w:val="00470FEB"/>
    <w:rsid w:val="0047124C"/>
    <w:rsid w:val="00471453"/>
    <w:rsid w:val="004714A5"/>
    <w:rsid w:val="004716EF"/>
    <w:rsid w:val="00471848"/>
    <w:rsid w:val="00472F76"/>
    <w:rsid w:val="004733D2"/>
    <w:rsid w:val="00473A0B"/>
    <w:rsid w:val="00473C0E"/>
    <w:rsid w:val="00473ED2"/>
    <w:rsid w:val="00474209"/>
    <w:rsid w:val="004746FD"/>
    <w:rsid w:val="004748C2"/>
    <w:rsid w:val="00475429"/>
    <w:rsid w:val="004768E2"/>
    <w:rsid w:val="00476FAD"/>
    <w:rsid w:val="00480523"/>
    <w:rsid w:val="00480AD0"/>
    <w:rsid w:val="00480B72"/>
    <w:rsid w:val="00480C87"/>
    <w:rsid w:val="004814FC"/>
    <w:rsid w:val="004824FF"/>
    <w:rsid w:val="00482EED"/>
    <w:rsid w:val="00484353"/>
    <w:rsid w:val="00484EAE"/>
    <w:rsid w:val="00487093"/>
    <w:rsid w:val="00490A6C"/>
    <w:rsid w:val="00490F93"/>
    <w:rsid w:val="00491B60"/>
    <w:rsid w:val="004928C1"/>
    <w:rsid w:val="00493E9C"/>
    <w:rsid w:val="00494E44"/>
    <w:rsid w:val="00495686"/>
    <w:rsid w:val="0049603B"/>
    <w:rsid w:val="00496501"/>
    <w:rsid w:val="00496DBD"/>
    <w:rsid w:val="00497303"/>
    <w:rsid w:val="00497AF3"/>
    <w:rsid w:val="00497B53"/>
    <w:rsid w:val="004A0797"/>
    <w:rsid w:val="004A0C5B"/>
    <w:rsid w:val="004A0EA0"/>
    <w:rsid w:val="004A2B83"/>
    <w:rsid w:val="004A3626"/>
    <w:rsid w:val="004A36CB"/>
    <w:rsid w:val="004A37BC"/>
    <w:rsid w:val="004A3A5A"/>
    <w:rsid w:val="004A40F6"/>
    <w:rsid w:val="004A4100"/>
    <w:rsid w:val="004A4A67"/>
    <w:rsid w:val="004A505D"/>
    <w:rsid w:val="004A693D"/>
    <w:rsid w:val="004A6BDD"/>
    <w:rsid w:val="004A6FB2"/>
    <w:rsid w:val="004B038B"/>
    <w:rsid w:val="004B054A"/>
    <w:rsid w:val="004B107C"/>
    <w:rsid w:val="004B3ABD"/>
    <w:rsid w:val="004B4ADC"/>
    <w:rsid w:val="004B57A8"/>
    <w:rsid w:val="004B5F1A"/>
    <w:rsid w:val="004B75D5"/>
    <w:rsid w:val="004C109E"/>
    <w:rsid w:val="004C1223"/>
    <w:rsid w:val="004C24EB"/>
    <w:rsid w:val="004C2896"/>
    <w:rsid w:val="004C2942"/>
    <w:rsid w:val="004C2DEE"/>
    <w:rsid w:val="004C393C"/>
    <w:rsid w:val="004C414D"/>
    <w:rsid w:val="004C42A3"/>
    <w:rsid w:val="004C5043"/>
    <w:rsid w:val="004C5148"/>
    <w:rsid w:val="004C569C"/>
    <w:rsid w:val="004C5E47"/>
    <w:rsid w:val="004C6073"/>
    <w:rsid w:val="004C6147"/>
    <w:rsid w:val="004C6D57"/>
    <w:rsid w:val="004C6FC7"/>
    <w:rsid w:val="004C7273"/>
    <w:rsid w:val="004C7D52"/>
    <w:rsid w:val="004C7E9A"/>
    <w:rsid w:val="004D12B5"/>
    <w:rsid w:val="004D253A"/>
    <w:rsid w:val="004D2A3D"/>
    <w:rsid w:val="004D2E1C"/>
    <w:rsid w:val="004D316E"/>
    <w:rsid w:val="004D3431"/>
    <w:rsid w:val="004D38C3"/>
    <w:rsid w:val="004D4457"/>
    <w:rsid w:val="004D4997"/>
    <w:rsid w:val="004D4EDE"/>
    <w:rsid w:val="004D57A9"/>
    <w:rsid w:val="004D5859"/>
    <w:rsid w:val="004D5EF5"/>
    <w:rsid w:val="004D6167"/>
    <w:rsid w:val="004D695E"/>
    <w:rsid w:val="004D6FDC"/>
    <w:rsid w:val="004D790F"/>
    <w:rsid w:val="004D7CE4"/>
    <w:rsid w:val="004D7DAC"/>
    <w:rsid w:val="004E0B57"/>
    <w:rsid w:val="004E10F0"/>
    <w:rsid w:val="004E185C"/>
    <w:rsid w:val="004E1CC4"/>
    <w:rsid w:val="004E26AC"/>
    <w:rsid w:val="004E2C4E"/>
    <w:rsid w:val="004E3050"/>
    <w:rsid w:val="004E5823"/>
    <w:rsid w:val="004E5F4F"/>
    <w:rsid w:val="004E63A2"/>
    <w:rsid w:val="004E646E"/>
    <w:rsid w:val="004E778B"/>
    <w:rsid w:val="004F092C"/>
    <w:rsid w:val="004F0F70"/>
    <w:rsid w:val="004F1295"/>
    <w:rsid w:val="004F13CE"/>
    <w:rsid w:val="004F153B"/>
    <w:rsid w:val="004F2BDA"/>
    <w:rsid w:val="004F307F"/>
    <w:rsid w:val="004F30EB"/>
    <w:rsid w:val="004F518E"/>
    <w:rsid w:val="004F5846"/>
    <w:rsid w:val="004F687E"/>
    <w:rsid w:val="004F6965"/>
    <w:rsid w:val="004F6BFE"/>
    <w:rsid w:val="004F6DA0"/>
    <w:rsid w:val="004F73B4"/>
    <w:rsid w:val="004F7CF4"/>
    <w:rsid w:val="00500480"/>
    <w:rsid w:val="005007E0"/>
    <w:rsid w:val="005008B2"/>
    <w:rsid w:val="0050117C"/>
    <w:rsid w:val="00501FA8"/>
    <w:rsid w:val="00502117"/>
    <w:rsid w:val="0050290F"/>
    <w:rsid w:val="00502FF5"/>
    <w:rsid w:val="0050351A"/>
    <w:rsid w:val="005037A2"/>
    <w:rsid w:val="00505EB3"/>
    <w:rsid w:val="005075B4"/>
    <w:rsid w:val="00507885"/>
    <w:rsid w:val="00507CBD"/>
    <w:rsid w:val="00510307"/>
    <w:rsid w:val="00510EBF"/>
    <w:rsid w:val="005116FD"/>
    <w:rsid w:val="00512639"/>
    <w:rsid w:val="005131AC"/>
    <w:rsid w:val="0051470F"/>
    <w:rsid w:val="00514960"/>
    <w:rsid w:val="00515C23"/>
    <w:rsid w:val="005162AC"/>
    <w:rsid w:val="00520825"/>
    <w:rsid w:val="00520F0A"/>
    <w:rsid w:val="00520FCA"/>
    <w:rsid w:val="00521B52"/>
    <w:rsid w:val="00522351"/>
    <w:rsid w:val="005228D7"/>
    <w:rsid w:val="0052315A"/>
    <w:rsid w:val="00523A1B"/>
    <w:rsid w:val="00523A38"/>
    <w:rsid w:val="00524A29"/>
    <w:rsid w:val="00524A8E"/>
    <w:rsid w:val="0052538C"/>
    <w:rsid w:val="00525D15"/>
    <w:rsid w:val="00525EBC"/>
    <w:rsid w:val="00525EDA"/>
    <w:rsid w:val="00525F22"/>
    <w:rsid w:val="00527134"/>
    <w:rsid w:val="005275C4"/>
    <w:rsid w:val="00530B11"/>
    <w:rsid w:val="00530D93"/>
    <w:rsid w:val="00530FBA"/>
    <w:rsid w:val="00531E9F"/>
    <w:rsid w:val="005322F5"/>
    <w:rsid w:val="00532607"/>
    <w:rsid w:val="00533ECD"/>
    <w:rsid w:val="005343B5"/>
    <w:rsid w:val="00535626"/>
    <w:rsid w:val="0053588B"/>
    <w:rsid w:val="00536AFC"/>
    <w:rsid w:val="00536F62"/>
    <w:rsid w:val="0053713E"/>
    <w:rsid w:val="00537577"/>
    <w:rsid w:val="00537D0A"/>
    <w:rsid w:val="005402C9"/>
    <w:rsid w:val="00540332"/>
    <w:rsid w:val="0054069E"/>
    <w:rsid w:val="00540919"/>
    <w:rsid w:val="00541724"/>
    <w:rsid w:val="00541B3C"/>
    <w:rsid w:val="005434CB"/>
    <w:rsid w:val="005437DE"/>
    <w:rsid w:val="00544257"/>
    <w:rsid w:val="005445C5"/>
    <w:rsid w:val="00545B7E"/>
    <w:rsid w:val="005466DF"/>
    <w:rsid w:val="00546840"/>
    <w:rsid w:val="005478CF"/>
    <w:rsid w:val="00547F6C"/>
    <w:rsid w:val="00550EFC"/>
    <w:rsid w:val="00551917"/>
    <w:rsid w:val="00551AF3"/>
    <w:rsid w:val="00551DE8"/>
    <w:rsid w:val="00552CBE"/>
    <w:rsid w:val="00553329"/>
    <w:rsid w:val="00553DDE"/>
    <w:rsid w:val="00554E3B"/>
    <w:rsid w:val="0055607A"/>
    <w:rsid w:val="00556343"/>
    <w:rsid w:val="00557A2E"/>
    <w:rsid w:val="00561A84"/>
    <w:rsid w:val="0056312F"/>
    <w:rsid w:val="0056365D"/>
    <w:rsid w:val="00563BD9"/>
    <w:rsid w:val="005648DC"/>
    <w:rsid w:val="00565DBD"/>
    <w:rsid w:val="00565E15"/>
    <w:rsid w:val="00565F15"/>
    <w:rsid w:val="0056608D"/>
    <w:rsid w:val="00566179"/>
    <w:rsid w:val="00566A07"/>
    <w:rsid w:val="00567F8F"/>
    <w:rsid w:val="00570A2E"/>
    <w:rsid w:val="005710A3"/>
    <w:rsid w:val="005711F2"/>
    <w:rsid w:val="00571EF0"/>
    <w:rsid w:val="00572524"/>
    <w:rsid w:val="005727C3"/>
    <w:rsid w:val="00572BE7"/>
    <w:rsid w:val="00572DC0"/>
    <w:rsid w:val="00572DEB"/>
    <w:rsid w:val="00572FCD"/>
    <w:rsid w:val="00573839"/>
    <w:rsid w:val="005747C0"/>
    <w:rsid w:val="00574D6A"/>
    <w:rsid w:val="00577CE3"/>
    <w:rsid w:val="005807A5"/>
    <w:rsid w:val="00580E56"/>
    <w:rsid w:val="005829DF"/>
    <w:rsid w:val="00582AC1"/>
    <w:rsid w:val="00582D6F"/>
    <w:rsid w:val="0058347A"/>
    <w:rsid w:val="00583867"/>
    <w:rsid w:val="00583A29"/>
    <w:rsid w:val="00584199"/>
    <w:rsid w:val="00584C65"/>
    <w:rsid w:val="00585494"/>
    <w:rsid w:val="0058578F"/>
    <w:rsid w:val="005858C6"/>
    <w:rsid w:val="00586453"/>
    <w:rsid w:val="00586D8D"/>
    <w:rsid w:val="00586DDE"/>
    <w:rsid w:val="005874AF"/>
    <w:rsid w:val="005907B7"/>
    <w:rsid w:val="005911E5"/>
    <w:rsid w:val="005918F9"/>
    <w:rsid w:val="00592445"/>
    <w:rsid w:val="00592DCD"/>
    <w:rsid w:val="00594300"/>
    <w:rsid w:val="00594412"/>
    <w:rsid w:val="005945FB"/>
    <w:rsid w:val="00594DAC"/>
    <w:rsid w:val="00595C91"/>
    <w:rsid w:val="00596B96"/>
    <w:rsid w:val="00596D8E"/>
    <w:rsid w:val="005975D0"/>
    <w:rsid w:val="00597B85"/>
    <w:rsid w:val="00597CA5"/>
    <w:rsid w:val="005A0B99"/>
    <w:rsid w:val="005A0CAC"/>
    <w:rsid w:val="005A141D"/>
    <w:rsid w:val="005A2AF7"/>
    <w:rsid w:val="005A3857"/>
    <w:rsid w:val="005A3DAD"/>
    <w:rsid w:val="005A6234"/>
    <w:rsid w:val="005A62D9"/>
    <w:rsid w:val="005A692F"/>
    <w:rsid w:val="005B0065"/>
    <w:rsid w:val="005B04C3"/>
    <w:rsid w:val="005B0D54"/>
    <w:rsid w:val="005B155F"/>
    <w:rsid w:val="005B206F"/>
    <w:rsid w:val="005B2548"/>
    <w:rsid w:val="005B3AB8"/>
    <w:rsid w:val="005B42E8"/>
    <w:rsid w:val="005B46C6"/>
    <w:rsid w:val="005B4B64"/>
    <w:rsid w:val="005B4F3A"/>
    <w:rsid w:val="005B5CC4"/>
    <w:rsid w:val="005B61DF"/>
    <w:rsid w:val="005B64D2"/>
    <w:rsid w:val="005B6CB6"/>
    <w:rsid w:val="005B72D4"/>
    <w:rsid w:val="005B7557"/>
    <w:rsid w:val="005C01F7"/>
    <w:rsid w:val="005C0FCF"/>
    <w:rsid w:val="005C14FA"/>
    <w:rsid w:val="005C181D"/>
    <w:rsid w:val="005C2986"/>
    <w:rsid w:val="005C2B74"/>
    <w:rsid w:val="005C4AB0"/>
    <w:rsid w:val="005C5C96"/>
    <w:rsid w:val="005C5F7D"/>
    <w:rsid w:val="005C6575"/>
    <w:rsid w:val="005C7532"/>
    <w:rsid w:val="005C7893"/>
    <w:rsid w:val="005C7D5B"/>
    <w:rsid w:val="005D0353"/>
    <w:rsid w:val="005D14AB"/>
    <w:rsid w:val="005D1EB8"/>
    <w:rsid w:val="005D2929"/>
    <w:rsid w:val="005D35C0"/>
    <w:rsid w:val="005D3E1A"/>
    <w:rsid w:val="005D404A"/>
    <w:rsid w:val="005D40BA"/>
    <w:rsid w:val="005D4EF2"/>
    <w:rsid w:val="005D54A1"/>
    <w:rsid w:val="005D55B2"/>
    <w:rsid w:val="005D5D13"/>
    <w:rsid w:val="005D68F4"/>
    <w:rsid w:val="005D6FD4"/>
    <w:rsid w:val="005D73BA"/>
    <w:rsid w:val="005D7885"/>
    <w:rsid w:val="005E0E00"/>
    <w:rsid w:val="005E0F43"/>
    <w:rsid w:val="005E110A"/>
    <w:rsid w:val="005E2333"/>
    <w:rsid w:val="005E25FC"/>
    <w:rsid w:val="005E2ECA"/>
    <w:rsid w:val="005E3150"/>
    <w:rsid w:val="005E3F67"/>
    <w:rsid w:val="005E40EA"/>
    <w:rsid w:val="005E4410"/>
    <w:rsid w:val="005E44B0"/>
    <w:rsid w:val="005E48CB"/>
    <w:rsid w:val="005E4D05"/>
    <w:rsid w:val="005E4D67"/>
    <w:rsid w:val="005E71A6"/>
    <w:rsid w:val="005E7317"/>
    <w:rsid w:val="005F06C2"/>
    <w:rsid w:val="005F0880"/>
    <w:rsid w:val="005F0BCD"/>
    <w:rsid w:val="005F1238"/>
    <w:rsid w:val="005F259E"/>
    <w:rsid w:val="005F379B"/>
    <w:rsid w:val="005F3BAE"/>
    <w:rsid w:val="005F41DC"/>
    <w:rsid w:val="005F4521"/>
    <w:rsid w:val="005F473C"/>
    <w:rsid w:val="005F4986"/>
    <w:rsid w:val="005F5789"/>
    <w:rsid w:val="005F5C11"/>
    <w:rsid w:val="005F5FFF"/>
    <w:rsid w:val="005F6EAB"/>
    <w:rsid w:val="005F6F1D"/>
    <w:rsid w:val="0060009E"/>
    <w:rsid w:val="00600512"/>
    <w:rsid w:val="00601144"/>
    <w:rsid w:val="00601299"/>
    <w:rsid w:val="0060149F"/>
    <w:rsid w:val="00601AF5"/>
    <w:rsid w:val="00603034"/>
    <w:rsid w:val="00603625"/>
    <w:rsid w:val="0060371E"/>
    <w:rsid w:val="006038C7"/>
    <w:rsid w:val="006039D0"/>
    <w:rsid w:val="006042CB"/>
    <w:rsid w:val="006042E7"/>
    <w:rsid w:val="00605334"/>
    <w:rsid w:val="00606010"/>
    <w:rsid w:val="00606029"/>
    <w:rsid w:val="00606304"/>
    <w:rsid w:val="00606891"/>
    <w:rsid w:val="0060753B"/>
    <w:rsid w:val="00610810"/>
    <w:rsid w:val="00610BF9"/>
    <w:rsid w:val="006111F6"/>
    <w:rsid w:val="00612A5F"/>
    <w:rsid w:val="00612FC4"/>
    <w:rsid w:val="00613664"/>
    <w:rsid w:val="00613B8C"/>
    <w:rsid w:val="00614C06"/>
    <w:rsid w:val="00614D68"/>
    <w:rsid w:val="00616765"/>
    <w:rsid w:val="00617C9C"/>
    <w:rsid w:val="006206FF"/>
    <w:rsid w:val="00620CC8"/>
    <w:rsid w:val="00621037"/>
    <w:rsid w:val="00621240"/>
    <w:rsid w:val="00621251"/>
    <w:rsid w:val="006216C8"/>
    <w:rsid w:val="00622042"/>
    <w:rsid w:val="00622686"/>
    <w:rsid w:val="00622A9F"/>
    <w:rsid w:val="00623A4F"/>
    <w:rsid w:val="006249CF"/>
    <w:rsid w:val="00626EDE"/>
    <w:rsid w:val="00627BF5"/>
    <w:rsid w:val="00630A91"/>
    <w:rsid w:val="00630B15"/>
    <w:rsid w:val="00630B9E"/>
    <w:rsid w:val="00631365"/>
    <w:rsid w:val="00631381"/>
    <w:rsid w:val="0063146E"/>
    <w:rsid w:val="00632330"/>
    <w:rsid w:val="00632938"/>
    <w:rsid w:val="00633877"/>
    <w:rsid w:val="006338FC"/>
    <w:rsid w:val="00633F5A"/>
    <w:rsid w:val="00634543"/>
    <w:rsid w:val="006345DE"/>
    <w:rsid w:val="00635B6B"/>
    <w:rsid w:val="00635FB7"/>
    <w:rsid w:val="0063665E"/>
    <w:rsid w:val="00637777"/>
    <w:rsid w:val="0064067B"/>
    <w:rsid w:val="00640F0A"/>
    <w:rsid w:val="00641DB3"/>
    <w:rsid w:val="0064478D"/>
    <w:rsid w:val="006455F2"/>
    <w:rsid w:val="006458D6"/>
    <w:rsid w:val="006466AA"/>
    <w:rsid w:val="00646DA6"/>
    <w:rsid w:val="00646F67"/>
    <w:rsid w:val="00647CA4"/>
    <w:rsid w:val="00650AA8"/>
    <w:rsid w:val="00650F8E"/>
    <w:rsid w:val="0065185F"/>
    <w:rsid w:val="006518E3"/>
    <w:rsid w:val="00651E71"/>
    <w:rsid w:val="00651FE9"/>
    <w:rsid w:val="00653631"/>
    <w:rsid w:val="0065383D"/>
    <w:rsid w:val="00653E5B"/>
    <w:rsid w:val="0065463D"/>
    <w:rsid w:val="0065539D"/>
    <w:rsid w:val="006558BB"/>
    <w:rsid w:val="00656932"/>
    <w:rsid w:val="0065722B"/>
    <w:rsid w:val="00657842"/>
    <w:rsid w:val="00660D0A"/>
    <w:rsid w:val="00661115"/>
    <w:rsid w:val="00661300"/>
    <w:rsid w:val="00662BEF"/>
    <w:rsid w:val="00662D56"/>
    <w:rsid w:val="00663979"/>
    <w:rsid w:val="00663A13"/>
    <w:rsid w:val="006648F4"/>
    <w:rsid w:val="006651B3"/>
    <w:rsid w:val="006651E3"/>
    <w:rsid w:val="00665282"/>
    <w:rsid w:val="00665B0D"/>
    <w:rsid w:val="00665EC7"/>
    <w:rsid w:val="006670FB"/>
    <w:rsid w:val="006673FE"/>
    <w:rsid w:val="0066797E"/>
    <w:rsid w:val="00667B76"/>
    <w:rsid w:val="00671AFB"/>
    <w:rsid w:val="00671C5C"/>
    <w:rsid w:val="00671DA7"/>
    <w:rsid w:val="00671F5B"/>
    <w:rsid w:val="00672953"/>
    <w:rsid w:val="00674258"/>
    <w:rsid w:val="00674860"/>
    <w:rsid w:val="006748C7"/>
    <w:rsid w:val="00674A69"/>
    <w:rsid w:val="00674C44"/>
    <w:rsid w:val="0067513E"/>
    <w:rsid w:val="00675BB6"/>
    <w:rsid w:val="00676338"/>
    <w:rsid w:val="00680046"/>
    <w:rsid w:val="00680070"/>
    <w:rsid w:val="00680F40"/>
    <w:rsid w:val="00682077"/>
    <w:rsid w:val="00682266"/>
    <w:rsid w:val="00683B48"/>
    <w:rsid w:val="00685653"/>
    <w:rsid w:val="00686781"/>
    <w:rsid w:val="006872D6"/>
    <w:rsid w:val="00690061"/>
    <w:rsid w:val="0069165A"/>
    <w:rsid w:val="00691B44"/>
    <w:rsid w:val="00691EA9"/>
    <w:rsid w:val="0069265D"/>
    <w:rsid w:val="0069316E"/>
    <w:rsid w:val="00693FAC"/>
    <w:rsid w:val="00694050"/>
    <w:rsid w:val="00694231"/>
    <w:rsid w:val="0069469E"/>
    <w:rsid w:val="00694E35"/>
    <w:rsid w:val="006953D3"/>
    <w:rsid w:val="006957A7"/>
    <w:rsid w:val="00695AE3"/>
    <w:rsid w:val="00695F67"/>
    <w:rsid w:val="00696055"/>
    <w:rsid w:val="00697882"/>
    <w:rsid w:val="006A0032"/>
    <w:rsid w:val="006A0F3F"/>
    <w:rsid w:val="006A1A63"/>
    <w:rsid w:val="006A1F33"/>
    <w:rsid w:val="006A2793"/>
    <w:rsid w:val="006A2B59"/>
    <w:rsid w:val="006A2D10"/>
    <w:rsid w:val="006A3198"/>
    <w:rsid w:val="006A349D"/>
    <w:rsid w:val="006A444A"/>
    <w:rsid w:val="006A4DCF"/>
    <w:rsid w:val="006A502A"/>
    <w:rsid w:val="006A52F1"/>
    <w:rsid w:val="006A5B9B"/>
    <w:rsid w:val="006A5DD7"/>
    <w:rsid w:val="006A6655"/>
    <w:rsid w:val="006B0176"/>
    <w:rsid w:val="006B052D"/>
    <w:rsid w:val="006B06F5"/>
    <w:rsid w:val="006B1CDE"/>
    <w:rsid w:val="006B1D54"/>
    <w:rsid w:val="006B21ED"/>
    <w:rsid w:val="006B3151"/>
    <w:rsid w:val="006B361F"/>
    <w:rsid w:val="006B37CF"/>
    <w:rsid w:val="006B39C8"/>
    <w:rsid w:val="006B4224"/>
    <w:rsid w:val="006B4764"/>
    <w:rsid w:val="006B5C31"/>
    <w:rsid w:val="006B67DB"/>
    <w:rsid w:val="006B7291"/>
    <w:rsid w:val="006B7933"/>
    <w:rsid w:val="006C11C1"/>
    <w:rsid w:val="006C123C"/>
    <w:rsid w:val="006C192B"/>
    <w:rsid w:val="006C2094"/>
    <w:rsid w:val="006C2C80"/>
    <w:rsid w:val="006C37A1"/>
    <w:rsid w:val="006C37F1"/>
    <w:rsid w:val="006C3E25"/>
    <w:rsid w:val="006C4051"/>
    <w:rsid w:val="006C4C70"/>
    <w:rsid w:val="006C5910"/>
    <w:rsid w:val="006C6CC5"/>
    <w:rsid w:val="006C73C1"/>
    <w:rsid w:val="006C7B6B"/>
    <w:rsid w:val="006C7C5A"/>
    <w:rsid w:val="006D03E6"/>
    <w:rsid w:val="006D12D7"/>
    <w:rsid w:val="006D162E"/>
    <w:rsid w:val="006D1835"/>
    <w:rsid w:val="006D2034"/>
    <w:rsid w:val="006D24A1"/>
    <w:rsid w:val="006D2AAE"/>
    <w:rsid w:val="006D2BCD"/>
    <w:rsid w:val="006D374C"/>
    <w:rsid w:val="006D3AD7"/>
    <w:rsid w:val="006D4801"/>
    <w:rsid w:val="006D5A0E"/>
    <w:rsid w:val="006D5FB3"/>
    <w:rsid w:val="006D73BB"/>
    <w:rsid w:val="006D747E"/>
    <w:rsid w:val="006D7822"/>
    <w:rsid w:val="006E07EC"/>
    <w:rsid w:val="006E0A44"/>
    <w:rsid w:val="006E14B3"/>
    <w:rsid w:val="006E2FEF"/>
    <w:rsid w:val="006E356A"/>
    <w:rsid w:val="006E497F"/>
    <w:rsid w:val="006E4F98"/>
    <w:rsid w:val="006E58EF"/>
    <w:rsid w:val="006E5993"/>
    <w:rsid w:val="006E5C14"/>
    <w:rsid w:val="006E5F7C"/>
    <w:rsid w:val="006E6008"/>
    <w:rsid w:val="006E6715"/>
    <w:rsid w:val="006E6903"/>
    <w:rsid w:val="006E6E3F"/>
    <w:rsid w:val="006E7215"/>
    <w:rsid w:val="006E74A8"/>
    <w:rsid w:val="006E7745"/>
    <w:rsid w:val="006E77A6"/>
    <w:rsid w:val="006F09FE"/>
    <w:rsid w:val="006F112C"/>
    <w:rsid w:val="006F1A7A"/>
    <w:rsid w:val="006F1CCB"/>
    <w:rsid w:val="006F2136"/>
    <w:rsid w:val="006F25FC"/>
    <w:rsid w:val="006F392D"/>
    <w:rsid w:val="006F41BA"/>
    <w:rsid w:val="006F502B"/>
    <w:rsid w:val="006F539F"/>
    <w:rsid w:val="006F61C0"/>
    <w:rsid w:val="006F7C1D"/>
    <w:rsid w:val="006F7CC0"/>
    <w:rsid w:val="00701C21"/>
    <w:rsid w:val="00703733"/>
    <w:rsid w:val="007044BB"/>
    <w:rsid w:val="00704A41"/>
    <w:rsid w:val="00705020"/>
    <w:rsid w:val="0070574D"/>
    <w:rsid w:val="00707CFA"/>
    <w:rsid w:val="00712A60"/>
    <w:rsid w:val="00712D60"/>
    <w:rsid w:val="00713027"/>
    <w:rsid w:val="007131B3"/>
    <w:rsid w:val="0071436D"/>
    <w:rsid w:val="00714F2D"/>
    <w:rsid w:val="0071517D"/>
    <w:rsid w:val="0071542C"/>
    <w:rsid w:val="00716430"/>
    <w:rsid w:val="00716808"/>
    <w:rsid w:val="00716D6A"/>
    <w:rsid w:val="00717FFD"/>
    <w:rsid w:val="00720D6F"/>
    <w:rsid w:val="00721E3E"/>
    <w:rsid w:val="00722BE8"/>
    <w:rsid w:val="007231F1"/>
    <w:rsid w:val="00723A0D"/>
    <w:rsid w:val="00724D78"/>
    <w:rsid w:val="00725668"/>
    <w:rsid w:val="00727317"/>
    <w:rsid w:val="00727CE8"/>
    <w:rsid w:val="007306FD"/>
    <w:rsid w:val="00731F70"/>
    <w:rsid w:val="00732037"/>
    <w:rsid w:val="00733022"/>
    <w:rsid w:val="00733B71"/>
    <w:rsid w:val="00734368"/>
    <w:rsid w:val="007352EF"/>
    <w:rsid w:val="007357ED"/>
    <w:rsid w:val="00735C81"/>
    <w:rsid w:val="0073608F"/>
    <w:rsid w:val="00736345"/>
    <w:rsid w:val="007368E6"/>
    <w:rsid w:val="007372AA"/>
    <w:rsid w:val="00737BB1"/>
    <w:rsid w:val="00737C94"/>
    <w:rsid w:val="00741212"/>
    <w:rsid w:val="00742297"/>
    <w:rsid w:val="007425AA"/>
    <w:rsid w:val="00743646"/>
    <w:rsid w:val="00745504"/>
    <w:rsid w:val="0074571F"/>
    <w:rsid w:val="0074572A"/>
    <w:rsid w:val="007463AD"/>
    <w:rsid w:val="00746E55"/>
    <w:rsid w:val="00747AC9"/>
    <w:rsid w:val="00752837"/>
    <w:rsid w:val="007539C5"/>
    <w:rsid w:val="00754DA8"/>
    <w:rsid w:val="00756F13"/>
    <w:rsid w:val="007575BB"/>
    <w:rsid w:val="0076022B"/>
    <w:rsid w:val="007602AA"/>
    <w:rsid w:val="00760478"/>
    <w:rsid w:val="0076109C"/>
    <w:rsid w:val="00761AD6"/>
    <w:rsid w:val="00761DE0"/>
    <w:rsid w:val="00762600"/>
    <w:rsid w:val="0076261B"/>
    <w:rsid w:val="00762A32"/>
    <w:rsid w:val="00762F9D"/>
    <w:rsid w:val="00764093"/>
    <w:rsid w:val="007643E5"/>
    <w:rsid w:val="00764A48"/>
    <w:rsid w:val="00764DBA"/>
    <w:rsid w:val="007650B4"/>
    <w:rsid w:val="007651BD"/>
    <w:rsid w:val="007659FD"/>
    <w:rsid w:val="00765A76"/>
    <w:rsid w:val="00765F30"/>
    <w:rsid w:val="00766942"/>
    <w:rsid w:val="0076749B"/>
    <w:rsid w:val="00770C7B"/>
    <w:rsid w:val="00771554"/>
    <w:rsid w:val="00771A0E"/>
    <w:rsid w:val="00771A53"/>
    <w:rsid w:val="007729E5"/>
    <w:rsid w:val="00772BE7"/>
    <w:rsid w:val="007739A3"/>
    <w:rsid w:val="007748BB"/>
    <w:rsid w:val="00774B65"/>
    <w:rsid w:val="00774BD7"/>
    <w:rsid w:val="00775276"/>
    <w:rsid w:val="007754BB"/>
    <w:rsid w:val="007764C9"/>
    <w:rsid w:val="00776652"/>
    <w:rsid w:val="0077692A"/>
    <w:rsid w:val="00776FE1"/>
    <w:rsid w:val="0077767C"/>
    <w:rsid w:val="0077781A"/>
    <w:rsid w:val="007779DE"/>
    <w:rsid w:val="00777CB8"/>
    <w:rsid w:val="00780052"/>
    <w:rsid w:val="007808B6"/>
    <w:rsid w:val="00780E5D"/>
    <w:rsid w:val="00781542"/>
    <w:rsid w:val="0078190D"/>
    <w:rsid w:val="00782AFF"/>
    <w:rsid w:val="00783273"/>
    <w:rsid w:val="007833ED"/>
    <w:rsid w:val="00784424"/>
    <w:rsid w:val="007848A5"/>
    <w:rsid w:val="00784E19"/>
    <w:rsid w:val="00785209"/>
    <w:rsid w:val="00785962"/>
    <w:rsid w:val="0078659A"/>
    <w:rsid w:val="00786C6B"/>
    <w:rsid w:val="00786C7C"/>
    <w:rsid w:val="007905EF"/>
    <w:rsid w:val="00790AB6"/>
    <w:rsid w:val="00790DB2"/>
    <w:rsid w:val="00790EB5"/>
    <w:rsid w:val="00790F77"/>
    <w:rsid w:val="007912E0"/>
    <w:rsid w:val="00791316"/>
    <w:rsid w:val="00792718"/>
    <w:rsid w:val="00792B62"/>
    <w:rsid w:val="007930B5"/>
    <w:rsid w:val="0079354C"/>
    <w:rsid w:val="007935B8"/>
    <w:rsid w:val="00793C02"/>
    <w:rsid w:val="00794492"/>
    <w:rsid w:val="007945C1"/>
    <w:rsid w:val="007947D1"/>
    <w:rsid w:val="007950E0"/>
    <w:rsid w:val="00795B61"/>
    <w:rsid w:val="00795E6B"/>
    <w:rsid w:val="0079619E"/>
    <w:rsid w:val="007961FA"/>
    <w:rsid w:val="0079653D"/>
    <w:rsid w:val="00796A4D"/>
    <w:rsid w:val="00796A8B"/>
    <w:rsid w:val="00796E89"/>
    <w:rsid w:val="007970D3"/>
    <w:rsid w:val="007978BB"/>
    <w:rsid w:val="007A0867"/>
    <w:rsid w:val="007A185F"/>
    <w:rsid w:val="007A3BD1"/>
    <w:rsid w:val="007A4D33"/>
    <w:rsid w:val="007A4EA2"/>
    <w:rsid w:val="007A5B75"/>
    <w:rsid w:val="007A62F6"/>
    <w:rsid w:val="007A6E90"/>
    <w:rsid w:val="007A752D"/>
    <w:rsid w:val="007B03D6"/>
    <w:rsid w:val="007B1C0C"/>
    <w:rsid w:val="007B1D25"/>
    <w:rsid w:val="007B2BB3"/>
    <w:rsid w:val="007B4702"/>
    <w:rsid w:val="007B4A0A"/>
    <w:rsid w:val="007B52FB"/>
    <w:rsid w:val="007B6091"/>
    <w:rsid w:val="007B610A"/>
    <w:rsid w:val="007B6F16"/>
    <w:rsid w:val="007B7222"/>
    <w:rsid w:val="007B7428"/>
    <w:rsid w:val="007B7A6B"/>
    <w:rsid w:val="007C0AD3"/>
    <w:rsid w:val="007C1C4A"/>
    <w:rsid w:val="007C23E0"/>
    <w:rsid w:val="007C23F5"/>
    <w:rsid w:val="007C2661"/>
    <w:rsid w:val="007C3466"/>
    <w:rsid w:val="007C3F40"/>
    <w:rsid w:val="007C5508"/>
    <w:rsid w:val="007C6B64"/>
    <w:rsid w:val="007D0210"/>
    <w:rsid w:val="007D0EA0"/>
    <w:rsid w:val="007D1BAA"/>
    <w:rsid w:val="007D3658"/>
    <w:rsid w:val="007D396D"/>
    <w:rsid w:val="007D4EFD"/>
    <w:rsid w:val="007D657A"/>
    <w:rsid w:val="007D66C5"/>
    <w:rsid w:val="007D6EBD"/>
    <w:rsid w:val="007D75D4"/>
    <w:rsid w:val="007E079D"/>
    <w:rsid w:val="007E10C0"/>
    <w:rsid w:val="007E2892"/>
    <w:rsid w:val="007E352B"/>
    <w:rsid w:val="007E3CAD"/>
    <w:rsid w:val="007E4AA5"/>
    <w:rsid w:val="007E562C"/>
    <w:rsid w:val="007E59E0"/>
    <w:rsid w:val="007E5A6D"/>
    <w:rsid w:val="007E6189"/>
    <w:rsid w:val="007E74F3"/>
    <w:rsid w:val="007E7ED1"/>
    <w:rsid w:val="007E7F55"/>
    <w:rsid w:val="007F0443"/>
    <w:rsid w:val="007F0776"/>
    <w:rsid w:val="007F0EDA"/>
    <w:rsid w:val="007F1326"/>
    <w:rsid w:val="007F1C6D"/>
    <w:rsid w:val="007F1D93"/>
    <w:rsid w:val="007F4A75"/>
    <w:rsid w:val="007F4E1D"/>
    <w:rsid w:val="007F4E87"/>
    <w:rsid w:val="007F519A"/>
    <w:rsid w:val="007F57A0"/>
    <w:rsid w:val="007F61A7"/>
    <w:rsid w:val="007F6C30"/>
    <w:rsid w:val="007F7648"/>
    <w:rsid w:val="007F765E"/>
    <w:rsid w:val="00800599"/>
    <w:rsid w:val="008012D0"/>
    <w:rsid w:val="0080188B"/>
    <w:rsid w:val="008037EA"/>
    <w:rsid w:val="00806630"/>
    <w:rsid w:val="00807B28"/>
    <w:rsid w:val="00807D7E"/>
    <w:rsid w:val="008105AA"/>
    <w:rsid w:val="00810A58"/>
    <w:rsid w:val="00810C0B"/>
    <w:rsid w:val="00810D1B"/>
    <w:rsid w:val="0081107D"/>
    <w:rsid w:val="0081120B"/>
    <w:rsid w:val="008115E6"/>
    <w:rsid w:val="00811892"/>
    <w:rsid w:val="008119AC"/>
    <w:rsid w:val="00812182"/>
    <w:rsid w:val="00812EF1"/>
    <w:rsid w:val="008130B3"/>
    <w:rsid w:val="00813174"/>
    <w:rsid w:val="008132DA"/>
    <w:rsid w:val="008155F1"/>
    <w:rsid w:val="0081576E"/>
    <w:rsid w:val="008158B6"/>
    <w:rsid w:val="00816B4F"/>
    <w:rsid w:val="008205D7"/>
    <w:rsid w:val="0082148E"/>
    <w:rsid w:val="00822060"/>
    <w:rsid w:val="008220C1"/>
    <w:rsid w:val="00823C04"/>
    <w:rsid w:val="00823ED9"/>
    <w:rsid w:val="00824108"/>
    <w:rsid w:val="00824791"/>
    <w:rsid w:val="0082519A"/>
    <w:rsid w:val="00825BE3"/>
    <w:rsid w:val="00826B2F"/>
    <w:rsid w:val="00826B9E"/>
    <w:rsid w:val="00827F25"/>
    <w:rsid w:val="0083072A"/>
    <w:rsid w:val="00832A15"/>
    <w:rsid w:val="00832A6D"/>
    <w:rsid w:val="00832EA5"/>
    <w:rsid w:val="00834B9C"/>
    <w:rsid w:val="00835515"/>
    <w:rsid w:val="00835CB4"/>
    <w:rsid w:val="0083640D"/>
    <w:rsid w:val="008372FF"/>
    <w:rsid w:val="00837BDC"/>
    <w:rsid w:val="00837BF2"/>
    <w:rsid w:val="00840026"/>
    <w:rsid w:val="008401A3"/>
    <w:rsid w:val="00841BF6"/>
    <w:rsid w:val="00841C0C"/>
    <w:rsid w:val="00842041"/>
    <w:rsid w:val="00842D3B"/>
    <w:rsid w:val="00843859"/>
    <w:rsid w:val="0084462D"/>
    <w:rsid w:val="00844CC8"/>
    <w:rsid w:val="0084511C"/>
    <w:rsid w:val="0084549D"/>
    <w:rsid w:val="00846008"/>
    <w:rsid w:val="008461DC"/>
    <w:rsid w:val="008470AD"/>
    <w:rsid w:val="008470B1"/>
    <w:rsid w:val="00847499"/>
    <w:rsid w:val="00847DA9"/>
    <w:rsid w:val="008507DD"/>
    <w:rsid w:val="00850AE0"/>
    <w:rsid w:val="0085122B"/>
    <w:rsid w:val="008524E9"/>
    <w:rsid w:val="00852D64"/>
    <w:rsid w:val="0085397A"/>
    <w:rsid w:val="00853C46"/>
    <w:rsid w:val="00853ECE"/>
    <w:rsid w:val="00854FDF"/>
    <w:rsid w:val="0085588B"/>
    <w:rsid w:val="00855E6B"/>
    <w:rsid w:val="00855F84"/>
    <w:rsid w:val="008579F3"/>
    <w:rsid w:val="0086115B"/>
    <w:rsid w:val="00862C60"/>
    <w:rsid w:val="0086305A"/>
    <w:rsid w:val="008633DC"/>
    <w:rsid w:val="0086396D"/>
    <w:rsid w:val="00863BCD"/>
    <w:rsid w:val="00863F70"/>
    <w:rsid w:val="008645EB"/>
    <w:rsid w:val="00864B92"/>
    <w:rsid w:val="00865286"/>
    <w:rsid w:val="008656AB"/>
    <w:rsid w:val="00866CC9"/>
    <w:rsid w:val="008672D9"/>
    <w:rsid w:val="00871EF5"/>
    <w:rsid w:val="0087202B"/>
    <w:rsid w:val="00873522"/>
    <w:rsid w:val="00875F5F"/>
    <w:rsid w:val="00876344"/>
    <w:rsid w:val="00876667"/>
    <w:rsid w:val="00876839"/>
    <w:rsid w:val="00876A48"/>
    <w:rsid w:val="0087741F"/>
    <w:rsid w:val="00877A7C"/>
    <w:rsid w:val="00880063"/>
    <w:rsid w:val="0088151C"/>
    <w:rsid w:val="00881A25"/>
    <w:rsid w:val="00881DAC"/>
    <w:rsid w:val="00882752"/>
    <w:rsid w:val="0088279F"/>
    <w:rsid w:val="00882B4D"/>
    <w:rsid w:val="00883987"/>
    <w:rsid w:val="00884077"/>
    <w:rsid w:val="00884CC6"/>
    <w:rsid w:val="00885BE7"/>
    <w:rsid w:val="00886145"/>
    <w:rsid w:val="00886EDD"/>
    <w:rsid w:val="0088781B"/>
    <w:rsid w:val="00887CDE"/>
    <w:rsid w:val="008912D5"/>
    <w:rsid w:val="00892A1F"/>
    <w:rsid w:val="008930EB"/>
    <w:rsid w:val="00893784"/>
    <w:rsid w:val="00895B53"/>
    <w:rsid w:val="00895C2E"/>
    <w:rsid w:val="008963AC"/>
    <w:rsid w:val="008979F6"/>
    <w:rsid w:val="008A0FEA"/>
    <w:rsid w:val="008A13BC"/>
    <w:rsid w:val="008A22C5"/>
    <w:rsid w:val="008A2ACA"/>
    <w:rsid w:val="008A3223"/>
    <w:rsid w:val="008A445B"/>
    <w:rsid w:val="008A4645"/>
    <w:rsid w:val="008A4E4B"/>
    <w:rsid w:val="008A50F9"/>
    <w:rsid w:val="008A66DD"/>
    <w:rsid w:val="008A72AF"/>
    <w:rsid w:val="008B0567"/>
    <w:rsid w:val="008B1519"/>
    <w:rsid w:val="008B32ED"/>
    <w:rsid w:val="008B3837"/>
    <w:rsid w:val="008B3CF0"/>
    <w:rsid w:val="008B40FA"/>
    <w:rsid w:val="008B4B6C"/>
    <w:rsid w:val="008B4D2A"/>
    <w:rsid w:val="008B58A2"/>
    <w:rsid w:val="008B6318"/>
    <w:rsid w:val="008B69EB"/>
    <w:rsid w:val="008B6F4E"/>
    <w:rsid w:val="008B6F96"/>
    <w:rsid w:val="008B7071"/>
    <w:rsid w:val="008B7080"/>
    <w:rsid w:val="008B7AB7"/>
    <w:rsid w:val="008B7D66"/>
    <w:rsid w:val="008C071E"/>
    <w:rsid w:val="008C0BBE"/>
    <w:rsid w:val="008C0DA0"/>
    <w:rsid w:val="008C203E"/>
    <w:rsid w:val="008C20E1"/>
    <w:rsid w:val="008C27DD"/>
    <w:rsid w:val="008C2851"/>
    <w:rsid w:val="008C28DC"/>
    <w:rsid w:val="008C2B1A"/>
    <w:rsid w:val="008C2DE5"/>
    <w:rsid w:val="008C3E65"/>
    <w:rsid w:val="008C3F32"/>
    <w:rsid w:val="008C4916"/>
    <w:rsid w:val="008C4A0E"/>
    <w:rsid w:val="008C4A17"/>
    <w:rsid w:val="008C4D15"/>
    <w:rsid w:val="008C5FC2"/>
    <w:rsid w:val="008C6667"/>
    <w:rsid w:val="008C6DCD"/>
    <w:rsid w:val="008C71DF"/>
    <w:rsid w:val="008C7973"/>
    <w:rsid w:val="008C7B70"/>
    <w:rsid w:val="008C7F5F"/>
    <w:rsid w:val="008D0044"/>
    <w:rsid w:val="008D0286"/>
    <w:rsid w:val="008D0AC2"/>
    <w:rsid w:val="008D0B4C"/>
    <w:rsid w:val="008D1A8F"/>
    <w:rsid w:val="008D1D74"/>
    <w:rsid w:val="008D296C"/>
    <w:rsid w:val="008D38B3"/>
    <w:rsid w:val="008D5321"/>
    <w:rsid w:val="008D54F3"/>
    <w:rsid w:val="008D659D"/>
    <w:rsid w:val="008D6609"/>
    <w:rsid w:val="008D6F03"/>
    <w:rsid w:val="008D7A2B"/>
    <w:rsid w:val="008D7F4C"/>
    <w:rsid w:val="008E00D7"/>
    <w:rsid w:val="008E0223"/>
    <w:rsid w:val="008E0461"/>
    <w:rsid w:val="008E2B58"/>
    <w:rsid w:val="008E3807"/>
    <w:rsid w:val="008E39B4"/>
    <w:rsid w:val="008E3B96"/>
    <w:rsid w:val="008E424A"/>
    <w:rsid w:val="008E4CE7"/>
    <w:rsid w:val="008E5523"/>
    <w:rsid w:val="008E5A16"/>
    <w:rsid w:val="008E6F41"/>
    <w:rsid w:val="008E73A4"/>
    <w:rsid w:val="008E7C2A"/>
    <w:rsid w:val="008F0086"/>
    <w:rsid w:val="008F023E"/>
    <w:rsid w:val="008F0D04"/>
    <w:rsid w:val="008F12BA"/>
    <w:rsid w:val="008F1687"/>
    <w:rsid w:val="008F229D"/>
    <w:rsid w:val="008F2CBC"/>
    <w:rsid w:val="008F33E0"/>
    <w:rsid w:val="008F3922"/>
    <w:rsid w:val="008F39DD"/>
    <w:rsid w:val="008F4280"/>
    <w:rsid w:val="008F4359"/>
    <w:rsid w:val="008F59DE"/>
    <w:rsid w:val="008F5C8C"/>
    <w:rsid w:val="008F6894"/>
    <w:rsid w:val="008F6BFE"/>
    <w:rsid w:val="008F74F5"/>
    <w:rsid w:val="008F7AEF"/>
    <w:rsid w:val="008F7CEA"/>
    <w:rsid w:val="008F7D6C"/>
    <w:rsid w:val="00900019"/>
    <w:rsid w:val="00900823"/>
    <w:rsid w:val="009021D6"/>
    <w:rsid w:val="0090261E"/>
    <w:rsid w:val="00902B30"/>
    <w:rsid w:val="009034C9"/>
    <w:rsid w:val="009034F4"/>
    <w:rsid w:val="00903C18"/>
    <w:rsid w:val="009040AB"/>
    <w:rsid w:val="0090488D"/>
    <w:rsid w:val="00904E7D"/>
    <w:rsid w:val="009050A7"/>
    <w:rsid w:val="00905CFB"/>
    <w:rsid w:val="00906856"/>
    <w:rsid w:val="00906B6E"/>
    <w:rsid w:val="00907D57"/>
    <w:rsid w:val="00910FE9"/>
    <w:rsid w:val="009119FE"/>
    <w:rsid w:val="00912FB9"/>
    <w:rsid w:val="0091302C"/>
    <w:rsid w:val="00914632"/>
    <w:rsid w:val="0091475B"/>
    <w:rsid w:val="009147BB"/>
    <w:rsid w:val="00915A78"/>
    <w:rsid w:val="00915EFF"/>
    <w:rsid w:val="00916AC9"/>
    <w:rsid w:val="009178E9"/>
    <w:rsid w:val="00917AEF"/>
    <w:rsid w:val="009218DE"/>
    <w:rsid w:val="00921BAE"/>
    <w:rsid w:val="00922372"/>
    <w:rsid w:val="00922B22"/>
    <w:rsid w:val="00922D8D"/>
    <w:rsid w:val="0092304E"/>
    <w:rsid w:val="00923C7A"/>
    <w:rsid w:val="00924522"/>
    <w:rsid w:val="0092748D"/>
    <w:rsid w:val="00927563"/>
    <w:rsid w:val="00927599"/>
    <w:rsid w:val="00927828"/>
    <w:rsid w:val="009302D4"/>
    <w:rsid w:val="009302F1"/>
    <w:rsid w:val="009304AC"/>
    <w:rsid w:val="00931715"/>
    <w:rsid w:val="00931DD5"/>
    <w:rsid w:val="0093298F"/>
    <w:rsid w:val="00932C14"/>
    <w:rsid w:val="00933061"/>
    <w:rsid w:val="00933183"/>
    <w:rsid w:val="00933409"/>
    <w:rsid w:val="0093368D"/>
    <w:rsid w:val="009340E1"/>
    <w:rsid w:val="0093490E"/>
    <w:rsid w:val="00934BD3"/>
    <w:rsid w:val="0093558A"/>
    <w:rsid w:val="0093588E"/>
    <w:rsid w:val="00935C84"/>
    <w:rsid w:val="00935F46"/>
    <w:rsid w:val="009362C6"/>
    <w:rsid w:val="0093716F"/>
    <w:rsid w:val="00937220"/>
    <w:rsid w:val="009376F7"/>
    <w:rsid w:val="009377C2"/>
    <w:rsid w:val="00937C96"/>
    <w:rsid w:val="00937E8B"/>
    <w:rsid w:val="00940F41"/>
    <w:rsid w:val="00941380"/>
    <w:rsid w:val="009418F8"/>
    <w:rsid w:val="00942396"/>
    <w:rsid w:val="009431F1"/>
    <w:rsid w:val="00943955"/>
    <w:rsid w:val="0094410B"/>
    <w:rsid w:val="00944F48"/>
    <w:rsid w:val="009458A9"/>
    <w:rsid w:val="00945B90"/>
    <w:rsid w:val="00945C72"/>
    <w:rsid w:val="00946DF2"/>
    <w:rsid w:val="009472A0"/>
    <w:rsid w:val="00947837"/>
    <w:rsid w:val="00950185"/>
    <w:rsid w:val="009504E1"/>
    <w:rsid w:val="00950728"/>
    <w:rsid w:val="00950A0E"/>
    <w:rsid w:val="00950C7B"/>
    <w:rsid w:val="00952CB1"/>
    <w:rsid w:val="0095498A"/>
    <w:rsid w:val="009552E6"/>
    <w:rsid w:val="00955916"/>
    <w:rsid w:val="00957025"/>
    <w:rsid w:val="009570FA"/>
    <w:rsid w:val="009579DB"/>
    <w:rsid w:val="00957B2D"/>
    <w:rsid w:val="00957CF1"/>
    <w:rsid w:val="009604F2"/>
    <w:rsid w:val="009605B3"/>
    <w:rsid w:val="009606B6"/>
    <w:rsid w:val="00960768"/>
    <w:rsid w:val="00960E2B"/>
    <w:rsid w:val="0096291B"/>
    <w:rsid w:val="00963106"/>
    <w:rsid w:val="00963A4F"/>
    <w:rsid w:val="00964A0B"/>
    <w:rsid w:val="00964C21"/>
    <w:rsid w:val="009651B0"/>
    <w:rsid w:val="009665F2"/>
    <w:rsid w:val="00966747"/>
    <w:rsid w:val="0096697B"/>
    <w:rsid w:val="00966A3C"/>
    <w:rsid w:val="00966E42"/>
    <w:rsid w:val="009677C7"/>
    <w:rsid w:val="00967DDC"/>
    <w:rsid w:val="00971627"/>
    <w:rsid w:val="0097255A"/>
    <w:rsid w:val="00972C14"/>
    <w:rsid w:val="00973305"/>
    <w:rsid w:val="009738FB"/>
    <w:rsid w:val="00973B9C"/>
    <w:rsid w:val="00974412"/>
    <w:rsid w:val="00975183"/>
    <w:rsid w:val="0097519F"/>
    <w:rsid w:val="0097614B"/>
    <w:rsid w:val="009766B1"/>
    <w:rsid w:val="00976AB4"/>
    <w:rsid w:val="009771D6"/>
    <w:rsid w:val="00977299"/>
    <w:rsid w:val="00980399"/>
    <w:rsid w:val="00980BD6"/>
    <w:rsid w:val="00981AEC"/>
    <w:rsid w:val="00981D02"/>
    <w:rsid w:val="00981ECF"/>
    <w:rsid w:val="00982E70"/>
    <w:rsid w:val="00983951"/>
    <w:rsid w:val="009853AE"/>
    <w:rsid w:val="00986B8B"/>
    <w:rsid w:val="00986E2F"/>
    <w:rsid w:val="009872C0"/>
    <w:rsid w:val="00987F92"/>
    <w:rsid w:val="009904FB"/>
    <w:rsid w:val="009908E4"/>
    <w:rsid w:val="009910C6"/>
    <w:rsid w:val="0099113F"/>
    <w:rsid w:val="00991A00"/>
    <w:rsid w:val="00992430"/>
    <w:rsid w:val="0099328B"/>
    <w:rsid w:val="00993457"/>
    <w:rsid w:val="009934EE"/>
    <w:rsid w:val="009938B2"/>
    <w:rsid w:val="00993E69"/>
    <w:rsid w:val="00995D2D"/>
    <w:rsid w:val="009960AF"/>
    <w:rsid w:val="00996F42"/>
    <w:rsid w:val="00997A45"/>
    <w:rsid w:val="009A0336"/>
    <w:rsid w:val="009A1D38"/>
    <w:rsid w:val="009A2157"/>
    <w:rsid w:val="009A23A1"/>
    <w:rsid w:val="009A2406"/>
    <w:rsid w:val="009A2C0B"/>
    <w:rsid w:val="009A3564"/>
    <w:rsid w:val="009A3824"/>
    <w:rsid w:val="009A3B66"/>
    <w:rsid w:val="009A3BEC"/>
    <w:rsid w:val="009A454B"/>
    <w:rsid w:val="009A4D84"/>
    <w:rsid w:val="009A52FF"/>
    <w:rsid w:val="009A587C"/>
    <w:rsid w:val="009A669D"/>
    <w:rsid w:val="009B044C"/>
    <w:rsid w:val="009B1C2D"/>
    <w:rsid w:val="009B2902"/>
    <w:rsid w:val="009B3995"/>
    <w:rsid w:val="009B3C23"/>
    <w:rsid w:val="009B3F22"/>
    <w:rsid w:val="009B536B"/>
    <w:rsid w:val="009B686C"/>
    <w:rsid w:val="009B69D1"/>
    <w:rsid w:val="009B7445"/>
    <w:rsid w:val="009B773A"/>
    <w:rsid w:val="009B7CE6"/>
    <w:rsid w:val="009C0893"/>
    <w:rsid w:val="009C109D"/>
    <w:rsid w:val="009C1C06"/>
    <w:rsid w:val="009C2855"/>
    <w:rsid w:val="009C38CF"/>
    <w:rsid w:val="009C3BC7"/>
    <w:rsid w:val="009C42C1"/>
    <w:rsid w:val="009C50DC"/>
    <w:rsid w:val="009C54CD"/>
    <w:rsid w:val="009C5600"/>
    <w:rsid w:val="009C62DC"/>
    <w:rsid w:val="009C6425"/>
    <w:rsid w:val="009C7E4E"/>
    <w:rsid w:val="009C7F21"/>
    <w:rsid w:val="009D047B"/>
    <w:rsid w:val="009D085D"/>
    <w:rsid w:val="009D0AD7"/>
    <w:rsid w:val="009D2225"/>
    <w:rsid w:val="009D24C8"/>
    <w:rsid w:val="009D25CD"/>
    <w:rsid w:val="009D2777"/>
    <w:rsid w:val="009D31A2"/>
    <w:rsid w:val="009D40F8"/>
    <w:rsid w:val="009D44D9"/>
    <w:rsid w:val="009D4612"/>
    <w:rsid w:val="009D4FC5"/>
    <w:rsid w:val="009D5365"/>
    <w:rsid w:val="009D560B"/>
    <w:rsid w:val="009D64E4"/>
    <w:rsid w:val="009D6D4E"/>
    <w:rsid w:val="009D7FD2"/>
    <w:rsid w:val="009D7FFA"/>
    <w:rsid w:val="009E0008"/>
    <w:rsid w:val="009E0166"/>
    <w:rsid w:val="009E1360"/>
    <w:rsid w:val="009E14AF"/>
    <w:rsid w:val="009E1814"/>
    <w:rsid w:val="009E24BA"/>
    <w:rsid w:val="009E2A8E"/>
    <w:rsid w:val="009E363C"/>
    <w:rsid w:val="009E38E1"/>
    <w:rsid w:val="009E3E34"/>
    <w:rsid w:val="009E3EDF"/>
    <w:rsid w:val="009E40FC"/>
    <w:rsid w:val="009E4C76"/>
    <w:rsid w:val="009E5670"/>
    <w:rsid w:val="009E5D9D"/>
    <w:rsid w:val="009E62DB"/>
    <w:rsid w:val="009E653D"/>
    <w:rsid w:val="009E6D3A"/>
    <w:rsid w:val="009E70B2"/>
    <w:rsid w:val="009E77FA"/>
    <w:rsid w:val="009E7EE0"/>
    <w:rsid w:val="009F06B1"/>
    <w:rsid w:val="009F07A9"/>
    <w:rsid w:val="009F1A43"/>
    <w:rsid w:val="009F1E00"/>
    <w:rsid w:val="009F2781"/>
    <w:rsid w:val="009F35DB"/>
    <w:rsid w:val="009F427B"/>
    <w:rsid w:val="009F4E85"/>
    <w:rsid w:val="009F4F65"/>
    <w:rsid w:val="009F506A"/>
    <w:rsid w:val="009F52EF"/>
    <w:rsid w:val="009F5DAB"/>
    <w:rsid w:val="009F6294"/>
    <w:rsid w:val="009F63F3"/>
    <w:rsid w:val="009F66DC"/>
    <w:rsid w:val="009F6DBB"/>
    <w:rsid w:val="009F705A"/>
    <w:rsid w:val="009F73B4"/>
    <w:rsid w:val="00A00142"/>
    <w:rsid w:val="00A0079D"/>
    <w:rsid w:val="00A00CE0"/>
    <w:rsid w:val="00A00E26"/>
    <w:rsid w:val="00A02E9F"/>
    <w:rsid w:val="00A02F40"/>
    <w:rsid w:val="00A02FC4"/>
    <w:rsid w:val="00A046BC"/>
    <w:rsid w:val="00A05946"/>
    <w:rsid w:val="00A05B98"/>
    <w:rsid w:val="00A05BAE"/>
    <w:rsid w:val="00A05FD4"/>
    <w:rsid w:val="00A06330"/>
    <w:rsid w:val="00A0670B"/>
    <w:rsid w:val="00A067F0"/>
    <w:rsid w:val="00A06963"/>
    <w:rsid w:val="00A07532"/>
    <w:rsid w:val="00A102C8"/>
    <w:rsid w:val="00A10BB9"/>
    <w:rsid w:val="00A10D84"/>
    <w:rsid w:val="00A10E83"/>
    <w:rsid w:val="00A11170"/>
    <w:rsid w:val="00A12560"/>
    <w:rsid w:val="00A128BB"/>
    <w:rsid w:val="00A130AB"/>
    <w:rsid w:val="00A134E5"/>
    <w:rsid w:val="00A13A17"/>
    <w:rsid w:val="00A13F94"/>
    <w:rsid w:val="00A1634D"/>
    <w:rsid w:val="00A16CA9"/>
    <w:rsid w:val="00A174D4"/>
    <w:rsid w:val="00A209AD"/>
    <w:rsid w:val="00A20FA4"/>
    <w:rsid w:val="00A21136"/>
    <w:rsid w:val="00A21A93"/>
    <w:rsid w:val="00A22583"/>
    <w:rsid w:val="00A2270A"/>
    <w:rsid w:val="00A233B7"/>
    <w:rsid w:val="00A23687"/>
    <w:rsid w:val="00A2481F"/>
    <w:rsid w:val="00A24964"/>
    <w:rsid w:val="00A25F08"/>
    <w:rsid w:val="00A26844"/>
    <w:rsid w:val="00A27516"/>
    <w:rsid w:val="00A278B8"/>
    <w:rsid w:val="00A2791F"/>
    <w:rsid w:val="00A3136D"/>
    <w:rsid w:val="00A3267F"/>
    <w:rsid w:val="00A327A3"/>
    <w:rsid w:val="00A33109"/>
    <w:rsid w:val="00A3369D"/>
    <w:rsid w:val="00A33F6F"/>
    <w:rsid w:val="00A34747"/>
    <w:rsid w:val="00A34F78"/>
    <w:rsid w:val="00A35031"/>
    <w:rsid w:val="00A35865"/>
    <w:rsid w:val="00A36243"/>
    <w:rsid w:val="00A3740C"/>
    <w:rsid w:val="00A37E5F"/>
    <w:rsid w:val="00A4094A"/>
    <w:rsid w:val="00A40956"/>
    <w:rsid w:val="00A421A3"/>
    <w:rsid w:val="00A425C3"/>
    <w:rsid w:val="00A4279D"/>
    <w:rsid w:val="00A435A6"/>
    <w:rsid w:val="00A43BE6"/>
    <w:rsid w:val="00A45424"/>
    <w:rsid w:val="00A459E8"/>
    <w:rsid w:val="00A46251"/>
    <w:rsid w:val="00A47E36"/>
    <w:rsid w:val="00A5037D"/>
    <w:rsid w:val="00A50B05"/>
    <w:rsid w:val="00A5204A"/>
    <w:rsid w:val="00A5214D"/>
    <w:rsid w:val="00A530D4"/>
    <w:rsid w:val="00A532EF"/>
    <w:rsid w:val="00A53D44"/>
    <w:rsid w:val="00A53F5C"/>
    <w:rsid w:val="00A54EA1"/>
    <w:rsid w:val="00A55210"/>
    <w:rsid w:val="00A553DC"/>
    <w:rsid w:val="00A5580C"/>
    <w:rsid w:val="00A566E6"/>
    <w:rsid w:val="00A56BEE"/>
    <w:rsid w:val="00A56C67"/>
    <w:rsid w:val="00A56EBE"/>
    <w:rsid w:val="00A57320"/>
    <w:rsid w:val="00A5790D"/>
    <w:rsid w:val="00A605DF"/>
    <w:rsid w:val="00A60D63"/>
    <w:rsid w:val="00A61333"/>
    <w:rsid w:val="00A61693"/>
    <w:rsid w:val="00A61D19"/>
    <w:rsid w:val="00A61DAD"/>
    <w:rsid w:val="00A6259D"/>
    <w:rsid w:val="00A6273A"/>
    <w:rsid w:val="00A62F59"/>
    <w:rsid w:val="00A6322C"/>
    <w:rsid w:val="00A63514"/>
    <w:rsid w:val="00A63E3D"/>
    <w:rsid w:val="00A64DB5"/>
    <w:rsid w:val="00A65232"/>
    <w:rsid w:val="00A65C46"/>
    <w:rsid w:val="00A66444"/>
    <w:rsid w:val="00A66884"/>
    <w:rsid w:val="00A6691E"/>
    <w:rsid w:val="00A675F6"/>
    <w:rsid w:val="00A679AC"/>
    <w:rsid w:val="00A71421"/>
    <w:rsid w:val="00A716D5"/>
    <w:rsid w:val="00A71D1A"/>
    <w:rsid w:val="00A72492"/>
    <w:rsid w:val="00A73176"/>
    <w:rsid w:val="00A741F2"/>
    <w:rsid w:val="00A746EA"/>
    <w:rsid w:val="00A7480A"/>
    <w:rsid w:val="00A74A89"/>
    <w:rsid w:val="00A74D9B"/>
    <w:rsid w:val="00A761C2"/>
    <w:rsid w:val="00A763C8"/>
    <w:rsid w:val="00A80BB1"/>
    <w:rsid w:val="00A80C2F"/>
    <w:rsid w:val="00A81555"/>
    <w:rsid w:val="00A81E84"/>
    <w:rsid w:val="00A82412"/>
    <w:rsid w:val="00A84D50"/>
    <w:rsid w:val="00A84EDE"/>
    <w:rsid w:val="00A851E6"/>
    <w:rsid w:val="00A85840"/>
    <w:rsid w:val="00A86475"/>
    <w:rsid w:val="00A869C7"/>
    <w:rsid w:val="00A87751"/>
    <w:rsid w:val="00A90813"/>
    <w:rsid w:val="00A908A5"/>
    <w:rsid w:val="00A90C2A"/>
    <w:rsid w:val="00A915BC"/>
    <w:rsid w:val="00A91E64"/>
    <w:rsid w:val="00A92E25"/>
    <w:rsid w:val="00A93D22"/>
    <w:rsid w:val="00A9474D"/>
    <w:rsid w:val="00A953BA"/>
    <w:rsid w:val="00A95701"/>
    <w:rsid w:val="00A95F23"/>
    <w:rsid w:val="00A965C8"/>
    <w:rsid w:val="00AA06D4"/>
    <w:rsid w:val="00AA10E9"/>
    <w:rsid w:val="00AA183E"/>
    <w:rsid w:val="00AA381E"/>
    <w:rsid w:val="00AA3970"/>
    <w:rsid w:val="00AA4241"/>
    <w:rsid w:val="00AA4623"/>
    <w:rsid w:val="00AA4B0A"/>
    <w:rsid w:val="00AA4BCA"/>
    <w:rsid w:val="00AA4C07"/>
    <w:rsid w:val="00AA526C"/>
    <w:rsid w:val="00AA60CF"/>
    <w:rsid w:val="00AA732F"/>
    <w:rsid w:val="00AA790E"/>
    <w:rsid w:val="00AA7B8C"/>
    <w:rsid w:val="00AB18D4"/>
    <w:rsid w:val="00AB1D95"/>
    <w:rsid w:val="00AB1F38"/>
    <w:rsid w:val="00AB2429"/>
    <w:rsid w:val="00AB268D"/>
    <w:rsid w:val="00AB292A"/>
    <w:rsid w:val="00AB2DF6"/>
    <w:rsid w:val="00AB4107"/>
    <w:rsid w:val="00AB46F0"/>
    <w:rsid w:val="00AB61CD"/>
    <w:rsid w:val="00AB68A5"/>
    <w:rsid w:val="00AB707C"/>
    <w:rsid w:val="00AB767E"/>
    <w:rsid w:val="00AB77C7"/>
    <w:rsid w:val="00AC0A47"/>
    <w:rsid w:val="00AC2A11"/>
    <w:rsid w:val="00AC2A78"/>
    <w:rsid w:val="00AC3D6F"/>
    <w:rsid w:val="00AC5105"/>
    <w:rsid w:val="00AC57BF"/>
    <w:rsid w:val="00AC60F2"/>
    <w:rsid w:val="00AC6230"/>
    <w:rsid w:val="00AC6440"/>
    <w:rsid w:val="00AC667E"/>
    <w:rsid w:val="00AC7B1D"/>
    <w:rsid w:val="00AC7EB6"/>
    <w:rsid w:val="00AD0AC1"/>
    <w:rsid w:val="00AD0E54"/>
    <w:rsid w:val="00AD2022"/>
    <w:rsid w:val="00AD2569"/>
    <w:rsid w:val="00AD356D"/>
    <w:rsid w:val="00AD5B0B"/>
    <w:rsid w:val="00AD65B0"/>
    <w:rsid w:val="00AD668C"/>
    <w:rsid w:val="00AD66A2"/>
    <w:rsid w:val="00AD7932"/>
    <w:rsid w:val="00AE1939"/>
    <w:rsid w:val="00AE1EDA"/>
    <w:rsid w:val="00AE2494"/>
    <w:rsid w:val="00AE2B50"/>
    <w:rsid w:val="00AE2D86"/>
    <w:rsid w:val="00AE3AFA"/>
    <w:rsid w:val="00AE43D4"/>
    <w:rsid w:val="00AE48CD"/>
    <w:rsid w:val="00AE55BC"/>
    <w:rsid w:val="00AE6DB7"/>
    <w:rsid w:val="00AE7CFC"/>
    <w:rsid w:val="00AE7F5D"/>
    <w:rsid w:val="00AF113A"/>
    <w:rsid w:val="00AF155E"/>
    <w:rsid w:val="00AF175C"/>
    <w:rsid w:val="00AF1968"/>
    <w:rsid w:val="00AF27F0"/>
    <w:rsid w:val="00AF2E39"/>
    <w:rsid w:val="00AF317C"/>
    <w:rsid w:val="00AF32BD"/>
    <w:rsid w:val="00AF3864"/>
    <w:rsid w:val="00AF3D2B"/>
    <w:rsid w:val="00AF51A6"/>
    <w:rsid w:val="00AF578F"/>
    <w:rsid w:val="00AF6507"/>
    <w:rsid w:val="00AF65BD"/>
    <w:rsid w:val="00AF6733"/>
    <w:rsid w:val="00AF6C65"/>
    <w:rsid w:val="00AF7042"/>
    <w:rsid w:val="00B00259"/>
    <w:rsid w:val="00B009EF"/>
    <w:rsid w:val="00B01323"/>
    <w:rsid w:val="00B01597"/>
    <w:rsid w:val="00B01AA7"/>
    <w:rsid w:val="00B01EE5"/>
    <w:rsid w:val="00B0226C"/>
    <w:rsid w:val="00B0257D"/>
    <w:rsid w:val="00B02AF7"/>
    <w:rsid w:val="00B0343B"/>
    <w:rsid w:val="00B04363"/>
    <w:rsid w:val="00B04F63"/>
    <w:rsid w:val="00B06349"/>
    <w:rsid w:val="00B07279"/>
    <w:rsid w:val="00B07DFC"/>
    <w:rsid w:val="00B101FC"/>
    <w:rsid w:val="00B10252"/>
    <w:rsid w:val="00B1172D"/>
    <w:rsid w:val="00B11ACD"/>
    <w:rsid w:val="00B1252A"/>
    <w:rsid w:val="00B12582"/>
    <w:rsid w:val="00B126E8"/>
    <w:rsid w:val="00B134CA"/>
    <w:rsid w:val="00B144E3"/>
    <w:rsid w:val="00B144EA"/>
    <w:rsid w:val="00B14FBD"/>
    <w:rsid w:val="00B16F5F"/>
    <w:rsid w:val="00B17436"/>
    <w:rsid w:val="00B20669"/>
    <w:rsid w:val="00B2066E"/>
    <w:rsid w:val="00B20793"/>
    <w:rsid w:val="00B213B5"/>
    <w:rsid w:val="00B21758"/>
    <w:rsid w:val="00B21AB5"/>
    <w:rsid w:val="00B21BF8"/>
    <w:rsid w:val="00B233B2"/>
    <w:rsid w:val="00B23600"/>
    <w:rsid w:val="00B236F7"/>
    <w:rsid w:val="00B25DF6"/>
    <w:rsid w:val="00B27737"/>
    <w:rsid w:val="00B27E92"/>
    <w:rsid w:val="00B300C0"/>
    <w:rsid w:val="00B3085F"/>
    <w:rsid w:val="00B31A49"/>
    <w:rsid w:val="00B31D60"/>
    <w:rsid w:val="00B320BA"/>
    <w:rsid w:val="00B3339F"/>
    <w:rsid w:val="00B33B23"/>
    <w:rsid w:val="00B33EAD"/>
    <w:rsid w:val="00B33FEF"/>
    <w:rsid w:val="00B34D34"/>
    <w:rsid w:val="00B35FF7"/>
    <w:rsid w:val="00B36A7D"/>
    <w:rsid w:val="00B37625"/>
    <w:rsid w:val="00B3773C"/>
    <w:rsid w:val="00B403F7"/>
    <w:rsid w:val="00B406E5"/>
    <w:rsid w:val="00B40899"/>
    <w:rsid w:val="00B408CD"/>
    <w:rsid w:val="00B413E7"/>
    <w:rsid w:val="00B415D3"/>
    <w:rsid w:val="00B41D6D"/>
    <w:rsid w:val="00B41DDD"/>
    <w:rsid w:val="00B42173"/>
    <w:rsid w:val="00B4288A"/>
    <w:rsid w:val="00B42BF2"/>
    <w:rsid w:val="00B43C98"/>
    <w:rsid w:val="00B441FA"/>
    <w:rsid w:val="00B44218"/>
    <w:rsid w:val="00B44DD1"/>
    <w:rsid w:val="00B44E7C"/>
    <w:rsid w:val="00B45361"/>
    <w:rsid w:val="00B45826"/>
    <w:rsid w:val="00B45C08"/>
    <w:rsid w:val="00B45D44"/>
    <w:rsid w:val="00B46B26"/>
    <w:rsid w:val="00B4712D"/>
    <w:rsid w:val="00B500C0"/>
    <w:rsid w:val="00B5038A"/>
    <w:rsid w:val="00B50C68"/>
    <w:rsid w:val="00B520C2"/>
    <w:rsid w:val="00B52995"/>
    <w:rsid w:val="00B54B2A"/>
    <w:rsid w:val="00B55D57"/>
    <w:rsid w:val="00B5643F"/>
    <w:rsid w:val="00B577BE"/>
    <w:rsid w:val="00B60C4B"/>
    <w:rsid w:val="00B618AD"/>
    <w:rsid w:val="00B61AFD"/>
    <w:rsid w:val="00B61C9C"/>
    <w:rsid w:val="00B61FBF"/>
    <w:rsid w:val="00B6268C"/>
    <w:rsid w:val="00B626AF"/>
    <w:rsid w:val="00B6286D"/>
    <w:rsid w:val="00B65B41"/>
    <w:rsid w:val="00B65BE1"/>
    <w:rsid w:val="00B65ED3"/>
    <w:rsid w:val="00B70087"/>
    <w:rsid w:val="00B70E02"/>
    <w:rsid w:val="00B72F70"/>
    <w:rsid w:val="00B74FAE"/>
    <w:rsid w:val="00B754CA"/>
    <w:rsid w:val="00B7551C"/>
    <w:rsid w:val="00B75B4B"/>
    <w:rsid w:val="00B76580"/>
    <w:rsid w:val="00B76812"/>
    <w:rsid w:val="00B7682F"/>
    <w:rsid w:val="00B76CA4"/>
    <w:rsid w:val="00B80103"/>
    <w:rsid w:val="00B80B81"/>
    <w:rsid w:val="00B8159A"/>
    <w:rsid w:val="00B81B5C"/>
    <w:rsid w:val="00B82D8B"/>
    <w:rsid w:val="00B8448B"/>
    <w:rsid w:val="00B85201"/>
    <w:rsid w:val="00B85B56"/>
    <w:rsid w:val="00B86085"/>
    <w:rsid w:val="00B86524"/>
    <w:rsid w:val="00B86AA1"/>
    <w:rsid w:val="00B90878"/>
    <w:rsid w:val="00B90BB5"/>
    <w:rsid w:val="00B90BE7"/>
    <w:rsid w:val="00B90D79"/>
    <w:rsid w:val="00B91EB4"/>
    <w:rsid w:val="00B92598"/>
    <w:rsid w:val="00B931E3"/>
    <w:rsid w:val="00B942C7"/>
    <w:rsid w:val="00B94423"/>
    <w:rsid w:val="00B9487A"/>
    <w:rsid w:val="00B94AE1"/>
    <w:rsid w:val="00B9588F"/>
    <w:rsid w:val="00B96407"/>
    <w:rsid w:val="00B968EF"/>
    <w:rsid w:val="00BA07D1"/>
    <w:rsid w:val="00BA0A52"/>
    <w:rsid w:val="00BA1EED"/>
    <w:rsid w:val="00BA2BAA"/>
    <w:rsid w:val="00BA3D56"/>
    <w:rsid w:val="00BA42E4"/>
    <w:rsid w:val="00BA440B"/>
    <w:rsid w:val="00BA4BD3"/>
    <w:rsid w:val="00BA51E5"/>
    <w:rsid w:val="00BA644E"/>
    <w:rsid w:val="00BA6523"/>
    <w:rsid w:val="00BA66BC"/>
    <w:rsid w:val="00BB0DC7"/>
    <w:rsid w:val="00BB0EA4"/>
    <w:rsid w:val="00BB1003"/>
    <w:rsid w:val="00BB1193"/>
    <w:rsid w:val="00BB165E"/>
    <w:rsid w:val="00BB19F8"/>
    <w:rsid w:val="00BB1B23"/>
    <w:rsid w:val="00BB22C4"/>
    <w:rsid w:val="00BB2987"/>
    <w:rsid w:val="00BB2A3D"/>
    <w:rsid w:val="00BB3202"/>
    <w:rsid w:val="00BB3B56"/>
    <w:rsid w:val="00BB3E78"/>
    <w:rsid w:val="00BB5E29"/>
    <w:rsid w:val="00BB6140"/>
    <w:rsid w:val="00BB6806"/>
    <w:rsid w:val="00BB7A96"/>
    <w:rsid w:val="00BC0788"/>
    <w:rsid w:val="00BC10D1"/>
    <w:rsid w:val="00BC24DB"/>
    <w:rsid w:val="00BC2556"/>
    <w:rsid w:val="00BC29A3"/>
    <w:rsid w:val="00BC2D91"/>
    <w:rsid w:val="00BC2E6F"/>
    <w:rsid w:val="00BC2FEE"/>
    <w:rsid w:val="00BC334E"/>
    <w:rsid w:val="00BC4167"/>
    <w:rsid w:val="00BC44C7"/>
    <w:rsid w:val="00BC4C24"/>
    <w:rsid w:val="00BC568B"/>
    <w:rsid w:val="00BC5EED"/>
    <w:rsid w:val="00BC624C"/>
    <w:rsid w:val="00BC63C4"/>
    <w:rsid w:val="00BC670D"/>
    <w:rsid w:val="00BC698B"/>
    <w:rsid w:val="00BC69DB"/>
    <w:rsid w:val="00BC74B3"/>
    <w:rsid w:val="00BC7C8E"/>
    <w:rsid w:val="00BD0371"/>
    <w:rsid w:val="00BD09E6"/>
    <w:rsid w:val="00BD17A0"/>
    <w:rsid w:val="00BD2988"/>
    <w:rsid w:val="00BD3A1B"/>
    <w:rsid w:val="00BD3BA5"/>
    <w:rsid w:val="00BD4B13"/>
    <w:rsid w:val="00BD51DF"/>
    <w:rsid w:val="00BD5563"/>
    <w:rsid w:val="00BD5874"/>
    <w:rsid w:val="00BD6017"/>
    <w:rsid w:val="00BD73BA"/>
    <w:rsid w:val="00BD7B9F"/>
    <w:rsid w:val="00BE07A3"/>
    <w:rsid w:val="00BE07CB"/>
    <w:rsid w:val="00BE0A4D"/>
    <w:rsid w:val="00BE10C2"/>
    <w:rsid w:val="00BE1127"/>
    <w:rsid w:val="00BE1479"/>
    <w:rsid w:val="00BE19A7"/>
    <w:rsid w:val="00BE1B0A"/>
    <w:rsid w:val="00BE1C76"/>
    <w:rsid w:val="00BE2117"/>
    <w:rsid w:val="00BE2320"/>
    <w:rsid w:val="00BE252B"/>
    <w:rsid w:val="00BE39CB"/>
    <w:rsid w:val="00BE4040"/>
    <w:rsid w:val="00BE4CBE"/>
    <w:rsid w:val="00BE4EAE"/>
    <w:rsid w:val="00BE527C"/>
    <w:rsid w:val="00BE5CDE"/>
    <w:rsid w:val="00BE5D1A"/>
    <w:rsid w:val="00BE6516"/>
    <w:rsid w:val="00BE7291"/>
    <w:rsid w:val="00BF01D2"/>
    <w:rsid w:val="00BF1158"/>
    <w:rsid w:val="00BF1FD5"/>
    <w:rsid w:val="00BF2C73"/>
    <w:rsid w:val="00BF3E0F"/>
    <w:rsid w:val="00BF3F48"/>
    <w:rsid w:val="00BF5074"/>
    <w:rsid w:val="00BF5716"/>
    <w:rsid w:val="00BF60E8"/>
    <w:rsid w:val="00BF6475"/>
    <w:rsid w:val="00BF7330"/>
    <w:rsid w:val="00C00442"/>
    <w:rsid w:val="00C01F6C"/>
    <w:rsid w:val="00C02C17"/>
    <w:rsid w:val="00C06D43"/>
    <w:rsid w:val="00C07B38"/>
    <w:rsid w:val="00C1006E"/>
    <w:rsid w:val="00C10A37"/>
    <w:rsid w:val="00C11021"/>
    <w:rsid w:val="00C111E2"/>
    <w:rsid w:val="00C1213F"/>
    <w:rsid w:val="00C13154"/>
    <w:rsid w:val="00C1319D"/>
    <w:rsid w:val="00C14852"/>
    <w:rsid w:val="00C14A31"/>
    <w:rsid w:val="00C20428"/>
    <w:rsid w:val="00C2055B"/>
    <w:rsid w:val="00C207CF"/>
    <w:rsid w:val="00C20B99"/>
    <w:rsid w:val="00C21724"/>
    <w:rsid w:val="00C224F1"/>
    <w:rsid w:val="00C22D37"/>
    <w:rsid w:val="00C2306A"/>
    <w:rsid w:val="00C23851"/>
    <w:rsid w:val="00C24866"/>
    <w:rsid w:val="00C24B63"/>
    <w:rsid w:val="00C261C3"/>
    <w:rsid w:val="00C261FE"/>
    <w:rsid w:val="00C26FA1"/>
    <w:rsid w:val="00C276AD"/>
    <w:rsid w:val="00C27C42"/>
    <w:rsid w:val="00C27F1B"/>
    <w:rsid w:val="00C300A7"/>
    <w:rsid w:val="00C30209"/>
    <w:rsid w:val="00C304B9"/>
    <w:rsid w:val="00C30A99"/>
    <w:rsid w:val="00C30CA1"/>
    <w:rsid w:val="00C30F7B"/>
    <w:rsid w:val="00C316B4"/>
    <w:rsid w:val="00C3237D"/>
    <w:rsid w:val="00C3257D"/>
    <w:rsid w:val="00C326C6"/>
    <w:rsid w:val="00C32EFC"/>
    <w:rsid w:val="00C33046"/>
    <w:rsid w:val="00C3393D"/>
    <w:rsid w:val="00C34A19"/>
    <w:rsid w:val="00C3510E"/>
    <w:rsid w:val="00C357F2"/>
    <w:rsid w:val="00C361C6"/>
    <w:rsid w:val="00C363D6"/>
    <w:rsid w:val="00C37093"/>
    <w:rsid w:val="00C37674"/>
    <w:rsid w:val="00C3768C"/>
    <w:rsid w:val="00C37DF3"/>
    <w:rsid w:val="00C404FC"/>
    <w:rsid w:val="00C41621"/>
    <w:rsid w:val="00C41710"/>
    <w:rsid w:val="00C420E0"/>
    <w:rsid w:val="00C421FD"/>
    <w:rsid w:val="00C438D7"/>
    <w:rsid w:val="00C442BC"/>
    <w:rsid w:val="00C44330"/>
    <w:rsid w:val="00C443BE"/>
    <w:rsid w:val="00C4493E"/>
    <w:rsid w:val="00C46A3E"/>
    <w:rsid w:val="00C47010"/>
    <w:rsid w:val="00C472B6"/>
    <w:rsid w:val="00C47B0A"/>
    <w:rsid w:val="00C47DBF"/>
    <w:rsid w:val="00C5009E"/>
    <w:rsid w:val="00C51C8D"/>
    <w:rsid w:val="00C520C1"/>
    <w:rsid w:val="00C52823"/>
    <w:rsid w:val="00C529B4"/>
    <w:rsid w:val="00C52A21"/>
    <w:rsid w:val="00C539C2"/>
    <w:rsid w:val="00C53D15"/>
    <w:rsid w:val="00C54709"/>
    <w:rsid w:val="00C54990"/>
    <w:rsid w:val="00C552EE"/>
    <w:rsid w:val="00C56A42"/>
    <w:rsid w:val="00C57163"/>
    <w:rsid w:val="00C5768E"/>
    <w:rsid w:val="00C576E1"/>
    <w:rsid w:val="00C57E9B"/>
    <w:rsid w:val="00C6090C"/>
    <w:rsid w:val="00C60AFC"/>
    <w:rsid w:val="00C61695"/>
    <w:rsid w:val="00C62059"/>
    <w:rsid w:val="00C627B2"/>
    <w:rsid w:val="00C628A8"/>
    <w:rsid w:val="00C64CA4"/>
    <w:rsid w:val="00C654E7"/>
    <w:rsid w:val="00C65859"/>
    <w:rsid w:val="00C66E84"/>
    <w:rsid w:val="00C6710E"/>
    <w:rsid w:val="00C67362"/>
    <w:rsid w:val="00C6747B"/>
    <w:rsid w:val="00C676C1"/>
    <w:rsid w:val="00C67CAE"/>
    <w:rsid w:val="00C70731"/>
    <w:rsid w:val="00C71C4A"/>
    <w:rsid w:val="00C73C91"/>
    <w:rsid w:val="00C746C3"/>
    <w:rsid w:val="00C74C90"/>
    <w:rsid w:val="00C7591F"/>
    <w:rsid w:val="00C75DDA"/>
    <w:rsid w:val="00C76104"/>
    <w:rsid w:val="00C766E1"/>
    <w:rsid w:val="00C7696C"/>
    <w:rsid w:val="00C76C1A"/>
    <w:rsid w:val="00C779BB"/>
    <w:rsid w:val="00C77F99"/>
    <w:rsid w:val="00C8148F"/>
    <w:rsid w:val="00C81AE2"/>
    <w:rsid w:val="00C82192"/>
    <w:rsid w:val="00C82657"/>
    <w:rsid w:val="00C82C09"/>
    <w:rsid w:val="00C83219"/>
    <w:rsid w:val="00C838B4"/>
    <w:rsid w:val="00C8439B"/>
    <w:rsid w:val="00C8453C"/>
    <w:rsid w:val="00C849DF"/>
    <w:rsid w:val="00C85979"/>
    <w:rsid w:val="00C85C64"/>
    <w:rsid w:val="00C86265"/>
    <w:rsid w:val="00C86808"/>
    <w:rsid w:val="00C86889"/>
    <w:rsid w:val="00C86F34"/>
    <w:rsid w:val="00C86F5C"/>
    <w:rsid w:val="00C86FB8"/>
    <w:rsid w:val="00C870F9"/>
    <w:rsid w:val="00C87181"/>
    <w:rsid w:val="00C87A0A"/>
    <w:rsid w:val="00C9025A"/>
    <w:rsid w:val="00C91066"/>
    <w:rsid w:val="00C9116B"/>
    <w:rsid w:val="00C93BC3"/>
    <w:rsid w:val="00CA0D3B"/>
    <w:rsid w:val="00CA1A8D"/>
    <w:rsid w:val="00CA1C47"/>
    <w:rsid w:val="00CA1CC3"/>
    <w:rsid w:val="00CA2100"/>
    <w:rsid w:val="00CA312F"/>
    <w:rsid w:val="00CA3FF3"/>
    <w:rsid w:val="00CA4961"/>
    <w:rsid w:val="00CA4C02"/>
    <w:rsid w:val="00CA51C7"/>
    <w:rsid w:val="00CA54DF"/>
    <w:rsid w:val="00CA670B"/>
    <w:rsid w:val="00CA6918"/>
    <w:rsid w:val="00CA6D9E"/>
    <w:rsid w:val="00CA6F21"/>
    <w:rsid w:val="00CA77D7"/>
    <w:rsid w:val="00CB0C05"/>
    <w:rsid w:val="00CB179E"/>
    <w:rsid w:val="00CB2C28"/>
    <w:rsid w:val="00CB31A2"/>
    <w:rsid w:val="00CB48F8"/>
    <w:rsid w:val="00CB490B"/>
    <w:rsid w:val="00CB4C32"/>
    <w:rsid w:val="00CB506D"/>
    <w:rsid w:val="00CB5849"/>
    <w:rsid w:val="00CB59C8"/>
    <w:rsid w:val="00CB7231"/>
    <w:rsid w:val="00CB76FF"/>
    <w:rsid w:val="00CB7C7F"/>
    <w:rsid w:val="00CC0BE8"/>
    <w:rsid w:val="00CC0C7D"/>
    <w:rsid w:val="00CC1626"/>
    <w:rsid w:val="00CC25DF"/>
    <w:rsid w:val="00CC2CD9"/>
    <w:rsid w:val="00CC3053"/>
    <w:rsid w:val="00CC3479"/>
    <w:rsid w:val="00CC3F5B"/>
    <w:rsid w:val="00CC454F"/>
    <w:rsid w:val="00CC4D1E"/>
    <w:rsid w:val="00CC50B5"/>
    <w:rsid w:val="00CC6024"/>
    <w:rsid w:val="00CC7282"/>
    <w:rsid w:val="00CC7B59"/>
    <w:rsid w:val="00CD05A1"/>
    <w:rsid w:val="00CD160A"/>
    <w:rsid w:val="00CD16A4"/>
    <w:rsid w:val="00CD204B"/>
    <w:rsid w:val="00CD294A"/>
    <w:rsid w:val="00CD2CF0"/>
    <w:rsid w:val="00CD3797"/>
    <w:rsid w:val="00CD3A9F"/>
    <w:rsid w:val="00CD3B33"/>
    <w:rsid w:val="00CD3CCF"/>
    <w:rsid w:val="00CD4813"/>
    <w:rsid w:val="00CD52E4"/>
    <w:rsid w:val="00CD53A9"/>
    <w:rsid w:val="00CD55EA"/>
    <w:rsid w:val="00CD6670"/>
    <w:rsid w:val="00CD6D6E"/>
    <w:rsid w:val="00CD79F5"/>
    <w:rsid w:val="00CD7E8B"/>
    <w:rsid w:val="00CE01DE"/>
    <w:rsid w:val="00CE1D40"/>
    <w:rsid w:val="00CE2438"/>
    <w:rsid w:val="00CE2CCF"/>
    <w:rsid w:val="00CE2EFD"/>
    <w:rsid w:val="00CE4F5B"/>
    <w:rsid w:val="00CE5143"/>
    <w:rsid w:val="00CE552B"/>
    <w:rsid w:val="00CE660F"/>
    <w:rsid w:val="00CE70C1"/>
    <w:rsid w:val="00CE70FD"/>
    <w:rsid w:val="00CE74E5"/>
    <w:rsid w:val="00CF1A66"/>
    <w:rsid w:val="00CF1E21"/>
    <w:rsid w:val="00CF24DF"/>
    <w:rsid w:val="00CF25CB"/>
    <w:rsid w:val="00CF3565"/>
    <w:rsid w:val="00CF3A9B"/>
    <w:rsid w:val="00CF468D"/>
    <w:rsid w:val="00CF4FA3"/>
    <w:rsid w:val="00CF6AE3"/>
    <w:rsid w:val="00CF74D3"/>
    <w:rsid w:val="00CF798C"/>
    <w:rsid w:val="00CF79E2"/>
    <w:rsid w:val="00CF79E5"/>
    <w:rsid w:val="00D0051B"/>
    <w:rsid w:val="00D017D2"/>
    <w:rsid w:val="00D02A60"/>
    <w:rsid w:val="00D02ADB"/>
    <w:rsid w:val="00D02AFF"/>
    <w:rsid w:val="00D03218"/>
    <w:rsid w:val="00D0393A"/>
    <w:rsid w:val="00D05C4F"/>
    <w:rsid w:val="00D06131"/>
    <w:rsid w:val="00D06245"/>
    <w:rsid w:val="00D06D98"/>
    <w:rsid w:val="00D073DD"/>
    <w:rsid w:val="00D07783"/>
    <w:rsid w:val="00D1041B"/>
    <w:rsid w:val="00D105C7"/>
    <w:rsid w:val="00D105FA"/>
    <w:rsid w:val="00D106EB"/>
    <w:rsid w:val="00D114E6"/>
    <w:rsid w:val="00D11982"/>
    <w:rsid w:val="00D131D3"/>
    <w:rsid w:val="00D134EC"/>
    <w:rsid w:val="00D13939"/>
    <w:rsid w:val="00D14579"/>
    <w:rsid w:val="00D148BC"/>
    <w:rsid w:val="00D14E48"/>
    <w:rsid w:val="00D157BF"/>
    <w:rsid w:val="00D16CD7"/>
    <w:rsid w:val="00D175C1"/>
    <w:rsid w:val="00D17602"/>
    <w:rsid w:val="00D21465"/>
    <w:rsid w:val="00D22850"/>
    <w:rsid w:val="00D23F64"/>
    <w:rsid w:val="00D25465"/>
    <w:rsid w:val="00D2715B"/>
    <w:rsid w:val="00D30376"/>
    <w:rsid w:val="00D30EC3"/>
    <w:rsid w:val="00D31070"/>
    <w:rsid w:val="00D32278"/>
    <w:rsid w:val="00D3302F"/>
    <w:rsid w:val="00D34B46"/>
    <w:rsid w:val="00D3505C"/>
    <w:rsid w:val="00D3529C"/>
    <w:rsid w:val="00D363D9"/>
    <w:rsid w:val="00D37862"/>
    <w:rsid w:val="00D37C15"/>
    <w:rsid w:val="00D37C45"/>
    <w:rsid w:val="00D40164"/>
    <w:rsid w:val="00D40409"/>
    <w:rsid w:val="00D40460"/>
    <w:rsid w:val="00D40674"/>
    <w:rsid w:val="00D4076F"/>
    <w:rsid w:val="00D4105B"/>
    <w:rsid w:val="00D410C6"/>
    <w:rsid w:val="00D410EC"/>
    <w:rsid w:val="00D42209"/>
    <w:rsid w:val="00D425D4"/>
    <w:rsid w:val="00D42A65"/>
    <w:rsid w:val="00D43773"/>
    <w:rsid w:val="00D43B5F"/>
    <w:rsid w:val="00D44DF7"/>
    <w:rsid w:val="00D45561"/>
    <w:rsid w:val="00D45EFA"/>
    <w:rsid w:val="00D46718"/>
    <w:rsid w:val="00D46D87"/>
    <w:rsid w:val="00D47B0D"/>
    <w:rsid w:val="00D47B7B"/>
    <w:rsid w:val="00D47C1C"/>
    <w:rsid w:val="00D50EBD"/>
    <w:rsid w:val="00D51D42"/>
    <w:rsid w:val="00D532D3"/>
    <w:rsid w:val="00D55322"/>
    <w:rsid w:val="00D55A8C"/>
    <w:rsid w:val="00D56612"/>
    <w:rsid w:val="00D56DEF"/>
    <w:rsid w:val="00D57729"/>
    <w:rsid w:val="00D5775E"/>
    <w:rsid w:val="00D57AB5"/>
    <w:rsid w:val="00D612CE"/>
    <w:rsid w:val="00D61697"/>
    <w:rsid w:val="00D61923"/>
    <w:rsid w:val="00D61F41"/>
    <w:rsid w:val="00D621EC"/>
    <w:rsid w:val="00D62284"/>
    <w:rsid w:val="00D624CE"/>
    <w:rsid w:val="00D62B3C"/>
    <w:rsid w:val="00D62F2A"/>
    <w:rsid w:val="00D641E7"/>
    <w:rsid w:val="00D65828"/>
    <w:rsid w:val="00D661B0"/>
    <w:rsid w:val="00D700DB"/>
    <w:rsid w:val="00D7225E"/>
    <w:rsid w:val="00D725C9"/>
    <w:rsid w:val="00D73514"/>
    <w:rsid w:val="00D74BF7"/>
    <w:rsid w:val="00D752FD"/>
    <w:rsid w:val="00D760F9"/>
    <w:rsid w:val="00D76114"/>
    <w:rsid w:val="00D76EF2"/>
    <w:rsid w:val="00D80029"/>
    <w:rsid w:val="00D801EC"/>
    <w:rsid w:val="00D80F7E"/>
    <w:rsid w:val="00D812D8"/>
    <w:rsid w:val="00D829DB"/>
    <w:rsid w:val="00D82F1D"/>
    <w:rsid w:val="00D83A46"/>
    <w:rsid w:val="00D84787"/>
    <w:rsid w:val="00D847E7"/>
    <w:rsid w:val="00D84936"/>
    <w:rsid w:val="00D85E23"/>
    <w:rsid w:val="00D865CF"/>
    <w:rsid w:val="00D870E7"/>
    <w:rsid w:val="00D878D7"/>
    <w:rsid w:val="00D879D8"/>
    <w:rsid w:val="00D87F35"/>
    <w:rsid w:val="00D90079"/>
    <w:rsid w:val="00D906A8"/>
    <w:rsid w:val="00D90AB0"/>
    <w:rsid w:val="00D90E40"/>
    <w:rsid w:val="00D91B29"/>
    <w:rsid w:val="00D92316"/>
    <w:rsid w:val="00D9294D"/>
    <w:rsid w:val="00D93DC6"/>
    <w:rsid w:val="00D94279"/>
    <w:rsid w:val="00D95C79"/>
    <w:rsid w:val="00D960C4"/>
    <w:rsid w:val="00D96651"/>
    <w:rsid w:val="00D97850"/>
    <w:rsid w:val="00D97E9D"/>
    <w:rsid w:val="00DA0BEF"/>
    <w:rsid w:val="00DA0DEE"/>
    <w:rsid w:val="00DA2503"/>
    <w:rsid w:val="00DA35B5"/>
    <w:rsid w:val="00DA4164"/>
    <w:rsid w:val="00DA443C"/>
    <w:rsid w:val="00DA4DCF"/>
    <w:rsid w:val="00DA66F7"/>
    <w:rsid w:val="00DA7F93"/>
    <w:rsid w:val="00DB1733"/>
    <w:rsid w:val="00DB2480"/>
    <w:rsid w:val="00DB3BD7"/>
    <w:rsid w:val="00DB3CC0"/>
    <w:rsid w:val="00DB3F91"/>
    <w:rsid w:val="00DB40AD"/>
    <w:rsid w:val="00DB4226"/>
    <w:rsid w:val="00DB46A1"/>
    <w:rsid w:val="00DB4D2A"/>
    <w:rsid w:val="00DB55DE"/>
    <w:rsid w:val="00DB60D4"/>
    <w:rsid w:val="00DB693C"/>
    <w:rsid w:val="00DB7469"/>
    <w:rsid w:val="00DB7776"/>
    <w:rsid w:val="00DB7F7C"/>
    <w:rsid w:val="00DC0362"/>
    <w:rsid w:val="00DC04EE"/>
    <w:rsid w:val="00DC08CD"/>
    <w:rsid w:val="00DC1BC9"/>
    <w:rsid w:val="00DC39E3"/>
    <w:rsid w:val="00DC3C35"/>
    <w:rsid w:val="00DC515F"/>
    <w:rsid w:val="00DC581B"/>
    <w:rsid w:val="00DC5DD1"/>
    <w:rsid w:val="00DC5EEF"/>
    <w:rsid w:val="00DC6C2C"/>
    <w:rsid w:val="00DC7362"/>
    <w:rsid w:val="00DD15DB"/>
    <w:rsid w:val="00DD1C47"/>
    <w:rsid w:val="00DD2181"/>
    <w:rsid w:val="00DD4E5B"/>
    <w:rsid w:val="00DD521A"/>
    <w:rsid w:val="00DD5516"/>
    <w:rsid w:val="00DD5A38"/>
    <w:rsid w:val="00DD5F9F"/>
    <w:rsid w:val="00DD622A"/>
    <w:rsid w:val="00DD68A5"/>
    <w:rsid w:val="00DE0730"/>
    <w:rsid w:val="00DE24BC"/>
    <w:rsid w:val="00DE2AEA"/>
    <w:rsid w:val="00DE386B"/>
    <w:rsid w:val="00DE3C7C"/>
    <w:rsid w:val="00DE401B"/>
    <w:rsid w:val="00DE4621"/>
    <w:rsid w:val="00DE53C1"/>
    <w:rsid w:val="00DE64A8"/>
    <w:rsid w:val="00DE654F"/>
    <w:rsid w:val="00DE6A06"/>
    <w:rsid w:val="00DE6BE7"/>
    <w:rsid w:val="00DF02C5"/>
    <w:rsid w:val="00DF0AF3"/>
    <w:rsid w:val="00DF0C6E"/>
    <w:rsid w:val="00DF31A8"/>
    <w:rsid w:val="00DF37C9"/>
    <w:rsid w:val="00DF39E9"/>
    <w:rsid w:val="00DF6383"/>
    <w:rsid w:val="00DF757D"/>
    <w:rsid w:val="00DF76D8"/>
    <w:rsid w:val="00E004EF"/>
    <w:rsid w:val="00E033A4"/>
    <w:rsid w:val="00E03CAF"/>
    <w:rsid w:val="00E042FA"/>
    <w:rsid w:val="00E04BE3"/>
    <w:rsid w:val="00E0505B"/>
    <w:rsid w:val="00E05687"/>
    <w:rsid w:val="00E05ACE"/>
    <w:rsid w:val="00E05C56"/>
    <w:rsid w:val="00E061A6"/>
    <w:rsid w:val="00E07557"/>
    <w:rsid w:val="00E07E14"/>
    <w:rsid w:val="00E10E6F"/>
    <w:rsid w:val="00E10F8D"/>
    <w:rsid w:val="00E11B7C"/>
    <w:rsid w:val="00E11E99"/>
    <w:rsid w:val="00E11EDD"/>
    <w:rsid w:val="00E122EB"/>
    <w:rsid w:val="00E13EED"/>
    <w:rsid w:val="00E14828"/>
    <w:rsid w:val="00E14D2A"/>
    <w:rsid w:val="00E16ACF"/>
    <w:rsid w:val="00E17EA6"/>
    <w:rsid w:val="00E206CF"/>
    <w:rsid w:val="00E20F74"/>
    <w:rsid w:val="00E21729"/>
    <w:rsid w:val="00E2300A"/>
    <w:rsid w:val="00E233AF"/>
    <w:rsid w:val="00E25B69"/>
    <w:rsid w:val="00E27C4B"/>
    <w:rsid w:val="00E30616"/>
    <w:rsid w:val="00E30F4B"/>
    <w:rsid w:val="00E3140F"/>
    <w:rsid w:val="00E31953"/>
    <w:rsid w:val="00E330C7"/>
    <w:rsid w:val="00E35113"/>
    <w:rsid w:val="00E358FB"/>
    <w:rsid w:val="00E35C63"/>
    <w:rsid w:val="00E35CC1"/>
    <w:rsid w:val="00E360B7"/>
    <w:rsid w:val="00E36149"/>
    <w:rsid w:val="00E3620C"/>
    <w:rsid w:val="00E36C23"/>
    <w:rsid w:val="00E36C55"/>
    <w:rsid w:val="00E37031"/>
    <w:rsid w:val="00E40192"/>
    <w:rsid w:val="00E40A11"/>
    <w:rsid w:val="00E40C35"/>
    <w:rsid w:val="00E42F12"/>
    <w:rsid w:val="00E431FB"/>
    <w:rsid w:val="00E455A8"/>
    <w:rsid w:val="00E45A63"/>
    <w:rsid w:val="00E45D24"/>
    <w:rsid w:val="00E46AC4"/>
    <w:rsid w:val="00E46E4F"/>
    <w:rsid w:val="00E47EBF"/>
    <w:rsid w:val="00E500C3"/>
    <w:rsid w:val="00E50D9B"/>
    <w:rsid w:val="00E50E26"/>
    <w:rsid w:val="00E50F58"/>
    <w:rsid w:val="00E51A6A"/>
    <w:rsid w:val="00E527F7"/>
    <w:rsid w:val="00E53077"/>
    <w:rsid w:val="00E546C5"/>
    <w:rsid w:val="00E54E9D"/>
    <w:rsid w:val="00E550F6"/>
    <w:rsid w:val="00E55997"/>
    <w:rsid w:val="00E57AC6"/>
    <w:rsid w:val="00E57B06"/>
    <w:rsid w:val="00E57CC0"/>
    <w:rsid w:val="00E57F25"/>
    <w:rsid w:val="00E60E17"/>
    <w:rsid w:val="00E62693"/>
    <w:rsid w:val="00E62CA8"/>
    <w:rsid w:val="00E632EA"/>
    <w:rsid w:val="00E6352A"/>
    <w:rsid w:val="00E648C4"/>
    <w:rsid w:val="00E65AE4"/>
    <w:rsid w:val="00E65C18"/>
    <w:rsid w:val="00E6623A"/>
    <w:rsid w:val="00E6638C"/>
    <w:rsid w:val="00E67540"/>
    <w:rsid w:val="00E6764E"/>
    <w:rsid w:val="00E6795B"/>
    <w:rsid w:val="00E70F91"/>
    <w:rsid w:val="00E71C9C"/>
    <w:rsid w:val="00E71F85"/>
    <w:rsid w:val="00E72954"/>
    <w:rsid w:val="00E7311D"/>
    <w:rsid w:val="00E73FBA"/>
    <w:rsid w:val="00E74682"/>
    <w:rsid w:val="00E7483C"/>
    <w:rsid w:val="00E74A48"/>
    <w:rsid w:val="00E752C7"/>
    <w:rsid w:val="00E755FB"/>
    <w:rsid w:val="00E763CD"/>
    <w:rsid w:val="00E764D2"/>
    <w:rsid w:val="00E7679B"/>
    <w:rsid w:val="00E76FE7"/>
    <w:rsid w:val="00E77131"/>
    <w:rsid w:val="00E800D5"/>
    <w:rsid w:val="00E804A4"/>
    <w:rsid w:val="00E80CA7"/>
    <w:rsid w:val="00E81916"/>
    <w:rsid w:val="00E81A90"/>
    <w:rsid w:val="00E8265F"/>
    <w:rsid w:val="00E83550"/>
    <w:rsid w:val="00E8422C"/>
    <w:rsid w:val="00E84542"/>
    <w:rsid w:val="00E84556"/>
    <w:rsid w:val="00E85BC4"/>
    <w:rsid w:val="00E863E8"/>
    <w:rsid w:val="00E873BE"/>
    <w:rsid w:val="00E874A9"/>
    <w:rsid w:val="00E8793D"/>
    <w:rsid w:val="00E87D28"/>
    <w:rsid w:val="00E90233"/>
    <w:rsid w:val="00E90694"/>
    <w:rsid w:val="00E909A1"/>
    <w:rsid w:val="00E90F6F"/>
    <w:rsid w:val="00E92F3D"/>
    <w:rsid w:val="00E9304D"/>
    <w:rsid w:val="00E94070"/>
    <w:rsid w:val="00E9417C"/>
    <w:rsid w:val="00E945F2"/>
    <w:rsid w:val="00E946D2"/>
    <w:rsid w:val="00E95826"/>
    <w:rsid w:val="00E95C64"/>
    <w:rsid w:val="00E960D4"/>
    <w:rsid w:val="00E96996"/>
    <w:rsid w:val="00E96F04"/>
    <w:rsid w:val="00EA0279"/>
    <w:rsid w:val="00EA0296"/>
    <w:rsid w:val="00EA0A4B"/>
    <w:rsid w:val="00EA0DB2"/>
    <w:rsid w:val="00EA10DC"/>
    <w:rsid w:val="00EA165E"/>
    <w:rsid w:val="00EA1A34"/>
    <w:rsid w:val="00EA239D"/>
    <w:rsid w:val="00EA33AE"/>
    <w:rsid w:val="00EA33E6"/>
    <w:rsid w:val="00EA3530"/>
    <w:rsid w:val="00EA452A"/>
    <w:rsid w:val="00EA6FF6"/>
    <w:rsid w:val="00EA7194"/>
    <w:rsid w:val="00EA719A"/>
    <w:rsid w:val="00EA71A2"/>
    <w:rsid w:val="00EA79EE"/>
    <w:rsid w:val="00EA7E59"/>
    <w:rsid w:val="00EB011D"/>
    <w:rsid w:val="00EB0B76"/>
    <w:rsid w:val="00EB0BAF"/>
    <w:rsid w:val="00EB11DB"/>
    <w:rsid w:val="00EB166A"/>
    <w:rsid w:val="00EB264B"/>
    <w:rsid w:val="00EB2D08"/>
    <w:rsid w:val="00EB356C"/>
    <w:rsid w:val="00EB464A"/>
    <w:rsid w:val="00EB489E"/>
    <w:rsid w:val="00EB4CDF"/>
    <w:rsid w:val="00EB6B6A"/>
    <w:rsid w:val="00EB70A3"/>
    <w:rsid w:val="00EB7567"/>
    <w:rsid w:val="00EB79DB"/>
    <w:rsid w:val="00EB7A35"/>
    <w:rsid w:val="00EC001A"/>
    <w:rsid w:val="00EC0549"/>
    <w:rsid w:val="00EC0C8F"/>
    <w:rsid w:val="00EC22A5"/>
    <w:rsid w:val="00EC2987"/>
    <w:rsid w:val="00EC33E8"/>
    <w:rsid w:val="00EC362D"/>
    <w:rsid w:val="00EC39F0"/>
    <w:rsid w:val="00EC3E27"/>
    <w:rsid w:val="00EC4408"/>
    <w:rsid w:val="00EC68E6"/>
    <w:rsid w:val="00EC73DD"/>
    <w:rsid w:val="00EC758B"/>
    <w:rsid w:val="00EC7DCF"/>
    <w:rsid w:val="00ED139B"/>
    <w:rsid w:val="00ED18AA"/>
    <w:rsid w:val="00ED2BBE"/>
    <w:rsid w:val="00ED36D6"/>
    <w:rsid w:val="00ED3B5F"/>
    <w:rsid w:val="00ED42BE"/>
    <w:rsid w:val="00ED4F99"/>
    <w:rsid w:val="00ED5CF8"/>
    <w:rsid w:val="00ED6863"/>
    <w:rsid w:val="00ED6ADE"/>
    <w:rsid w:val="00EE017C"/>
    <w:rsid w:val="00EE07FE"/>
    <w:rsid w:val="00EE1834"/>
    <w:rsid w:val="00EE1990"/>
    <w:rsid w:val="00EE1C26"/>
    <w:rsid w:val="00EE206B"/>
    <w:rsid w:val="00EE4623"/>
    <w:rsid w:val="00EE4C67"/>
    <w:rsid w:val="00EE5240"/>
    <w:rsid w:val="00EE5B8F"/>
    <w:rsid w:val="00EE6AEC"/>
    <w:rsid w:val="00EF0FFE"/>
    <w:rsid w:val="00EF16FC"/>
    <w:rsid w:val="00EF247D"/>
    <w:rsid w:val="00EF278F"/>
    <w:rsid w:val="00EF29AC"/>
    <w:rsid w:val="00EF394F"/>
    <w:rsid w:val="00EF3A17"/>
    <w:rsid w:val="00EF3F60"/>
    <w:rsid w:val="00EF455A"/>
    <w:rsid w:val="00EF4562"/>
    <w:rsid w:val="00EF4EE9"/>
    <w:rsid w:val="00EF5279"/>
    <w:rsid w:val="00EF5F72"/>
    <w:rsid w:val="00EF724F"/>
    <w:rsid w:val="00EF7B9D"/>
    <w:rsid w:val="00F005D1"/>
    <w:rsid w:val="00F00941"/>
    <w:rsid w:val="00F00F2D"/>
    <w:rsid w:val="00F014CA"/>
    <w:rsid w:val="00F022CE"/>
    <w:rsid w:val="00F02C9A"/>
    <w:rsid w:val="00F03672"/>
    <w:rsid w:val="00F04841"/>
    <w:rsid w:val="00F04F6C"/>
    <w:rsid w:val="00F05107"/>
    <w:rsid w:val="00F054DB"/>
    <w:rsid w:val="00F056C4"/>
    <w:rsid w:val="00F0607D"/>
    <w:rsid w:val="00F068F2"/>
    <w:rsid w:val="00F10878"/>
    <w:rsid w:val="00F1150D"/>
    <w:rsid w:val="00F11CF7"/>
    <w:rsid w:val="00F122E5"/>
    <w:rsid w:val="00F13348"/>
    <w:rsid w:val="00F13A85"/>
    <w:rsid w:val="00F13C34"/>
    <w:rsid w:val="00F1463F"/>
    <w:rsid w:val="00F14F95"/>
    <w:rsid w:val="00F15711"/>
    <w:rsid w:val="00F1574F"/>
    <w:rsid w:val="00F17E9E"/>
    <w:rsid w:val="00F203E2"/>
    <w:rsid w:val="00F204CA"/>
    <w:rsid w:val="00F2052A"/>
    <w:rsid w:val="00F20C7E"/>
    <w:rsid w:val="00F20CC0"/>
    <w:rsid w:val="00F20F77"/>
    <w:rsid w:val="00F218A6"/>
    <w:rsid w:val="00F220D1"/>
    <w:rsid w:val="00F2216A"/>
    <w:rsid w:val="00F22A30"/>
    <w:rsid w:val="00F23EC0"/>
    <w:rsid w:val="00F24547"/>
    <w:rsid w:val="00F24B3E"/>
    <w:rsid w:val="00F24CFD"/>
    <w:rsid w:val="00F24F2B"/>
    <w:rsid w:val="00F25771"/>
    <w:rsid w:val="00F25B75"/>
    <w:rsid w:val="00F261DE"/>
    <w:rsid w:val="00F261EB"/>
    <w:rsid w:val="00F2699B"/>
    <w:rsid w:val="00F26B9A"/>
    <w:rsid w:val="00F27316"/>
    <w:rsid w:val="00F278F3"/>
    <w:rsid w:val="00F27F52"/>
    <w:rsid w:val="00F30341"/>
    <w:rsid w:val="00F30439"/>
    <w:rsid w:val="00F30874"/>
    <w:rsid w:val="00F30E9F"/>
    <w:rsid w:val="00F318E2"/>
    <w:rsid w:val="00F31E22"/>
    <w:rsid w:val="00F321F8"/>
    <w:rsid w:val="00F323DF"/>
    <w:rsid w:val="00F32D15"/>
    <w:rsid w:val="00F32E03"/>
    <w:rsid w:val="00F33BE7"/>
    <w:rsid w:val="00F33C18"/>
    <w:rsid w:val="00F3413A"/>
    <w:rsid w:val="00F3510A"/>
    <w:rsid w:val="00F3540F"/>
    <w:rsid w:val="00F35DDD"/>
    <w:rsid w:val="00F36586"/>
    <w:rsid w:val="00F36A7E"/>
    <w:rsid w:val="00F36AD3"/>
    <w:rsid w:val="00F36CCD"/>
    <w:rsid w:val="00F378BB"/>
    <w:rsid w:val="00F404F7"/>
    <w:rsid w:val="00F416E7"/>
    <w:rsid w:val="00F41D9F"/>
    <w:rsid w:val="00F421DA"/>
    <w:rsid w:val="00F42321"/>
    <w:rsid w:val="00F42D8B"/>
    <w:rsid w:val="00F430C2"/>
    <w:rsid w:val="00F44422"/>
    <w:rsid w:val="00F447EC"/>
    <w:rsid w:val="00F457F3"/>
    <w:rsid w:val="00F45DF8"/>
    <w:rsid w:val="00F460AB"/>
    <w:rsid w:val="00F46958"/>
    <w:rsid w:val="00F46B52"/>
    <w:rsid w:val="00F46D20"/>
    <w:rsid w:val="00F472E5"/>
    <w:rsid w:val="00F4775E"/>
    <w:rsid w:val="00F4787C"/>
    <w:rsid w:val="00F50220"/>
    <w:rsid w:val="00F51791"/>
    <w:rsid w:val="00F51EBA"/>
    <w:rsid w:val="00F51F74"/>
    <w:rsid w:val="00F53752"/>
    <w:rsid w:val="00F53949"/>
    <w:rsid w:val="00F54F77"/>
    <w:rsid w:val="00F558D8"/>
    <w:rsid w:val="00F559A8"/>
    <w:rsid w:val="00F55EC5"/>
    <w:rsid w:val="00F561FD"/>
    <w:rsid w:val="00F5649D"/>
    <w:rsid w:val="00F566F1"/>
    <w:rsid w:val="00F56FCA"/>
    <w:rsid w:val="00F57C3C"/>
    <w:rsid w:val="00F601B3"/>
    <w:rsid w:val="00F61D6E"/>
    <w:rsid w:val="00F62132"/>
    <w:rsid w:val="00F62CE0"/>
    <w:rsid w:val="00F62D36"/>
    <w:rsid w:val="00F63969"/>
    <w:rsid w:val="00F642B5"/>
    <w:rsid w:val="00F64D8F"/>
    <w:rsid w:val="00F65C34"/>
    <w:rsid w:val="00F66066"/>
    <w:rsid w:val="00F661C2"/>
    <w:rsid w:val="00F66639"/>
    <w:rsid w:val="00F670E6"/>
    <w:rsid w:val="00F704DA"/>
    <w:rsid w:val="00F7075B"/>
    <w:rsid w:val="00F70D4C"/>
    <w:rsid w:val="00F70E2E"/>
    <w:rsid w:val="00F716E5"/>
    <w:rsid w:val="00F722F6"/>
    <w:rsid w:val="00F7248D"/>
    <w:rsid w:val="00F72765"/>
    <w:rsid w:val="00F75138"/>
    <w:rsid w:val="00F7546F"/>
    <w:rsid w:val="00F769CC"/>
    <w:rsid w:val="00F7722E"/>
    <w:rsid w:val="00F7743D"/>
    <w:rsid w:val="00F77AD1"/>
    <w:rsid w:val="00F77BF2"/>
    <w:rsid w:val="00F81B89"/>
    <w:rsid w:val="00F82E6E"/>
    <w:rsid w:val="00F82FD3"/>
    <w:rsid w:val="00F83ECC"/>
    <w:rsid w:val="00F84351"/>
    <w:rsid w:val="00F8508A"/>
    <w:rsid w:val="00F85121"/>
    <w:rsid w:val="00F85A4C"/>
    <w:rsid w:val="00F85DC3"/>
    <w:rsid w:val="00F86414"/>
    <w:rsid w:val="00F90A7B"/>
    <w:rsid w:val="00F92EE1"/>
    <w:rsid w:val="00F93485"/>
    <w:rsid w:val="00F948D2"/>
    <w:rsid w:val="00F94E3F"/>
    <w:rsid w:val="00F95327"/>
    <w:rsid w:val="00F96065"/>
    <w:rsid w:val="00F9701C"/>
    <w:rsid w:val="00F97372"/>
    <w:rsid w:val="00F975DF"/>
    <w:rsid w:val="00F976EE"/>
    <w:rsid w:val="00FA0013"/>
    <w:rsid w:val="00FA1D1C"/>
    <w:rsid w:val="00FA1FF2"/>
    <w:rsid w:val="00FA2BCC"/>
    <w:rsid w:val="00FA3270"/>
    <w:rsid w:val="00FA3533"/>
    <w:rsid w:val="00FA3DBF"/>
    <w:rsid w:val="00FA45AF"/>
    <w:rsid w:val="00FA4E5E"/>
    <w:rsid w:val="00FA5387"/>
    <w:rsid w:val="00FA57B3"/>
    <w:rsid w:val="00FA5A3E"/>
    <w:rsid w:val="00FA65B8"/>
    <w:rsid w:val="00FA69DB"/>
    <w:rsid w:val="00FB0056"/>
    <w:rsid w:val="00FB0AB7"/>
    <w:rsid w:val="00FB0B7E"/>
    <w:rsid w:val="00FB117C"/>
    <w:rsid w:val="00FB1C86"/>
    <w:rsid w:val="00FB22EE"/>
    <w:rsid w:val="00FB25A7"/>
    <w:rsid w:val="00FB2A57"/>
    <w:rsid w:val="00FB323B"/>
    <w:rsid w:val="00FB328F"/>
    <w:rsid w:val="00FB3D56"/>
    <w:rsid w:val="00FB4315"/>
    <w:rsid w:val="00FB45D9"/>
    <w:rsid w:val="00FB4A3C"/>
    <w:rsid w:val="00FB6452"/>
    <w:rsid w:val="00FB7031"/>
    <w:rsid w:val="00FC0017"/>
    <w:rsid w:val="00FC0188"/>
    <w:rsid w:val="00FC01BC"/>
    <w:rsid w:val="00FC0383"/>
    <w:rsid w:val="00FC0755"/>
    <w:rsid w:val="00FC0BC7"/>
    <w:rsid w:val="00FC1D75"/>
    <w:rsid w:val="00FC21CA"/>
    <w:rsid w:val="00FC364D"/>
    <w:rsid w:val="00FC3AD8"/>
    <w:rsid w:val="00FC3E26"/>
    <w:rsid w:val="00FC466E"/>
    <w:rsid w:val="00FC4E52"/>
    <w:rsid w:val="00FC5164"/>
    <w:rsid w:val="00FC5378"/>
    <w:rsid w:val="00FC5DFC"/>
    <w:rsid w:val="00FC6E54"/>
    <w:rsid w:val="00FC709D"/>
    <w:rsid w:val="00FC782E"/>
    <w:rsid w:val="00FC7934"/>
    <w:rsid w:val="00FD0510"/>
    <w:rsid w:val="00FD0B65"/>
    <w:rsid w:val="00FD21B7"/>
    <w:rsid w:val="00FD232E"/>
    <w:rsid w:val="00FD2373"/>
    <w:rsid w:val="00FD32C3"/>
    <w:rsid w:val="00FD349E"/>
    <w:rsid w:val="00FD49B4"/>
    <w:rsid w:val="00FD5F40"/>
    <w:rsid w:val="00FD68F3"/>
    <w:rsid w:val="00FD7376"/>
    <w:rsid w:val="00FD7948"/>
    <w:rsid w:val="00FE00C9"/>
    <w:rsid w:val="00FE1305"/>
    <w:rsid w:val="00FE1A37"/>
    <w:rsid w:val="00FE2EAC"/>
    <w:rsid w:val="00FE38AB"/>
    <w:rsid w:val="00FE3FDB"/>
    <w:rsid w:val="00FE50AB"/>
    <w:rsid w:val="00FE58D0"/>
    <w:rsid w:val="00FE5931"/>
    <w:rsid w:val="00FE7190"/>
    <w:rsid w:val="00FF2650"/>
    <w:rsid w:val="00FF2823"/>
    <w:rsid w:val="00FF433D"/>
    <w:rsid w:val="00FF4E98"/>
    <w:rsid w:val="00FF5099"/>
    <w:rsid w:val="00FF56EF"/>
    <w:rsid w:val="00FF5734"/>
    <w:rsid w:val="00FF57EA"/>
    <w:rsid w:val="00FF6BF1"/>
    <w:rsid w:val="00FF6ED0"/>
    <w:rsid w:val="00FF7764"/>
    <w:rsid w:val="00FF7CC6"/>
    <w:rsid w:val="0192E472"/>
    <w:rsid w:val="019CDFAC"/>
    <w:rsid w:val="01C0AD37"/>
    <w:rsid w:val="023B087E"/>
    <w:rsid w:val="02558024"/>
    <w:rsid w:val="0265DEFE"/>
    <w:rsid w:val="0274616A"/>
    <w:rsid w:val="02C6BFFC"/>
    <w:rsid w:val="02C7CD1F"/>
    <w:rsid w:val="02EC404B"/>
    <w:rsid w:val="04CF5ACA"/>
    <w:rsid w:val="054B0CBC"/>
    <w:rsid w:val="0569DE7C"/>
    <w:rsid w:val="0652A651"/>
    <w:rsid w:val="06F2E89F"/>
    <w:rsid w:val="0724BAFE"/>
    <w:rsid w:val="07D96137"/>
    <w:rsid w:val="08440095"/>
    <w:rsid w:val="08AC4E31"/>
    <w:rsid w:val="08AEF6EC"/>
    <w:rsid w:val="08B8F32E"/>
    <w:rsid w:val="0A057AC7"/>
    <w:rsid w:val="0B35AC7C"/>
    <w:rsid w:val="0B615A16"/>
    <w:rsid w:val="0BB5F6B5"/>
    <w:rsid w:val="0BFAEF34"/>
    <w:rsid w:val="0C164E89"/>
    <w:rsid w:val="0C9704F7"/>
    <w:rsid w:val="0CBA53E6"/>
    <w:rsid w:val="0CC77621"/>
    <w:rsid w:val="0CD6DB7F"/>
    <w:rsid w:val="0CDF2C36"/>
    <w:rsid w:val="0CFB640F"/>
    <w:rsid w:val="0D0FE8D5"/>
    <w:rsid w:val="0E97AE17"/>
    <w:rsid w:val="0F3228BC"/>
    <w:rsid w:val="0F557D45"/>
    <w:rsid w:val="0F8B8EDB"/>
    <w:rsid w:val="0FE601BF"/>
    <w:rsid w:val="10B6C0E0"/>
    <w:rsid w:val="10DB1433"/>
    <w:rsid w:val="10EDE7E5"/>
    <w:rsid w:val="119CE5E1"/>
    <w:rsid w:val="120B7C2E"/>
    <w:rsid w:val="1221EE03"/>
    <w:rsid w:val="12426D2A"/>
    <w:rsid w:val="12A9234E"/>
    <w:rsid w:val="12BC745D"/>
    <w:rsid w:val="138C8293"/>
    <w:rsid w:val="13C00BF8"/>
    <w:rsid w:val="13C9D807"/>
    <w:rsid w:val="143212D9"/>
    <w:rsid w:val="146F4F69"/>
    <w:rsid w:val="149EDF89"/>
    <w:rsid w:val="1516D925"/>
    <w:rsid w:val="15215104"/>
    <w:rsid w:val="1538F57E"/>
    <w:rsid w:val="158535E3"/>
    <w:rsid w:val="15E10F7D"/>
    <w:rsid w:val="161A9916"/>
    <w:rsid w:val="163FE566"/>
    <w:rsid w:val="17A3CC95"/>
    <w:rsid w:val="17AE9A2D"/>
    <w:rsid w:val="18103FDA"/>
    <w:rsid w:val="1828ADFA"/>
    <w:rsid w:val="182D4086"/>
    <w:rsid w:val="1840722F"/>
    <w:rsid w:val="185C2DF9"/>
    <w:rsid w:val="18BAAB28"/>
    <w:rsid w:val="1923C600"/>
    <w:rsid w:val="19C9A85F"/>
    <w:rsid w:val="1A2A27B7"/>
    <w:rsid w:val="1AADF9C9"/>
    <w:rsid w:val="1AB9A214"/>
    <w:rsid w:val="1AFAA78C"/>
    <w:rsid w:val="1B28D3FE"/>
    <w:rsid w:val="1B703677"/>
    <w:rsid w:val="1BB745E5"/>
    <w:rsid w:val="1C92485F"/>
    <w:rsid w:val="1CF8497E"/>
    <w:rsid w:val="1D467D88"/>
    <w:rsid w:val="1D6D4945"/>
    <w:rsid w:val="1D8499AF"/>
    <w:rsid w:val="1DE75D12"/>
    <w:rsid w:val="1E2CEB79"/>
    <w:rsid w:val="1E5C587C"/>
    <w:rsid w:val="1EA59D85"/>
    <w:rsid w:val="1EBB9EB4"/>
    <w:rsid w:val="1EEAB5AA"/>
    <w:rsid w:val="1EFAF6EC"/>
    <w:rsid w:val="1F20D788"/>
    <w:rsid w:val="1F216418"/>
    <w:rsid w:val="1F374618"/>
    <w:rsid w:val="1F75C88F"/>
    <w:rsid w:val="1FA2D189"/>
    <w:rsid w:val="1FEBF554"/>
    <w:rsid w:val="204CAABA"/>
    <w:rsid w:val="21505015"/>
    <w:rsid w:val="2174AE34"/>
    <w:rsid w:val="223E8F59"/>
    <w:rsid w:val="230AF4EB"/>
    <w:rsid w:val="231B45AF"/>
    <w:rsid w:val="23921CFF"/>
    <w:rsid w:val="23DEE440"/>
    <w:rsid w:val="24753069"/>
    <w:rsid w:val="25286183"/>
    <w:rsid w:val="252B44DF"/>
    <w:rsid w:val="253FB0A2"/>
    <w:rsid w:val="25B43548"/>
    <w:rsid w:val="25D38ECE"/>
    <w:rsid w:val="261F9F4A"/>
    <w:rsid w:val="263765E6"/>
    <w:rsid w:val="26B86264"/>
    <w:rsid w:val="270A3382"/>
    <w:rsid w:val="272CBE37"/>
    <w:rsid w:val="27667340"/>
    <w:rsid w:val="27AB6040"/>
    <w:rsid w:val="27D816EF"/>
    <w:rsid w:val="27E149F0"/>
    <w:rsid w:val="28252BBC"/>
    <w:rsid w:val="2842CCD8"/>
    <w:rsid w:val="29234212"/>
    <w:rsid w:val="293CCF16"/>
    <w:rsid w:val="2947C2D5"/>
    <w:rsid w:val="297F037E"/>
    <w:rsid w:val="29827726"/>
    <w:rsid w:val="29A8E8E3"/>
    <w:rsid w:val="29AB04E1"/>
    <w:rsid w:val="2ADD74E0"/>
    <w:rsid w:val="2BDDE9BB"/>
    <w:rsid w:val="2CA84054"/>
    <w:rsid w:val="2D1541DC"/>
    <w:rsid w:val="2E77B5A6"/>
    <w:rsid w:val="2E8A1291"/>
    <w:rsid w:val="2E8F7B3D"/>
    <w:rsid w:val="2E9A1242"/>
    <w:rsid w:val="2EC37153"/>
    <w:rsid w:val="2F4F9807"/>
    <w:rsid w:val="2F69DA0A"/>
    <w:rsid w:val="2FAF73B2"/>
    <w:rsid w:val="2FB8FF66"/>
    <w:rsid w:val="2FC38C38"/>
    <w:rsid w:val="2FECF63E"/>
    <w:rsid w:val="2FF63AA9"/>
    <w:rsid w:val="307E59FE"/>
    <w:rsid w:val="30B91634"/>
    <w:rsid w:val="30C24C7C"/>
    <w:rsid w:val="30C88B7C"/>
    <w:rsid w:val="31446437"/>
    <w:rsid w:val="322773BF"/>
    <w:rsid w:val="324B9C00"/>
    <w:rsid w:val="32715844"/>
    <w:rsid w:val="32C06DD5"/>
    <w:rsid w:val="32E47BA5"/>
    <w:rsid w:val="336CC9B5"/>
    <w:rsid w:val="342A7EE7"/>
    <w:rsid w:val="34802ED3"/>
    <w:rsid w:val="3481E867"/>
    <w:rsid w:val="349A8A2B"/>
    <w:rsid w:val="359B63A8"/>
    <w:rsid w:val="35CEE950"/>
    <w:rsid w:val="35FF129F"/>
    <w:rsid w:val="3610681C"/>
    <w:rsid w:val="36D7E942"/>
    <w:rsid w:val="36F56548"/>
    <w:rsid w:val="3776C929"/>
    <w:rsid w:val="3799D6D5"/>
    <w:rsid w:val="37B82225"/>
    <w:rsid w:val="37C112DB"/>
    <w:rsid w:val="37FC2BD2"/>
    <w:rsid w:val="39B421E1"/>
    <w:rsid w:val="39E8BBED"/>
    <w:rsid w:val="3A1437A3"/>
    <w:rsid w:val="3A1BA704"/>
    <w:rsid w:val="3A3CD00F"/>
    <w:rsid w:val="3A43D087"/>
    <w:rsid w:val="3A60C211"/>
    <w:rsid w:val="3A8F1159"/>
    <w:rsid w:val="3BC6B392"/>
    <w:rsid w:val="3CB2E570"/>
    <w:rsid w:val="3D14F0BF"/>
    <w:rsid w:val="3D256248"/>
    <w:rsid w:val="3D2FBF50"/>
    <w:rsid w:val="3D4AA727"/>
    <w:rsid w:val="3DB9E792"/>
    <w:rsid w:val="3DDE5DF4"/>
    <w:rsid w:val="4087E48E"/>
    <w:rsid w:val="41436141"/>
    <w:rsid w:val="419ABCCE"/>
    <w:rsid w:val="41C32375"/>
    <w:rsid w:val="41E870EE"/>
    <w:rsid w:val="4203D192"/>
    <w:rsid w:val="42446530"/>
    <w:rsid w:val="4253FD5F"/>
    <w:rsid w:val="42C3D8EB"/>
    <w:rsid w:val="440062F1"/>
    <w:rsid w:val="4490C7FD"/>
    <w:rsid w:val="44E99411"/>
    <w:rsid w:val="45075895"/>
    <w:rsid w:val="453E3741"/>
    <w:rsid w:val="455B8882"/>
    <w:rsid w:val="45743C2C"/>
    <w:rsid w:val="457C9ED0"/>
    <w:rsid w:val="45A5FA15"/>
    <w:rsid w:val="45C2EE65"/>
    <w:rsid w:val="45EC66CC"/>
    <w:rsid w:val="46C36AF5"/>
    <w:rsid w:val="46CF835D"/>
    <w:rsid w:val="47224383"/>
    <w:rsid w:val="476A4BE5"/>
    <w:rsid w:val="476FF362"/>
    <w:rsid w:val="494AAC1C"/>
    <w:rsid w:val="4950053C"/>
    <w:rsid w:val="495A208B"/>
    <w:rsid w:val="4973D081"/>
    <w:rsid w:val="497564E6"/>
    <w:rsid w:val="499DCEC0"/>
    <w:rsid w:val="49E64C9F"/>
    <w:rsid w:val="4A3B5E51"/>
    <w:rsid w:val="4AA5153B"/>
    <w:rsid w:val="4B57D547"/>
    <w:rsid w:val="4B88AE65"/>
    <w:rsid w:val="4BA4BCF0"/>
    <w:rsid w:val="4C392ECA"/>
    <w:rsid w:val="4C6C615B"/>
    <w:rsid w:val="4CCC14E4"/>
    <w:rsid w:val="4D0D36DB"/>
    <w:rsid w:val="4DFC4988"/>
    <w:rsid w:val="4E15099E"/>
    <w:rsid w:val="4E6B5AAF"/>
    <w:rsid w:val="4E86214E"/>
    <w:rsid w:val="4F1492AD"/>
    <w:rsid w:val="4F7EA9A4"/>
    <w:rsid w:val="4F8D8796"/>
    <w:rsid w:val="4FCB7E01"/>
    <w:rsid w:val="4FFF9FC3"/>
    <w:rsid w:val="501A42FD"/>
    <w:rsid w:val="5080ECF3"/>
    <w:rsid w:val="50D13BB9"/>
    <w:rsid w:val="50E16BB0"/>
    <w:rsid w:val="50E338F1"/>
    <w:rsid w:val="5199BD70"/>
    <w:rsid w:val="51EFEE7D"/>
    <w:rsid w:val="525F4E57"/>
    <w:rsid w:val="52F3AA60"/>
    <w:rsid w:val="537FB59F"/>
    <w:rsid w:val="53B965E4"/>
    <w:rsid w:val="53D41583"/>
    <w:rsid w:val="53DC34DF"/>
    <w:rsid w:val="54B16ED6"/>
    <w:rsid w:val="54CA8E23"/>
    <w:rsid w:val="5515B56E"/>
    <w:rsid w:val="5554ED82"/>
    <w:rsid w:val="556F68E8"/>
    <w:rsid w:val="56A17C89"/>
    <w:rsid w:val="56A99BE5"/>
    <w:rsid w:val="56B1EE12"/>
    <w:rsid w:val="570C6BCF"/>
    <w:rsid w:val="57419D6C"/>
    <w:rsid w:val="5746A1DA"/>
    <w:rsid w:val="5786EACC"/>
    <w:rsid w:val="57F70D62"/>
    <w:rsid w:val="587F5080"/>
    <w:rsid w:val="588224E8"/>
    <w:rsid w:val="59A2CA02"/>
    <w:rsid w:val="5A659ED2"/>
    <w:rsid w:val="5A945FC0"/>
    <w:rsid w:val="5AF1E14B"/>
    <w:rsid w:val="5AF4F623"/>
    <w:rsid w:val="5B152120"/>
    <w:rsid w:val="5B3EFEE4"/>
    <w:rsid w:val="5B6AF25A"/>
    <w:rsid w:val="5B9DBD49"/>
    <w:rsid w:val="5C07507C"/>
    <w:rsid w:val="5C443720"/>
    <w:rsid w:val="5C487E2D"/>
    <w:rsid w:val="5C742E57"/>
    <w:rsid w:val="5CB397B8"/>
    <w:rsid w:val="5CF1D434"/>
    <w:rsid w:val="5D413A70"/>
    <w:rsid w:val="5D4A5B8F"/>
    <w:rsid w:val="5DA2163C"/>
    <w:rsid w:val="5DB962F3"/>
    <w:rsid w:val="5DC0B267"/>
    <w:rsid w:val="5DF5D5DF"/>
    <w:rsid w:val="5E09C42C"/>
    <w:rsid w:val="5E7F5E1B"/>
    <w:rsid w:val="5EBC03D8"/>
    <w:rsid w:val="5F037FCC"/>
    <w:rsid w:val="5F66B4D6"/>
    <w:rsid w:val="5F6FA0CF"/>
    <w:rsid w:val="61642598"/>
    <w:rsid w:val="61A91E05"/>
    <w:rsid w:val="61ABD3B8"/>
    <w:rsid w:val="61D6A3EE"/>
    <w:rsid w:val="62715ED6"/>
    <w:rsid w:val="62A31C1E"/>
    <w:rsid w:val="62A4133F"/>
    <w:rsid w:val="638AE000"/>
    <w:rsid w:val="63CA4F08"/>
    <w:rsid w:val="63D8AAA9"/>
    <w:rsid w:val="6437D8D4"/>
    <w:rsid w:val="6483BF5A"/>
    <w:rsid w:val="64F065BB"/>
    <w:rsid w:val="6536884A"/>
    <w:rsid w:val="657CFBFE"/>
    <w:rsid w:val="658D5FBC"/>
    <w:rsid w:val="65AA8D44"/>
    <w:rsid w:val="65F79978"/>
    <w:rsid w:val="66415978"/>
    <w:rsid w:val="6672E152"/>
    <w:rsid w:val="667C0E2E"/>
    <w:rsid w:val="669135CC"/>
    <w:rsid w:val="66B1475F"/>
    <w:rsid w:val="66C0DF8E"/>
    <w:rsid w:val="66C972FD"/>
    <w:rsid w:val="66F168E5"/>
    <w:rsid w:val="672CA399"/>
    <w:rsid w:val="672DEF12"/>
    <w:rsid w:val="6756C83B"/>
    <w:rsid w:val="675DA475"/>
    <w:rsid w:val="679A3711"/>
    <w:rsid w:val="67C572DA"/>
    <w:rsid w:val="682EC55F"/>
    <w:rsid w:val="68878158"/>
    <w:rsid w:val="68BFA3A9"/>
    <w:rsid w:val="68E223EF"/>
    <w:rsid w:val="68FFC616"/>
    <w:rsid w:val="69730239"/>
    <w:rsid w:val="69754E1F"/>
    <w:rsid w:val="6978DCDD"/>
    <w:rsid w:val="69982F9F"/>
    <w:rsid w:val="69E5F2C9"/>
    <w:rsid w:val="6A377321"/>
    <w:rsid w:val="6A8F94C9"/>
    <w:rsid w:val="6B1869AD"/>
    <w:rsid w:val="6B631D96"/>
    <w:rsid w:val="6B8F86D8"/>
    <w:rsid w:val="6BB2BCBB"/>
    <w:rsid w:val="6BDC6D92"/>
    <w:rsid w:val="6C9FD8D4"/>
    <w:rsid w:val="6CE81206"/>
    <w:rsid w:val="6D020ED4"/>
    <w:rsid w:val="6D9BCD07"/>
    <w:rsid w:val="6DA2B7FE"/>
    <w:rsid w:val="6E4C765B"/>
    <w:rsid w:val="6EB2E216"/>
    <w:rsid w:val="6F040D53"/>
    <w:rsid w:val="6F0AF415"/>
    <w:rsid w:val="6F2DE09B"/>
    <w:rsid w:val="6F5E15DC"/>
    <w:rsid w:val="6F5FCC2A"/>
    <w:rsid w:val="6F7CE0AA"/>
    <w:rsid w:val="70038B76"/>
    <w:rsid w:val="70567338"/>
    <w:rsid w:val="719F2906"/>
    <w:rsid w:val="725343AA"/>
    <w:rsid w:val="735CECAB"/>
    <w:rsid w:val="73750F39"/>
    <w:rsid w:val="73AE5B60"/>
    <w:rsid w:val="73B6403D"/>
    <w:rsid w:val="73DA9E1F"/>
    <w:rsid w:val="7410D615"/>
    <w:rsid w:val="745882FF"/>
    <w:rsid w:val="7498BC94"/>
    <w:rsid w:val="74F54EFA"/>
    <w:rsid w:val="751175A9"/>
    <w:rsid w:val="752C5505"/>
    <w:rsid w:val="75DA8717"/>
    <w:rsid w:val="760E54BA"/>
    <w:rsid w:val="762347A2"/>
    <w:rsid w:val="7668828F"/>
    <w:rsid w:val="767595DC"/>
    <w:rsid w:val="76D159CF"/>
    <w:rsid w:val="76DE586B"/>
    <w:rsid w:val="7746A8FA"/>
    <w:rsid w:val="77A4AD11"/>
    <w:rsid w:val="77C04673"/>
    <w:rsid w:val="77D8518D"/>
    <w:rsid w:val="7821B4F9"/>
    <w:rsid w:val="7959A0BC"/>
    <w:rsid w:val="796A5E82"/>
    <w:rsid w:val="799B2072"/>
    <w:rsid w:val="79B6BAFD"/>
    <w:rsid w:val="79CA0494"/>
    <w:rsid w:val="7A63A27D"/>
    <w:rsid w:val="7AA55E7C"/>
    <w:rsid w:val="7AE6C4BC"/>
    <w:rsid w:val="7BBBE6FD"/>
    <w:rsid w:val="7CD8F303"/>
    <w:rsid w:val="7D2690BA"/>
    <w:rsid w:val="7D684930"/>
    <w:rsid w:val="7EACC58E"/>
    <w:rsid w:val="7EFC2091"/>
    <w:rsid w:val="7F866ACC"/>
    <w:rsid w:val="7F95B5AF"/>
    <w:rsid w:val="7FB62432"/>
  </w:rsids>
  <m:mathPr>
    <m:mathFont m:val="Cambria Math"/>
    <m:brkBin m:val="before"/>
    <m:brkBinSub m:val="--"/>
    <m:smallFrac/>
    <m:dispDef/>
    <m:lMargin m:val="0"/>
    <m:rMargin m:val="0"/>
    <m:defJc m:val="centerGroup"/>
    <m:wrapRight/>
    <m:intLim m:val="subSup"/>
    <m:naryLim m:val="subSup"/>
  </m:mathPr>
  <w:themeFontLang w:val="af-Z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6EC98"/>
  <w15:docId w15:val="{9D72E8DD-7F92-40E4-BD4A-55D595A2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0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24DF"/>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BB2987"/>
    <w:rPr>
      <w:color w:val="605E5C"/>
      <w:shd w:val="clear" w:color="auto" w:fill="E1DFDD"/>
    </w:rPr>
  </w:style>
  <w:style w:type="paragraph" w:customStyle="1" w:styleId="paragraph">
    <w:name w:val="paragraph"/>
    <w:basedOn w:val="Normal"/>
    <w:rsid w:val="000B3F69"/>
    <w:pPr>
      <w:spacing w:before="100" w:beforeAutospacing="1" w:after="100" w:afterAutospacing="1"/>
    </w:pPr>
    <w:rPr>
      <w:rFonts w:eastAsia="Times New Roman"/>
      <w:lang w:val="en-US"/>
    </w:rPr>
  </w:style>
  <w:style w:type="character" w:customStyle="1" w:styleId="normaltextrun">
    <w:name w:val="normaltextrun"/>
    <w:basedOn w:val="DefaultParagraphFont"/>
    <w:rsid w:val="000B3F69"/>
  </w:style>
  <w:style w:type="character" w:customStyle="1" w:styleId="eop">
    <w:name w:val="eop"/>
    <w:basedOn w:val="DefaultParagraphFont"/>
    <w:rsid w:val="000B3F69"/>
  </w:style>
  <w:style w:type="character" w:customStyle="1" w:styleId="superscript">
    <w:name w:val="superscript"/>
    <w:basedOn w:val="DefaultParagraphFont"/>
    <w:rsid w:val="000B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24">
      <w:bodyDiv w:val="1"/>
      <w:marLeft w:val="0"/>
      <w:marRight w:val="0"/>
      <w:marTop w:val="0"/>
      <w:marBottom w:val="0"/>
      <w:divBdr>
        <w:top w:val="none" w:sz="0" w:space="0" w:color="auto"/>
        <w:left w:val="none" w:sz="0" w:space="0" w:color="auto"/>
        <w:bottom w:val="none" w:sz="0" w:space="0" w:color="auto"/>
        <w:right w:val="none" w:sz="0" w:space="0" w:color="auto"/>
      </w:divBdr>
    </w:div>
    <w:div w:id="19748087">
      <w:bodyDiv w:val="1"/>
      <w:marLeft w:val="0"/>
      <w:marRight w:val="0"/>
      <w:marTop w:val="0"/>
      <w:marBottom w:val="0"/>
      <w:divBdr>
        <w:top w:val="none" w:sz="0" w:space="0" w:color="auto"/>
        <w:left w:val="none" w:sz="0" w:space="0" w:color="auto"/>
        <w:bottom w:val="none" w:sz="0" w:space="0" w:color="auto"/>
        <w:right w:val="none" w:sz="0" w:space="0" w:color="auto"/>
      </w:divBdr>
      <w:divsChild>
        <w:div w:id="370108470">
          <w:marLeft w:val="274"/>
          <w:marRight w:val="0"/>
          <w:marTop w:val="86"/>
          <w:marBottom w:val="0"/>
          <w:divBdr>
            <w:top w:val="none" w:sz="0" w:space="0" w:color="auto"/>
            <w:left w:val="none" w:sz="0" w:space="0" w:color="auto"/>
            <w:bottom w:val="none" w:sz="0" w:space="0" w:color="auto"/>
            <w:right w:val="none" w:sz="0" w:space="0" w:color="auto"/>
          </w:divBdr>
        </w:div>
        <w:div w:id="408964566">
          <w:marLeft w:val="994"/>
          <w:marRight w:val="0"/>
          <w:marTop w:val="86"/>
          <w:marBottom w:val="0"/>
          <w:divBdr>
            <w:top w:val="none" w:sz="0" w:space="0" w:color="auto"/>
            <w:left w:val="none" w:sz="0" w:space="0" w:color="auto"/>
            <w:bottom w:val="none" w:sz="0" w:space="0" w:color="auto"/>
            <w:right w:val="none" w:sz="0" w:space="0" w:color="auto"/>
          </w:divBdr>
        </w:div>
        <w:div w:id="896933802">
          <w:marLeft w:val="994"/>
          <w:marRight w:val="0"/>
          <w:marTop w:val="86"/>
          <w:marBottom w:val="0"/>
          <w:divBdr>
            <w:top w:val="none" w:sz="0" w:space="0" w:color="auto"/>
            <w:left w:val="none" w:sz="0" w:space="0" w:color="auto"/>
            <w:bottom w:val="none" w:sz="0" w:space="0" w:color="auto"/>
            <w:right w:val="none" w:sz="0" w:space="0" w:color="auto"/>
          </w:divBdr>
        </w:div>
        <w:div w:id="440539888">
          <w:marLeft w:val="274"/>
          <w:marRight w:val="0"/>
          <w:marTop w:val="86"/>
          <w:marBottom w:val="0"/>
          <w:divBdr>
            <w:top w:val="none" w:sz="0" w:space="0" w:color="auto"/>
            <w:left w:val="none" w:sz="0" w:space="0" w:color="auto"/>
            <w:bottom w:val="none" w:sz="0" w:space="0" w:color="auto"/>
            <w:right w:val="none" w:sz="0" w:space="0" w:color="auto"/>
          </w:divBdr>
        </w:div>
      </w:divsChild>
    </w:div>
    <w:div w:id="28459347">
      <w:bodyDiv w:val="1"/>
      <w:marLeft w:val="0"/>
      <w:marRight w:val="0"/>
      <w:marTop w:val="0"/>
      <w:marBottom w:val="0"/>
      <w:divBdr>
        <w:top w:val="none" w:sz="0" w:space="0" w:color="auto"/>
        <w:left w:val="none" w:sz="0" w:space="0" w:color="auto"/>
        <w:bottom w:val="none" w:sz="0" w:space="0" w:color="auto"/>
        <w:right w:val="none" w:sz="0" w:space="0" w:color="auto"/>
      </w:divBdr>
    </w:div>
    <w:div w:id="74209759">
      <w:bodyDiv w:val="1"/>
      <w:marLeft w:val="0"/>
      <w:marRight w:val="0"/>
      <w:marTop w:val="0"/>
      <w:marBottom w:val="0"/>
      <w:divBdr>
        <w:top w:val="none" w:sz="0" w:space="0" w:color="auto"/>
        <w:left w:val="none" w:sz="0" w:space="0" w:color="auto"/>
        <w:bottom w:val="none" w:sz="0" w:space="0" w:color="auto"/>
        <w:right w:val="none" w:sz="0" w:space="0" w:color="auto"/>
      </w:divBdr>
    </w:div>
    <w:div w:id="81806829">
      <w:bodyDiv w:val="1"/>
      <w:marLeft w:val="0"/>
      <w:marRight w:val="0"/>
      <w:marTop w:val="0"/>
      <w:marBottom w:val="0"/>
      <w:divBdr>
        <w:top w:val="none" w:sz="0" w:space="0" w:color="auto"/>
        <w:left w:val="none" w:sz="0" w:space="0" w:color="auto"/>
        <w:bottom w:val="none" w:sz="0" w:space="0" w:color="auto"/>
        <w:right w:val="none" w:sz="0" w:space="0" w:color="auto"/>
      </w:divBdr>
      <w:divsChild>
        <w:div w:id="160245479">
          <w:marLeft w:val="1426"/>
          <w:marRight w:val="0"/>
          <w:marTop w:val="60"/>
          <w:marBottom w:val="0"/>
          <w:divBdr>
            <w:top w:val="none" w:sz="0" w:space="0" w:color="auto"/>
            <w:left w:val="none" w:sz="0" w:space="0" w:color="auto"/>
            <w:bottom w:val="none" w:sz="0" w:space="0" w:color="auto"/>
            <w:right w:val="none" w:sz="0" w:space="0" w:color="auto"/>
          </w:divBdr>
        </w:div>
        <w:div w:id="163517848">
          <w:marLeft w:val="850"/>
          <w:marRight w:val="0"/>
          <w:marTop w:val="255"/>
          <w:marBottom w:val="0"/>
          <w:divBdr>
            <w:top w:val="none" w:sz="0" w:space="0" w:color="auto"/>
            <w:left w:val="none" w:sz="0" w:space="0" w:color="auto"/>
            <w:bottom w:val="none" w:sz="0" w:space="0" w:color="auto"/>
            <w:right w:val="none" w:sz="0" w:space="0" w:color="auto"/>
          </w:divBdr>
        </w:div>
        <w:div w:id="184290247">
          <w:marLeft w:val="1426"/>
          <w:marRight w:val="0"/>
          <w:marTop w:val="60"/>
          <w:marBottom w:val="0"/>
          <w:divBdr>
            <w:top w:val="none" w:sz="0" w:space="0" w:color="auto"/>
            <w:left w:val="none" w:sz="0" w:space="0" w:color="auto"/>
            <w:bottom w:val="none" w:sz="0" w:space="0" w:color="auto"/>
            <w:right w:val="none" w:sz="0" w:space="0" w:color="auto"/>
          </w:divBdr>
        </w:div>
        <w:div w:id="274872673">
          <w:marLeft w:val="850"/>
          <w:marRight w:val="0"/>
          <w:marTop w:val="255"/>
          <w:marBottom w:val="0"/>
          <w:divBdr>
            <w:top w:val="none" w:sz="0" w:space="0" w:color="auto"/>
            <w:left w:val="none" w:sz="0" w:space="0" w:color="auto"/>
            <w:bottom w:val="none" w:sz="0" w:space="0" w:color="auto"/>
            <w:right w:val="none" w:sz="0" w:space="0" w:color="auto"/>
          </w:divBdr>
        </w:div>
        <w:div w:id="622856221">
          <w:marLeft w:val="850"/>
          <w:marRight w:val="0"/>
          <w:marTop w:val="255"/>
          <w:marBottom w:val="0"/>
          <w:divBdr>
            <w:top w:val="none" w:sz="0" w:space="0" w:color="auto"/>
            <w:left w:val="none" w:sz="0" w:space="0" w:color="auto"/>
            <w:bottom w:val="none" w:sz="0" w:space="0" w:color="auto"/>
            <w:right w:val="none" w:sz="0" w:space="0" w:color="auto"/>
          </w:divBdr>
        </w:div>
        <w:div w:id="747074214">
          <w:marLeft w:val="1426"/>
          <w:marRight w:val="0"/>
          <w:marTop w:val="60"/>
          <w:marBottom w:val="0"/>
          <w:divBdr>
            <w:top w:val="none" w:sz="0" w:space="0" w:color="auto"/>
            <w:left w:val="none" w:sz="0" w:space="0" w:color="auto"/>
            <w:bottom w:val="none" w:sz="0" w:space="0" w:color="auto"/>
            <w:right w:val="none" w:sz="0" w:space="0" w:color="auto"/>
          </w:divBdr>
        </w:div>
        <w:div w:id="943615447">
          <w:marLeft w:val="1426"/>
          <w:marRight w:val="0"/>
          <w:marTop w:val="60"/>
          <w:marBottom w:val="0"/>
          <w:divBdr>
            <w:top w:val="none" w:sz="0" w:space="0" w:color="auto"/>
            <w:left w:val="none" w:sz="0" w:space="0" w:color="auto"/>
            <w:bottom w:val="none" w:sz="0" w:space="0" w:color="auto"/>
            <w:right w:val="none" w:sz="0" w:space="0" w:color="auto"/>
          </w:divBdr>
        </w:div>
        <w:div w:id="1570846982">
          <w:marLeft w:val="850"/>
          <w:marRight w:val="0"/>
          <w:marTop w:val="255"/>
          <w:marBottom w:val="0"/>
          <w:divBdr>
            <w:top w:val="none" w:sz="0" w:space="0" w:color="auto"/>
            <w:left w:val="none" w:sz="0" w:space="0" w:color="auto"/>
            <w:bottom w:val="none" w:sz="0" w:space="0" w:color="auto"/>
            <w:right w:val="none" w:sz="0" w:space="0" w:color="auto"/>
          </w:divBdr>
        </w:div>
        <w:div w:id="1766077150">
          <w:marLeft w:val="1426"/>
          <w:marRight w:val="0"/>
          <w:marTop w:val="60"/>
          <w:marBottom w:val="0"/>
          <w:divBdr>
            <w:top w:val="none" w:sz="0" w:space="0" w:color="auto"/>
            <w:left w:val="none" w:sz="0" w:space="0" w:color="auto"/>
            <w:bottom w:val="none" w:sz="0" w:space="0" w:color="auto"/>
            <w:right w:val="none" w:sz="0" w:space="0" w:color="auto"/>
          </w:divBdr>
        </w:div>
        <w:div w:id="2069497141">
          <w:marLeft w:val="1426"/>
          <w:marRight w:val="0"/>
          <w:marTop w:val="60"/>
          <w:marBottom w:val="0"/>
          <w:divBdr>
            <w:top w:val="none" w:sz="0" w:space="0" w:color="auto"/>
            <w:left w:val="none" w:sz="0" w:space="0" w:color="auto"/>
            <w:bottom w:val="none" w:sz="0" w:space="0" w:color="auto"/>
            <w:right w:val="none" w:sz="0" w:space="0" w:color="auto"/>
          </w:divBdr>
        </w:div>
      </w:divsChild>
    </w:div>
    <w:div w:id="93983980">
      <w:bodyDiv w:val="1"/>
      <w:marLeft w:val="0"/>
      <w:marRight w:val="0"/>
      <w:marTop w:val="0"/>
      <w:marBottom w:val="0"/>
      <w:divBdr>
        <w:top w:val="none" w:sz="0" w:space="0" w:color="auto"/>
        <w:left w:val="none" w:sz="0" w:space="0" w:color="auto"/>
        <w:bottom w:val="none" w:sz="0" w:space="0" w:color="auto"/>
        <w:right w:val="none" w:sz="0" w:space="0" w:color="auto"/>
      </w:divBdr>
    </w:div>
    <w:div w:id="124399156">
      <w:bodyDiv w:val="1"/>
      <w:marLeft w:val="0"/>
      <w:marRight w:val="0"/>
      <w:marTop w:val="0"/>
      <w:marBottom w:val="0"/>
      <w:divBdr>
        <w:top w:val="none" w:sz="0" w:space="0" w:color="auto"/>
        <w:left w:val="none" w:sz="0" w:space="0" w:color="auto"/>
        <w:bottom w:val="none" w:sz="0" w:space="0" w:color="auto"/>
        <w:right w:val="none" w:sz="0" w:space="0" w:color="auto"/>
      </w:divBdr>
    </w:div>
    <w:div w:id="135027055">
      <w:bodyDiv w:val="1"/>
      <w:marLeft w:val="0"/>
      <w:marRight w:val="0"/>
      <w:marTop w:val="0"/>
      <w:marBottom w:val="0"/>
      <w:divBdr>
        <w:top w:val="none" w:sz="0" w:space="0" w:color="auto"/>
        <w:left w:val="none" w:sz="0" w:space="0" w:color="auto"/>
        <w:bottom w:val="none" w:sz="0" w:space="0" w:color="auto"/>
        <w:right w:val="none" w:sz="0" w:space="0" w:color="auto"/>
      </w:divBdr>
      <w:divsChild>
        <w:div w:id="315232314">
          <w:marLeft w:val="1426"/>
          <w:marRight w:val="0"/>
          <w:marTop w:val="60"/>
          <w:marBottom w:val="0"/>
          <w:divBdr>
            <w:top w:val="none" w:sz="0" w:space="0" w:color="auto"/>
            <w:left w:val="none" w:sz="0" w:space="0" w:color="auto"/>
            <w:bottom w:val="none" w:sz="0" w:space="0" w:color="auto"/>
            <w:right w:val="none" w:sz="0" w:space="0" w:color="auto"/>
          </w:divBdr>
        </w:div>
        <w:div w:id="987369504">
          <w:marLeft w:val="1426"/>
          <w:marRight w:val="0"/>
          <w:marTop w:val="60"/>
          <w:marBottom w:val="0"/>
          <w:divBdr>
            <w:top w:val="none" w:sz="0" w:space="0" w:color="auto"/>
            <w:left w:val="none" w:sz="0" w:space="0" w:color="auto"/>
            <w:bottom w:val="none" w:sz="0" w:space="0" w:color="auto"/>
            <w:right w:val="none" w:sz="0" w:space="0" w:color="auto"/>
          </w:divBdr>
        </w:div>
        <w:div w:id="1398476414">
          <w:marLeft w:val="1426"/>
          <w:marRight w:val="0"/>
          <w:marTop w:val="60"/>
          <w:marBottom w:val="0"/>
          <w:divBdr>
            <w:top w:val="none" w:sz="0" w:space="0" w:color="auto"/>
            <w:left w:val="none" w:sz="0" w:space="0" w:color="auto"/>
            <w:bottom w:val="none" w:sz="0" w:space="0" w:color="auto"/>
            <w:right w:val="none" w:sz="0" w:space="0" w:color="auto"/>
          </w:divBdr>
        </w:div>
        <w:div w:id="1531381594">
          <w:marLeft w:val="1426"/>
          <w:marRight w:val="0"/>
          <w:marTop w:val="60"/>
          <w:marBottom w:val="0"/>
          <w:divBdr>
            <w:top w:val="none" w:sz="0" w:space="0" w:color="auto"/>
            <w:left w:val="none" w:sz="0" w:space="0" w:color="auto"/>
            <w:bottom w:val="none" w:sz="0" w:space="0" w:color="auto"/>
            <w:right w:val="none" w:sz="0" w:space="0" w:color="auto"/>
          </w:divBdr>
        </w:div>
        <w:div w:id="1615557414">
          <w:marLeft w:val="850"/>
          <w:marRight w:val="0"/>
          <w:marTop w:val="255"/>
          <w:marBottom w:val="0"/>
          <w:divBdr>
            <w:top w:val="none" w:sz="0" w:space="0" w:color="auto"/>
            <w:left w:val="none" w:sz="0" w:space="0" w:color="auto"/>
            <w:bottom w:val="none" w:sz="0" w:space="0" w:color="auto"/>
            <w:right w:val="none" w:sz="0" w:space="0" w:color="auto"/>
          </w:divBdr>
        </w:div>
        <w:div w:id="1879928440">
          <w:marLeft w:val="1426"/>
          <w:marRight w:val="0"/>
          <w:marTop w:val="60"/>
          <w:marBottom w:val="0"/>
          <w:divBdr>
            <w:top w:val="none" w:sz="0" w:space="0" w:color="auto"/>
            <w:left w:val="none" w:sz="0" w:space="0" w:color="auto"/>
            <w:bottom w:val="none" w:sz="0" w:space="0" w:color="auto"/>
            <w:right w:val="none" w:sz="0" w:space="0" w:color="auto"/>
          </w:divBdr>
        </w:div>
        <w:div w:id="1961449964">
          <w:marLeft w:val="850"/>
          <w:marRight w:val="0"/>
          <w:marTop w:val="255"/>
          <w:marBottom w:val="0"/>
          <w:divBdr>
            <w:top w:val="none" w:sz="0" w:space="0" w:color="auto"/>
            <w:left w:val="none" w:sz="0" w:space="0" w:color="auto"/>
            <w:bottom w:val="none" w:sz="0" w:space="0" w:color="auto"/>
            <w:right w:val="none" w:sz="0" w:space="0" w:color="auto"/>
          </w:divBdr>
        </w:div>
        <w:div w:id="2014842103">
          <w:marLeft w:val="850"/>
          <w:marRight w:val="0"/>
          <w:marTop w:val="255"/>
          <w:marBottom w:val="0"/>
          <w:divBdr>
            <w:top w:val="none" w:sz="0" w:space="0" w:color="auto"/>
            <w:left w:val="none" w:sz="0" w:space="0" w:color="auto"/>
            <w:bottom w:val="none" w:sz="0" w:space="0" w:color="auto"/>
            <w:right w:val="none" w:sz="0" w:space="0" w:color="auto"/>
          </w:divBdr>
        </w:div>
        <w:div w:id="2016766573">
          <w:marLeft w:val="1426"/>
          <w:marRight w:val="0"/>
          <w:marTop w:val="60"/>
          <w:marBottom w:val="0"/>
          <w:divBdr>
            <w:top w:val="none" w:sz="0" w:space="0" w:color="auto"/>
            <w:left w:val="none" w:sz="0" w:space="0" w:color="auto"/>
            <w:bottom w:val="none" w:sz="0" w:space="0" w:color="auto"/>
            <w:right w:val="none" w:sz="0" w:space="0" w:color="auto"/>
          </w:divBdr>
        </w:div>
        <w:div w:id="2044094308">
          <w:marLeft w:val="850"/>
          <w:marRight w:val="0"/>
          <w:marTop w:val="255"/>
          <w:marBottom w:val="0"/>
          <w:divBdr>
            <w:top w:val="none" w:sz="0" w:space="0" w:color="auto"/>
            <w:left w:val="none" w:sz="0" w:space="0" w:color="auto"/>
            <w:bottom w:val="none" w:sz="0" w:space="0" w:color="auto"/>
            <w:right w:val="none" w:sz="0" w:space="0" w:color="auto"/>
          </w:divBdr>
        </w:div>
      </w:divsChild>
    </w:div>
    <w:div w:id="190345830">
      <w:bodyDiv w:val="1"/>
      <w:marLeft w:val="0"/>
      <w:marRight w:val="0"/>
      <w:marTop w:val="0"/>
      <w:marBottom w:val="0"/>
      <w:divBdr>
        <w:top w:val="none" w:sz="0" w:space="0" w:color="auto"/>
        <w:left w:val="none" w:sz="0" w:space="0" w:color="auto"/>
        <w:bottom w:val="none" w:sz="0" w:space="0" w:color="auto"/>
        <w:right w:val="none" w:sz="0" w:space="0" w:color="auto"/>
      </w:divBdr>
    </w:div>
    <w:div w:id="201138020">
      <w:bodyDiv w:val="1"/>
      <w:marLeft w:val="0"/>
      <w:marRight w:val="0"/>
      <w:marTop w:val="0"/>
      <w:marBottom w:val="0"/>
      <w:divBdr>
        <w:top w:val="none" w:sz="0" w:space="0" w:color="auto"/>
        <w:left w:val="none" w:sz="0" w:space="0" w:color="auto"/>
        <w:bottom w:val="none" w:sz="0" w:space="0" w:color="auto"/>
        <w:right w:val="none" w:sz="0" w:space="0" w:color="auto"/>
      </w:divBdr>
      <w:divsChild>
        <w:div w:id="108816323">
          <w:marLeft w:val="1426"/>
          <w:marRight w:val="0"/>
          <w:marTop w:val="120"/>
          <w:marBottom w:val="0"/>
          <w:divBdr>
            <w:top w:val="none" w:sz="0" w:space="0" w:color="auto"/>
            <w:left w:val="none" w:sz="0" w:space="0" w:color="auto"/>
            <w:bottom w:val="none" w:sz="0" w:space="0" w:color="auto"/>
            <w:right w:val="none" w:sz="0" w:space="0" w:color="auto"/>
          </w:divBdr>
        </w:div>
        <w:div w:id="248514272">
          <w:marLeft w:val="1426"/>
          <w:marRight w:val="0"/>
          <w:marTop w:val="120"/>
          <w:marBottom w:val="0"/>
          <w:divBdr>
            <w:top w:val="none" w:sz="0" w:space="0" w:color="auto"/>
            <w:left w:val="none" w:sz="0" w:space="0" w:color="auto"/>
            <w:bottom w:val="none" w:sz="0" w:space="0" w:color="auto"/>
            <w:right w:val="none" w:sz="0" w:space="0" w:color="auto"/>
          </w:divBdr>
        </w:div>
        <w:div w:id="350256407">
          <w:marLeft w:val="1426"/>
          <w:marRight w:val="0"/>
          <w:marTop w:val="240"/>
          <w:marBottom w:val="0"/>
          <w:divBdr>
            <w:top w:val="none" w:sz="0" w:space="0" w:color="auto"/>
            <w:left w:val="none" w:sz="0" w:space="0" w:color="auto"/>
            <w:bottom w:val="none" w:sz="0" w:space="0" w:color="auto"/>
            <w:right w:val="none" w:sz="0" w:space="0" w:color="auto"/>
          </w:divBdr>
        </w:div>
        <w:div w:id="2142459838">
          <w:marLeft w:val="1426"/>
          <w:marRight w:val="0"/>
          <w:marTop w:val="120"/>
          <w:marBottom w:val="0"/>
          <w:divBdr>
            <w:top w:val="none" w:sz="0" w:space="0" w:color="auto"/>
            <w:left w:val="none" w:sz="0" w:space="0" w:color="auto"/>
            <w:bottom w:val="none" w:sz="0" w:space="0" w:color="auto"/>
            <w:right w:val="none" w:sz="0" w:space="0" w:color="auto"/>
          </w:divBdr>
        </w:div>
      </w:divsChild>
    </w:div>
    <w:div w:id="202135802">
      <w:bodyDiv w:val="1"/>
      <w:marLeft w:val="0"/>
      <w:marRight w:val="0"/>
      <w:marTop w:val="0"/>
      <w:marBottom w:val="0"/>
      <w:divBdr>
        <w:top w:val="none" w:sz="0" w:space="0" w:color="auto"/>
        <w:left w:val="none" w:sz="0" w:space="0" w:color="auto"/>
        <w:bottom w:val="none" w:sz="0" w:space="0" w:color="auto"/>
        <w:right w:val="none" w:sz="0" w:space="0" w:color="auto"/>
      </w:divBdr>
      <w:divsChild>
        <w:div w:id="317004280">
          <w:marLeft w:val="1426"/>
          <w:marRight w:val="0"/>
          <w:marTop w:val="255"/>
          <w:marBottom w:val="0"/>
          <w:divBdr>
            <w:top w:val="none" w:sz="0" w:space="0" w:color="auto"/>
            <w:left w:val="none" w:sz="0" w:space="0" w:color="auto"/>
            <w:bottom w:val="none" w:sz="0" w:space="0" w:color="auto"/>
            <w:right w:val="none" w:sz="0" w:space="0" w:color="auto"/>
          </w:divBdr>
        </w:div>
        <w:div w:id="391008455">
          <w:marLeft w:val="2405"/>
          <w:marRight w:val="0"/>
          <w:marTop w:val="0"/>
          <w:marBottom w:val="0"/>
          <w:divBdr>
            <w:top w:val="none" w:sz="0" w:space="0" w:color="auto"/>
            <w:left w:val="none" w:sz="0" w:space="0" w:color="auto"/>
            <w:bottom w:val="none" w:sz="0" w:space="0" w:color="auto"/>
            <w:right w:val="none" w:sz="0" w:space="0" w:color="auto"/>
          </w:divBdr>
        </w:div>
        <w:div w:id="421754898">
          <w:marLeft w:val="1426"/>
          <w:marRight w:val="0"/>
          <w:marTop w:val="255"/>
          <w:marBottom w:val="0"/>
          <w:divBdr>
            <w:top w:val="none" w:sz="0" w:space="0" w:color="auto"/>
            <w:left w:val="none" w:sz="0" w:space="0" w:color="auto"/>
            <w:bottom w:val="none" w:sz="0" w:space="0" w:color="auto"/>
            <w:right w:val="none" w:sz="0" w:space="0" w:color="auto"/>
          </w:divBdr>
        </w:div>
        <w:div w:id="425421827">
          <w:marLeft w:val="2146"/>
          <w:marRight w:val="0"/>
          <w:marTop w:val="0"/>
          <w:marBottom w:val="0"/>
          <w:divBdr>
            <w:top w:val="none" w:sz="0" w:space="0" w:color="auto"/>
            <w:left w:val="none" w:sz="0" w:space="0" w:color="auto"/>
            <w:bottom w:val="none" w:sz="0" w:space="0" w:color="auto"/>
            <w:right w:val="none" w:sz="0" w:space="0" w:color="auto"/>
          </w:divBdr>
        </w:div>
        <w:div w:id="431358862">
          <w:marLeft w:val="2146"/>
          <w:marRight w:val="0"/>
          <w:marTop w:val="0"/>
          <w:marBottom w:val="0"/>
          <w:divBdr>
            <w:top w:val="none" w:sz="0" w:space="0" w:color="auto"/>
            <w:left w:val="none" w:sz="0" w:space="0" w:color="auto"/>
            <w:bottom w:val="none" w:sz="0" w:space="0" w:color="auto"/>
            <w:right w:val="none" w:sz="0" w:space="0" w:color="auto"/>
          </w:divBdr>
        </w:div>
        <w:div w:id="557522023">
          <w:marLeft w:val="2146"/>
          <w:marRight w:val="0"/>
          <w:marTop w:val="0"/>
          <w:marBottom w:val="0"/>
          <w:divBdr>
            <w:top w:val="none" w:sz="0" w:space="0" w:color="auto"/>
            <w:left w:val="none" w:sz="0" w:space="0" w:color="auto"/>
            <w:bottom w:val="none" w:sz="0" w:space="0" w:color="auto"/>
            <w:right w:val="none" w:sz="0" w:space="0" w:color="auto"/>
          </w:divBdr>
        </w:div>
        <w:div w:id="650672807">
          <w:marLeft w:val="2405"/>
          <w:marRight w:val="0"/>
          <w:marTop w:val="0"/>
          <w:marBottom w:val="0"/>
          <w:divBdr>
            <w:top w:val="none" w:sz="0" w:space="0" w:color="auto"/>
            <w:left w:val="none" w:sz="0" w:space="0" w:color="auto"/>
            <w:bottom w:val="none" w:sz="0" w:space="0" w:color="auto"/>
            <w:right w:val="none" w:sz="0" w:space="0" w:color="auto"/>
          </w:divBdr>
        </w:div>
        <w:div w:id="748238386">
          <w:marLeft w:val="2146"/>
          <w:marRight w:val="0"/>
          <w:marTop w:val="0"/>
          <w:marBottom w:val="0"/>
          <w:divBdr>
            <w:top w:val="none" w:sz="0" w:space="0" w:color="auto"/>
            <w:left w:val="none" w:sz="0" w:space="0" w:color="auto"/>
            <w:bottom w:val="none" w:sz="0" w:space="0" w:color="auto"/>
            <w:right w:val="none" w:sz="0" w:space="0" w:color="auto"/>
          </w:divBdr>
        </w:div>
        <w:div w:id="767315728">
          <w:marLeft w:val="2146"/>
          <w:marRight w:val="0"/>
          <w:marTop w:val="0"/>
          <w:marBottom w:val="0"/>
          <w:divBdr>
            <w:top w:val="none" w:sz="0" w:space="0" w:color="auto"/>
            <w:left w:val="none" w:sz="0" w:space="0" w:color="auto"/>
            <w:bottom w:val="none" w:sz="0" w:space="0" w:color="auto"/>
            <w:right w:val="none" w:sz="0" w:space="0" w:color="auto"/>
          </w:divBdr>
        </w:div>
        <w:div w:id="774398130">
          <w:marLeft w:val="1426"/>
          <w:marRight w:val="0"/>
          <w:marTop w:val="255"/>
          <w:marBottom w:val="0"/>
          <w:divBdr>
            <w:top w:val="none" w:sz="0" w:space="0" w:color="auto"/>
            <w:left w:val="none" w:sz="0" w:space="0" w:color="auto"/>
            <w:bottom w:val="none" w:sz="0" w:space="0" w:color="auto"/>
            <w:right w:val="none" w:sz="0" w:space="0" w:color="auto"/>
          </w:divBdr>
        </w:div>
        <w:div w:id="1095709315">
          <w:marLeft w:val="1426"/>
          <w:marRight w:val="0"/>
          <w:marTop w:val="255"/>
          <w:marBottom w:val="0"/>
          <w:divBdr>
            <w:top w:val="none" w:sz="0" w:space="0" w:color="auto"/>
            <w:left w:val="none" w:sz="0" w:space="0" w:color="auto"/>
            <w:bottom w:val="none" w:sz="0" w:space="0" w:color="auto"/>
            <w:right w:val="none" w:sz="0" w:space="0" w:color="auto"/>
          </w:divBdr>
        </w:div>
        <w:div w:id="1168329919">
          <w:marLeft w:val="2146"/>
          <w:marRight w:val="0"/>
          <w:marTop w:val="0"/>
          <w:marBottom w:val="0"/>
          <w:divBdr>
            <w:top w:val="none" w:sz="0" w:space="0" w:color="auto"/>
            <w:left w:val="none" w:sz="0" w:space="0" w:color="auto"/>
            <w:bottom w:val="none" w:sz="0" w:space="0" w:color="auto"/>
            <w:right w:val="none" w:sz="0" w:space="0" w:color="auto"/>
          </w:divBdr>
        </w:div>
        <w:div w:id="1255095144">
          <w:marLeft w:val="2146"/>
          <w:marRight w:val="0"/>
          <w:marTop w:val="0"/>
          <w:marBottom w:val="0"/>
          <w:divBdr>
            <w:top w:val="none" w:sz="0" w:space="0" w:color="auto"/>
            <w:left w:val="none" w:sz="0" w:space="0" w:color="auto"/>
            <w:bottom w:val="none" w:sz="0" w:space="0" w:color="auto"/>
            <w:right w:val="none" w:sz="0" w:space="0" w:color="auto"/>
          </w:divBdr>
        </w:div>
        <w:div w:id="1491559799">
          <w:marLeft w:val="2146"/>
          <w:marRight w:val="0"/>
          <w:marTop w:val="0"/>
          <w:marBottom w:val="0"/>
          <w:divBdr>
            <w:top w:val="none" w:sz="0" w:space="0" w:color="auto"/>
            <w:left w:val="none" w:sz="0" w:space="0" w:color="auto"/>
            <w:bottom w:val="none" w:sz="0" w:space="0" w:color="auto"/>
            <w:right w:val="none" w:sz="0" w:space="0" w:color="auto"/>
          </w:divBdr>
        </w:div>
        <w:div w:id="1607080959">
          <w:marLeft w:val="2146"/>
          <w:marRight w:val="0"/>
          <w:marTop w:val="0"/>
          <w:marBottom w:val="0"/>
          <w:divBdr>
            <w:top w:val="none" w:sz="0" w:space="0" w:color="auto"/>
            <w:left w:val="none" w:sz="0" w:space="0" w:color="auto"/>
            <w:bottom w:val="none" w:sz="0" w:space="0" w:color="auto"/>
            <w:right w:val="none" w:sz="0" w:space="0" w:color="auto"/>
          </w:divBdr>
        </w:div>
        <w:div w:id="1714423460">
          <w:marLeft w:val="2146"/>
          <w:marRight w:val="0"/>
          <w:marTop w:val="0"/>
          <w:marBottom w:val="0"/>
          <w:divBdr>
            <w:top w:val="none" w:sz="0" w:space="0" w:color="auto"/>
            <w:left w:val="none" w:sz="0" w:space="0" w:color="auto"/>
            <w:bottom w:val="none" w:sz="0" w:space="0" w:color="auto"/>
            <w:right w:val="none" w:sz="0" w:space="0" w:color="auto"/>
          </w:divBdr>
        </w:div>
      </w:divsChild>
    </w:div>
    <w:div w:id="218634471">
      <w:bodyDiv w:val="1"/>
      <w:marLeft w:val="0"/>
      <w:marRight w:val="0"/>
      <w:marTop w:val="0"/>
      <w:marBottom w:val="0"/>
      <w:divBdr>
        <w:top w:val="none" w:sz="0" w:space="0" w:color="auto"/>
        <w:left w:val="none" w:sz="0" w:space="0" w:color="auto"/>
        <w:bottom w:val="none" w:sz="0" w:space="0" w:color="auto"/>
        <w:right w:val="none" w:sz="0" w:space="0" w:color="auto"/>
      </w:divBdr>
    </w:div>
    <w:div w:id="228031581">
      <w:bodyDiv w:val="1"/>
      <w:marLeft w:val="0"/>
      <w:marRight w:val="0"/>
      <w:marTop w:val="0"/>
      <w:marBottom w:val="0"/>
      <w:divBdr>
        <w:top w:val="none" w:sz="0" w:space="0" w:color="auto"/>
        <w:left w:val="none" w:sz="0" w:space="0" w:color="auto"/>
        <w:bottom w:val="none" w:sz="0" w:space="0" w:color="auto"/>
        <w:right w:val="none" w:sz="0" w:space="0" w:color="auto"/>
      </w:divBdr>
      <w:divsChild>
        <w:div w:id="523597635">
          <w:marLeft w:val="850"/>
          <w:marRight w:val="0"/>
          <w:marTop w:val="60"/>
          <w:marBottom w:val="0"/>
          <w:divBdr>
            <w:top w:val="none" w:sz="0" w:space="0" w:color="auto"/>
            <w:left w:val="none" w:sz="0" w:space="0" w:color="auto"/>
            <w:bottom w:val="none" w:sz="0" w:space="0" w:color="auto"/>
            <w:right w:val="none" w:sz="0" w:space="0" w:color="auto"/>
          </w:divBdr>
        </w:div>
        <w:div w:id="550502786">
          <w:marLeft w:val="1426"/>
          <w:marRight w:val="0"/>
          <w:marTop w:val="60"/>
          <w:marBottom w:val="0"/>
          <w:divBdr>
            <w:top w:val="none" w:sz="0" w:space="0" w:color="auto"/>
            <w:left w:val="none" w:sz="0" w:space="0" w:color="auto"/>
            <w:bottom w:val="none" w:sz="0" w:space="0" w:color="auto"/>
            <w:right w:val="none" w:sz="0" w:space="0" w:color="auto"/>
          </w:divBdr>
        </w:div>
        <w:div w:id="872307401">
          <w:marLeft w:val="1426"/>
          <w:marRight w:val="0"/>
          <w:marTop w:val="60"/>
          <w:marBottom w:val="0"/>
          <w:divBdr>
            <w:top w:val="none" w:sz="0" w:space="0" w:color="auto"/>
            <w:left w:val="none" w:sz="0" w:space="0" w:color="auto"/>
            <w:bottom w:val="none" w:sz="0" w:space="0" w:color="auto"/>
            <w:right w:val="none" w:sz="0" w:space="0" w:color="auto"/>
          </w:divBdr>
        </w:div>
        <w:div w:id="919604038">
          <w:marLeft w:val="1426"/>
          <w:marRight w:val="0"/>
          <w:marTop w:val="60"/>
          <w:marBottom w:val="0"/>
          <w:divBdr>
            <w:top w:val="none" w:sz="0" w:space="0" w:color="auto"/>
            <w:left w:val="none" w:sz="0" w:space="0" w:color="auto"/>
            <w:bottom w:val="none" w:sz="0" w:space="0" w:color="auto"/>
            <w:right w:val="none" w:sz="0" w:space="0" w:color="auto"/>
          </w:divBdr>
        </w:div>
        <w:div w:id="1486117923">
          <w:marLeft w:val="850"/>
          <w:marRight w:val="0"/>
          <w:marTop w:val="60"/>
          <w:marBottom w:val="0"/>
          <w:divBdr>
            <w:top w:val="none" w:sz="0" w:space="0" w:color="auto"/>
            <w:left w:val="none" w:sz="0" w:space="0" w:color="auto"/>
            <w:bottom w:val="none" w:sz="0" w:space="0" w:color="auto"/>
            <w:right w:val="none" w:sz="0" w:space="0" w:color="auto"/>
          </w:divBdr>
        </w:div>
        <w:div w:id="1493567813">
          <w:marLeft w:val="1426"/>
          <w:marRight w:val="0"/>
          <w:marTop w:val="60"/>
          <w:marBottom w:val="0"/>
          <w:divBdr>
            <w:top w:val="none" w:sz="0" w:space="0" w:color="auto"/>
            <w:left w:val="none" w:sz="0" w:space="0" w:color="auto"/>
            <w:bottom w:val="none" w:sz="0" w:space="0" w:color="auto"/>
            <w:right w:val="none" w:sz="0" w:space="0" w:color="auto"/>
          </w:divBdr>
        </w:div>
        <w:div w:id="1648784171">
          <w:marLeft w:val="850"/>
          <w:marRight w:val="0"/>
          <w:marTop w:val="60"/>
          <w:marBottom w:val="0"/>
          <w:divBdr>
            <w:top w:val="none" w:sz="0" w:space="0" w:color="auto"/>
            <w:left w:val="none" w:sz="0" w:space="0" w:color="auto"/>
            <w:bottom w:val="none" w:sz="0" w:space="0" w:color="auto"/>
            <w:right w:val="none" w:sz="0" w:space="0" w:color="auto"/>
          </w:divBdr>
        </w:div>
        <w:div w:id="1907835853">
          <w:marLeft w:val="1426"/>
          <w:marRight w:val="0"/>
          <w:marTop w:val="60"/>
          <w:marBottom w:val="0"/>
          <w:divBdr>
            <w:top w:val="none" w:sz="0" w:space="0" w:color="auto"/>
            <w:left w:val="none" w:sz="0" w:space="0" w:color="auto"/>
            <w:bottom w:val="none" w:sz="0" w:space="0" w:color="auto"/>
            <w:right w:val="none" w:sz="0" w:space="0" w:color="auto"/>
          </w:divBdr>
        </w:div>
        <w:div w:id="2029257633">
          <w:marLeft w:val="1426"/>
          <w:marRight w:val="0"/>
          <w:marTop w:val="60"/>
          <w:marBottom w:val="0"/>
          <w:divBdr>
            <w:top w:val="none" w:sz="0" w:space="0" w:color="auto"/>
            <w:left w:val="none" w:sz="0" w:space="0" w:color="auto"/>
            <w:bottom w:val="none" w:sz="0" w:space="0" w:color="auto"/>
            <w:right w:val="none" w:sz="0" w:space="0" w:color="auto"/>
          </w:divBdr>
        </w:div>
        <w:div w:id="2136211903">
          <w:marLeft w:val="1426"/>
          <w:marRight w:val="0"/>
          <w:marTop w:val="60"/>
          <w:marBottom w:val="0"/>
          <w:divBdr>
            <w:top w:val="none" w:sz="0" w:space="0" w:color="auto"/>
            <w:left w:val="none" w:sz="0" w:space="0" w:color="auto"/>
            <w:bottom w:val="none" w:sz="0" w:space="0" w:color="auto"/>
            <w:right w:val="none" w:sz="0" w:space="0" w:color="auto"/>
          </w:divBdr>
        </w:div>
      </w:divsChild>
    </w:div>
    <w:div w:id="229536349">
      <w:bodyDiv w:val="1"/>
      <w:marLeft w:val="0"/>
      <w:marRight w:val="0"/>
      <w:marTop w:val="0"/>
      <w:marBottom w:val="0"/>
      <w:divBdr>
        <w:top w:val="none" w:sz="0" w:space="0" w:color="auto"/>
        <w:left w:val="none" w:sz="0" w:space="0" w:color="auto"/>
        <w:bottom w:val="none" w:sz="0" w:space="0" w:color="auto"/>
        <w:right w:val="none" w:sz="0" w:space="0" w:color="auto"/>
      </w:divBdr>
    </w:div>
    <w:div w:id="267470592">
      <w:bodyDiv w:val="1"/>
      <w:marLeft w:val="0"/>
      <w:marRight w:val="0"/>
      <w:marTop w:val="0"/>
      <w:marBottom w:val="0"/>
      <w:divBdr>
        <w:top w:val="none" w:sz="0" w:space="0" w:color="auto"/>
        <w:left w:val="none" w:sz="0" w:space="0" w:color="auto"/>
        <w:bottom w:val="none" w:sz="0" w:space="0" w:color="auto"/>
        <w:right w:val="none" w:sz="0" w:space="0" w:color="auto"/>
      </w:divBdr>
      <w:divsChild>
        <w:div w:id="225918211">
          <w:marLeft w:val="1267"/>
          <w:marRight w:val="0"/>
          <w:marTop w:val="120"/>
          <w:marBottom w:val="0"/>
          <w:divBdr>
            <w:top w:val="none" w:sz="0" w:space="0" w:color="auto"/>
            <w:left w:val="none" w:sz="0" w:space="0" w:color="auto"/>
            <w:bottom w:val="none" w:sz="0" w:space="0" w:color="auto"/>
            <w:right w:val="none" w:sz="0" w:space="0" w:color="auto"/>
          </w:divBdr>
        </w:div>
        <w:div w:id="527059837">
          <w:marLeft w:val="850"/>
          <w:marRight w:val="0"/>
          <w:marTop w:val="60"/>
          <w:marBottom w:val="0"/>
          <w:divBdr>
            <w:top w:val="none" w:sz="0" w:space="0" w:color="auto"/>
            <w:left w:val="none" w:sz="0" w:space="0" w:color="auto"/>
            <w:bottom w:val="none" w:sz="0" w:space="0" w:color="auto"/>
            <w:right w:val="none" w:sz="0" w:space="0" w:color="auto"/>
          </w:divBdr>
        </w:div>
        <w:div w:id="533887098">
          <w:marLeft w:val="1426"/>
          <w:marRight w:val="0"/>
          <w:marTop w:val="120"/>
          <w:marBottom w:val="0"/>
          <w:divBdr>
            <w:top w:val="none" w:sz="0" w:space="0" w:color="auto"/>
            <w:left w:val="none" w:sz="0" w:space="0" w:color="auto"/>
            <w:bottom w:val="none" w:sz="0" w:space="0" w:color="auto"/>
            <w:right w:val="none" w:sz="0" w:space="0" w:color="auto"/>
          </w:divBdr>
        </w:div>
        <w:div w:id="656763608">
          <w:marLeft w:val="2146"/>
          <w:marRight w:val="0"/>
          <w:marTop w:val="120"/>
          <w:marBottom w:val="0"/>
          <w:divBdr>
            <w:top w:val="none" w:sz="0" w:space="0" w:color="auto"/>
            <w:left w:val="none" w:sz="0" w:space="0" w:color="auto"/>
            <w:bottom w:val="none" w:sz="0" w:space="0" w:color="auto"/>
            <w:right w:val="none" w:sz="0" w:space="0" w:color="auto"/>
          </w:divBdr>
        </w:div>
        <w:div w:id="658074965">
          <w:marLeft w:val="1267"/>
          <w:marRight w:val="0"/>
          <w:marTop w:val="120"/>
          <w:marBottom w:val="0"/>
          <w:divBdr>
            <w:top w:val="none" w:sz="0" w:space="0" w:color="auto"/>
            <w:left w:val="none" w:sz="0" w:space="0" w:color="auto"/>
            <w:bottom w:val="none" w:sz="0" w:space="0" w:color="auto"/>
            <w:right w:val="none" w:sz="0" w:space="0" w:color="auto"/>
          </w:divBdr>
        </w:div>
        <w:div w:id="1184587644">
          <w:marLeft w:val="1426"/>
          <w:marRight w:val="0"/>
          <w:marTop w:val="120"/>
          <w:marBottom w:val="0"/>
          <w:divBdr>
            <w:top w:val="none" w:sz="0" w:space="0" w:color="auto"/>
            <w:left w:val="none" w:sz="0" w:space="0" w:color="auto"/>
            <w:bottom w:val="none" w:sz="0" w:space="0" w:color="auto"/>
            <w:right w:val="none" w:sz="0" w:space="0" w:color="auto"/>
          </w:divBdr>
        </w:div>
        <w:div w:id="1286353780">
          <w:marLeft w:val="1426"/>
          <w:marRight w:val="0"/>
          <w:marTop w:val="120"/>
          <w:marBottom w:val="0"/>
          <w:divBdr>
            <w:top w:val="none" w:sz="0" w:space="0" w:color="auto"/>
            <w:left w:val="none" w:sz="0" w:space="0" w:color="auto"/>
            <w:bottom w:val="none" w:sz="0" w:space="0" w:color="auto"/>
            <w:right w:val="none" w:sz="0" w:space="0" w:color="auto"/>
          </w:divBdr>
        </w:div>
        <w:div w:id="1702898870">
          <w:marLeft w:val="1267"/>
          <w:marRight w:val="0"/>
          <w:marTop w:val="120"/>
          <w:marBottom w:val="0"/>
          <w:divBdr>
            <w:top w:val="none" w:sz="0" w:space="0" w:color="auto"/>
            <w:left w:val="none" w:sz="0" w:space="0" w:color="auto"/>
            <w:bottom w:val="none" w:sz="0" w:space="0" w:color="auto"/>
            <w:right w:val="none" w:sz="0" w:space="0" w:color="auto"/>
          </w:divBdr>
        </w:div>
        <w:div w:id="1895851370">
          <w:marLeft w:val="850"/>
          <w:marRight w:val="0"/>
          <w:marTop w:val="60"/>
          <w:marBottom w:val="0"/>
          <w:divBdr>
            <w:top w:val="none" w:sz="0" w:space="0" w:color="auto"/>
            <w:left w:val="none" w:sz="0" w:space="0" w:color="auto"/>
            <w:bottom w:val="none" w:sz="0" w:space="0" w:color="auto"/>
            <w:right w:val="none" w:sz="0" w:space="0" w:color="auto"/>
          </w:divBdr>
        </w:div>
      </w:divsChild>
    </w:div>
    <w:div w:id="282149895">
      <w:bodyDiv w:val="1"/>
      <w:marLeft w:val="0"/>
      <w:marRight w:val="0"/>
      <w:marTop w:val="0"/>
      <w:marBottom w:val="0"/>
      <w:divBdr>
        <w:top w:val="none" w:sz="0" w:space="0" w:color="auto"/>
        <w:left w:val="none" w:sz="0" w:space="0" w:color="auto"/>
        <w:bottom w:val="none" w:sz="0" w:space="0" w:color="auto"/>
        <w:right w:val="none" w:sz="0" w:space="0" w:color="auto"/>
      </w:divBdr>
      <w:divsChild>
        <w:div w:id="37779123">
          <w:marLeft w:val="850"/>
          <w:marRight w:val="0"/>
          <w:marTop w:val="60"/>
          <w:marBottom w:val="0"/>
          <w:divBdr>
            <w:top w:val="none" w:sz="0" w:space="0" w:color="auto"/>
            <w:left w:val="none" w:sz="0" w:space="0" w:color="auto"/>
            <w:bottom w:val="none" w:sz="0" w:space="0" w:color="auto"/>
            <w:right w:val="none" w:sz="0" w:space="0" w:color="auto"/>
          </w:divBdr>
        </w:div>
        <w:div w:id="90905273">
          <w:marLeft w:val="504"/>
          <w:marRight w:val="0"/>
          <w:marTop w:val="60"/>
          <w:marBottom w:val="0"/>
          <w:divBdr>
            <w:top w:val="none" w:sz="0" w:space="0" w:color="auto"/>
            <w:left w:val="none" w:sz="0" w:space="0" w:color="auto"/>
            <w:bottom w:val="none" w:sz="0" w:space="0" w:color="auto"/>
            <w:right w:val="none" w:sz="0" w:space="0" w:color="auto"/>
          </w:divBdr>
        </w:div>
        <w:div w:id="328556069">
          <w:marLeft w:val="850"/>
          <w:marRight w:val="0"/>
          <w:marTop w:val="60"/>
          <w:marBottom w:val="0"/>
          <w:divBdr>
            <w:top w:val="none" w:sz="0" w:space="0" w:color="auto"/>
            <w:left w:val="none" w:sz="0" w:space="0" w:color="auto"/>
            <w:bottom w:val="none" w:sz="0" w:space="0" w:color="auto"/>
            <w:right w:val="none" w:sz="0" w:space="0" w:color="auto"/>
          </w:divBdr>
        </w:div>
        <w:div w:id="436490056">
          <w:marLeft w:val="504"/>
          <w:marRight w:val="0"/>
          <w:marTop w:val="60"/>
          <w:marBottom w:val="0"/>
          <w:divBdr>
            <w:top w:val="none" w:sz="0" w:space="0" w:color="auto"/>
            <w:left w:val="none" w:sz="0" w:space="0" w:color="auto"/>
            <w:bottom w:val="none" w:sz="0" w:space="0" w:color="auto"/>
            <w:right w:val="none" w:sz="0" w:space="0" w:color="auto"/>
          </w:divBdr>
        </w:div>
        <w:div w:id="689721053">
          <w:marLeft w:val="850"/>
          <w:marRight w:val="0"/>
          <w:marTop w:val="60"/>
          <w:marBottom w:val="0"/>
          <w:divBdr>
            <w:top w:val="none" w:sz="0" w:space="0" w:color="auto"/>
            <w:left w:val="none" w:sz="0" w:space="0" w:color="auto"/>
            <w:bottom w:val="none" w:sz="0" w:space="0" w:color="auto"/>
            <w:right w:val="none" w:sz="0" w:space="0" w:color="auto"/>
          </w:divBdr>
        </w:div>
        <w:div w:id="1196042313">
          <w:marLeft w:val="850"/>
          <w:marRight w:val="0"/>
          <w:marTop w:val="60"/>
          <w:marBottom w:val="0"/>
          <w:divBdr>
            <w:top w:val="none" w:sz="0" w:space="0" w:color="auto"/>
            <w:left w:val="none" w:sz="0" w:space="0" w:color="auto"/>
            <w:bottom w:val="none" w:sz="0" w:space="0" w:color="auto"/>
            <w:right w:val="none" w:sz="0" w:space="0" w:color="auto"/>
          </w:divBdr>
        </w:div>
        <w:div w:id="1489788084">
          <w:marLeft w:val="850"/>
          <w:marRight w:val="0"/>
          <w:marTop w:val="60"/>
          <w:marBottom w:val="0"/>
          <w:divBdr>
            <w:top w:val="none" w:sz="0" w:space="0" w:color="auto"/>
            <w:left w:val="none" w:sz="0" w:space="0" w:color="auto"/>
            <w:bottom w:val="none" w:sz="0" w:space="0" w:color="auto"/>
            <w:right w:val="none" w:sz="0" w:space="0" w:color="auto"/>
          </w:divBdr>
        </w:div>
        <w:div w:id="1696619036">
          <w:marLeft w:val="850"/>
          <w:marRight w:val="0"/>
          <w:marTop w:val="60"/>
          <w:marBottom w:val="0"/>
          <w:divBdr>
            <w:top w:val="none" w:sz="0" w:space="0" w:color="auto"/>
            <w:left w:val="none" w:sz="0" w:space="0" w:color="auto"/>
            <w:bottom w:val="none" w:sz="0" w:space="0" w:color="auto"/>
            <w:right w:val="none" w:sz="0" w:space="0" w:color="auto"/>
          </w:divBdr>
        </w:div>
        <w:div w:id="1814712647">
          <w:marLeft w:val="850"/>
          <w:marRight w:val="0"/>
          <w:marTop w:val="60"/>
          <w:marBottom w:val="0"/>
          <w:divBdr>
            <w:top w:val="none" w:sz="0" w:space="0" w:color="auto"/>
            <w:left w:val="none" w:sz="0" w:space="0" w:color="auto"/>
            <w:bottom w:val="none" w:sz="0" w:space="0" w:color="auto"/>
            <w:right w:val="none" w:sz="0" w:space="0" w:color="auto"/>
          </w:divBdr>
        </w:div>
        <w:div w:id="1823697754">
          <w:marLeft w:val="504"/>
          <w:marRight w:val="0"/>
          <w:marTop w:val="60"/>
          <w:marBottom w:val="0"/>
          <w:divBdr>
            <w:top w:val="none" w:sz="0" w:space="0" w:color="auto"/>
            <w:left w:val="none" w:sz="0" w:space="0" w:color="auto"/>
            <w:bottom w:val="none" w:sz="0" w:space="0" w:color="auto"/>
            <w:right w:val="none" w:sz="0" w:space="0" w:color="auto"/>
          </w:divBdr>
        </w:div>
        <w:div w:id="1830948864">
          <w:marLeft w:val="850"/>
          <w:marRight w:val="0"/>
          <w:marTop w:val="60"/>
          <w:marBottom w:val="0"/>
          <w:divBdr>
            <w:top w:val="none" w:sz="0" w:space="0" w:color="auto"/>
            <w:left w:val="none" w:sz="0" w:space="0" w:color="auto"/>
            <w:bottom w:val="none" w:sz="0" w:space="0" w:color="auto"/>
            <w:right w:val="none" w:sz="0" w:space="0" w:color="auto"/>
          </w:divBdr>
        </w:div>
        <w:div w:id="1880167922">
          <w:marLeft w:val="850"/>
          <w:marRight w:val="0"/>
          <w:marTop w:val="60"/>
          <w:marBottom w:val="0"/>
          <w:divBdr>
            <w:top w:val="none" w:sz="0" w:space="0" w:color="auto"/>
            <w:left w:val="none" w:sz="0" w:space="0" w:color="auto"/>
            <w:bottom w:val="none" w:sz="0" w:space="0" w:color="auto"/>
            <w:right w:val="none" w:sz="0" w:space="0" w:color="auto"/>
          </w:divBdr>
        </w:div>
      </w:divsChild>
    </w:div>
    <w:div w:id="309405910">
      <w:bodyDiv w:val="1"/>
      <w:marLeft w:val="0"/>
      <w:marRight w:val="0"/>
      <w:marTop w:val="0"/>
      <w:marBottom w:val="0"/>
      <w:divBdr>
        <w:top w:val="none" w:sz="0" w:space="0" w:color="auto"/>
        <w:left w:val="none" w:sz="0" w:space="0" w:color="auto"/>
        <w:bottom w:val="none" w:sz="0" w:space="0" w:color="auto"/>
        <w:right w:val="none" w:sz="0" w:space="0" w:color="auto"/>
      </w:divBdr>
      <w:divsChild>
        <w:div w:id="512455059">
          <w:marLeft w:val="1843"/>
          <w:marRight w:val="0"/>
          <w:marTop w:val="0"/>
          <w:marBottom w:val="0"/>
          <w:divBdr>
            <w:top w:val="none" w:sz="0" w:space="0" w:color="auto"/>
            <w:left w:val="none" w:sz="0" w:space="0" w:color="auto"/>
            <w:bottom w:val="none" w:sz="0" w:space="0" w:color="auto"/>
            <w:right w:val="none" w:sz="0" w:space="0" w:color="auto"/>
          </w:divBdr>
        </w:div>
        <w:div w:id="601302513">
          <w:marLeft w:val="1843"/>
          <w:marRight w:val="0"/>
          <w:marTop w:val="0"/>
          <w:marBottom w:val="0"/>
          <w:divBdr>
            <w:top w:val="none" w:sz="0" w:space="0" w:color="auto"/>
            <w:left w:val="none" w:sz="0" w:space="0" w:color="auto"/>
            <w:bottom w:val="none" w:sz="0" w:space="0" w:color="auto"/>
            <w:right w:val="none" w:sz="0" w:space="0" w:color="auto"/>
          </w:divBdr>
        </w:div>
        <w:div w:id="685980294">
          <w:marLeft w:val="1843"/>
          <w:marRight w:val="0"/>
          <w:marTop w:val="0"/>
          <w:marBottom w:val="0"/>
          <w:divBdr>
            <w:top w:val="none" w:sz="0" w:space="0" w:color="auto"/>
            <w:left w:val="none" w:sz="0" w:space="0" w:color="auto"/>
            <w:bottom w:val="none" w:sz="0" w:space="0" w:color="auto"/>
            <w:right w:val="none" w:sz="0" w:space="0" w:color="auto"/>
          </w:divBdr>
        </w:div>
        <w:div w:id="785612509">
          <w:marLeft w:val="1843"/>
          <w:marRight w:val="0"/>
          <w:marTop w:val="0"/>
          <w:marBottom w:val="0"/>
          <w:divBdr>
            <w:top w:val="none" w:sz="0" w:space="0" w:color="auto"/>
            <w:left w:val="none" w:sz="0" w:space="0" w:color="auto"/>
            <w:bottom w:val="none" w:sz="0" w:space="0" w:color="auto"/>
            <w:right w:val="none" w:sz="0" w:space="0" w:color="auto"/>
          </w:divBdr>
        </w:div>
        <w:div w:id="839274229">
          <w:marLeft w:val="1843"/>
          <w:marRight w:val="0"/>
          <w:marTop w:val="0"/>
          <w:marBottom w:val="0"/>
          <w:divBdr>
            <w:top w:val="none" w:sz="0" w:space="0" w:color="auto"/>
            <w:left w:val="none" w:sz="0" w:space="0" w:color="auto"/>
            <w:bottom w:val="none" w:sz="0" w:space="0" w:color="auto"/>
            <w:right w:val="none" w:sz="0" w:space="0" w:color="auto"/>
          </w:divBdr>
        </w:div>
        <w:div w:id="954025887">
          <w:marLeft w:val="1843"/>
          <w:marRight w:val="0"/>
          <w:marTop w:val="0"/>
          <w:marBottom w:val="0"/>
          <w:divBdr>
            <w:top w:val="none" w:sz="0" w:space="0" w:color="auto"/>
            <w:left w:val="none" w:sz="0" w:space="0" w:color="auto"/>
            <w:bottom w:val="none" w:sz="0" w:space="0" w:color="auto"/>
            <w:right w:val="none" w:sz="0" w:space="0" w:color="auto"/>
          </w:divBdr>
        </w:div>
        <w:div w:id="1050037516">
          <w:marLeft w:val="1843"/>
          <w:marRight w:val="0"/>
          <w:marTop w:val="0"/>
          <w:marBottom w:val="0"/>
          <w:divBdr>
            <w:top w:val="none" w:sz="0" w:space="0" w:color="auto"/>
            <w:left w:val="none" w:sz="0" w:space="0" w:color="auto"/>
            <w:bottom w:val="none" w:sz="0" w:space="0" w:color="auto"/>
            <w:right w:val="none" w:sz="0" w:space="0" w:color="auto"/>
          </w:divBdr>
        </w:div>
        <w:div w:id="1789474170">
          <w:marLeft w:val="1843"/>
          <w:marRight w:val="0"/>
          <w:marTop w:val="0"/>
          <w:marBottom w:val="0"/>
          <w:divBdr>
            <w:top w:val="none" w:sz="0" w:space="0" w:color="auto"/>
            <w:left w:val="none" w:sz="0" w:space="0" w:color="auto"/>
            <w:bottom w:val="none" w:sz="0" w:space="0" w:color="auto"/>
            <w:right w:val="none" w:sz="0" w:space="0" w:color="auto"/>
          </w:divBdr>
        </w:div>
        <w:div w:id="1862011651">
          <w:marLeft w:val="1843"/>
          <w:marRight w:val="0"/>
          <w:marTop w:val="0"/>
          <w:marBottom w:val="0"/>
          <w:divBdr>
            <w:top w:val="none" w:sz="0" w:space="0" w:color="auto"/>
            <w:left w:val="none" w:sz="0" w:space="0" w:color="auto"/>
            <w:bottom w:val="none" w:sz="0" w:space="0" w:color="auto"/>
            <w:right w:val="none" w:sz="0" w:space="0" w:color="auto"/>
          </w:divBdr>
        </w:div>
      </w:divsChild>
    </w:div>
    <w:div w:id="310983830">
      <w:bodyDiv w:val="1"/>
      <w:marLeft w:val="0"/>
      <w:marRight w:val="0"/>
      <w:marTop w:val="0"/>
      <w:marBottom w:val="0"/>
      <w:divBdr>
        <w:top w:val="none" w:sz="0" w:space="0" w:color="auto"/>
        <w:left w:val="none" w:sz="0" w:space="0" w:color="auto"/>
        <w:bottom w:val="none" w:sz="0" w:space="0" w:color="auto"/>
        <w:right w:val="none" w:sz="0" w:space="0" w:color="auto"/>
      </w:divBdr>
      <w:divsChild>
        <w:div w:id="386103408">
          <w:marLeft w:val="979"/>
          <w:marRight w:val="0"/>
          <w:marTop w:val="120"/>
          <w:marBottom w:val="0"/>
          <w:divBdr>
            <w:top w:val="none" w:sz="0" w:space="0" w:color="auto"/>
            <w:left w:val="none" w:sz="0" w:space="0" w:color="auto"/>
            <w:bottom w:val="none" w:sz="0" w:space="0" w:color="auto"/>
            <w:right w:val="none" w:sz="0" w:space="0" w:color="auto"/>
          </w:divBdr>
        </w:div>
        <w:div w:id="1098794399">
          <w:marLeft w:val="979"/>
          <w:marRight w:val="0"/>
          <w:marTop w:val="120"/>
          <w:marBottom w:val="0"/>
          <w:divBdr>
            <w:top w:val="none" w:sz="0" w:space="0" w:color="auto"/>
            <w:left w:val="none" w:sz="0" w:space="0" w:color="auto"/>
            <w:bottom w:val="none" w:sz="0" w:space="0" w:color="auto"/>
            <w:right w:val="none" w:sz="0" w:space="0" w:color="auto"/>
          </w:divBdr>
        </w:div>
        <w:div w:id="1471749504">
          <w:marLeft w:val="979"/>
          <w:marRight w:val="0"/>
          <w:marTop w:val="120"/>
          <w:marBottom w:val="0"/>
          <w:divBdr>
            <w:top w:val="none" w:sz="0" w:space="0" w:color="auto"/>
            <w:left w:val="none" w:sz="0" w:space="0" w:color="auto"/>
            <w:bottom w:val="none" w:sz="0" w:space="0" w:color="auto"/>
            <w:right w:val="none" w:sz="0" w:space="0" w:color="auto"/>
          </w:divBdr>
        </w:div>
      </w:divsChild>
    </w:div>
    <w:div w:id="346444826">
      <w:bodyDiv w:val="1"/>
      <w:marLeft w:val="0"/>
      <w:marRight w:val="0"/>
      <w:marTop w:val="0"/>
      <w:marBottom w:val="0"/>
      <w:divBdr>
        <w:top w:val="none" w:sz="0" w:space="0" w:color="auto"/>
        <w:left w:val="none" w:sz="0" w:space="0" w:color="auto"/>
        <w:bottom w:val="none" w:sz="0" w:space="0" w:color="auto"/>
        <w:right w:val="none" w:sz="0" w:space="0" w:color="auto"/>
      </w:divBdr>
    </w:div>
    <w:div w:id="347678903">
      <w:bodyDiv w:val="1"/>
      <w:marLeft w:val="0"/>
      <w:marRight w:val="0"/>
      <w:marTop w:val="0"/>
      <w:marBottom w:val="0"/>
      <w:divBdr>
        <w:top w:val="none" w:sz="0" w:space="0" w:color="auto"/>
        <w:left w:val="none" w:sz="0" w:space="0" w:color="auto"/>
        <w:bottom w:val="none" w:sz="0" w:space="0" w:color="auto"/>
        <w:right w:val="none" w:sz="0" w:space="0" w:color="auto"/>
      </w:divBdr>
    </w:div>
    <w:div w:id="367491328">
      <w:bodyDiv w:val="1"/>
      <w:marLeft w:val="0"/>
      <w:marRight w:val="0"/>
      <w:marTop w:val="0"/>
      <w:marBottom w:val="0"/>
      <w:divBdr>
        <w:top w:val="none" w:sz="0" w:space="0" w:color="auto"/>
        <w:left w:val="none" w:sz="0" w:space="0" w:color="auto"/>
        <w:bottom w:val="none" w:sz="0" w:space="0" w:color="auto"/>
        <w:right w:val="none" w:sz="0" w:space="0" w:color="auto"/>
      </w:divBdr>
    </w:div>
    <w:div w:id="372198721">
      <w:bodyDiv w:val="1"/>
      <w:marLeft w:val="0"/>
      <w:marRight w:val="0"/>
      <w:marTop w:val="0"/>
      <w:marBottom w:val="0"/>
      <w:divBdr>
        <w:top w:val="none" w:sz="0" w:space="0" w:color="auto"/>
        <w:left w:val="none" w:sz="0" w:space="0" w:color="auto"/>
        <w:bottom w:val="none" w:sz="0" w:space="0" w:color="auto"/>
        <w:right w:val="none" w:sz="0" w:space="0" w:color="auto"/>
      </w:divBdr>
    </w:div>
    <w:div w:id="431125407">
      <w:bodyDiv w:val="1"/>
      <w:marLeft w:val="0"/>
      <w:marRight w:val="0"/>
      <w:marTop w:val="0"/>
      <w:marBottom w:val="0"/>
      <w:divBdr>
        <w:top w:val="none" w:sz="0" w:space="0" w:color="auto"/>
        <w:left w:val="none" w:sz="0" w:space="0" w:color="auto"/>
        <w:bottom w:val="none" w:sz="0" w:space="0" w:color="auto"/>
        <w:right w:val="none" w:sz="0" w:space="0" w:color="auto"/>
      </w:divBdr>
    </w:div>
    <w:div w:id="463891038">
      <w:bodyDiv w:val="1"/>
      <w:marLeft w:val="0"/>
      <w:marRight w:val="0"/>
      <w:marTop w:val="0"/>
      <w:marBottom w:val="0"/>
      <w:divBdr>
        <w:top w:val="none" w:sz="0" w:space="0" w:color="auto"/>
        <w:left w:val="none" w:sz="0" w:space="0" w:color="auto"/>
        <w:bottom w:val="none" w:sz="0" w:space="0" w:color="auto"/>
        <w:right w:val="none" w:sz="0" w:space="0" w:color="auto"/>
      </w:divBdr>
    </w:div>
    <w:div w:id="468087750">
      <w:bodyDiv w:val="1"/>
      <w:marLeft w:val="0"/>
      <w:marRight w:val="0"/>
      <w:marTop w:val="0"/>
      <w:marBottom w:val="0"/>
      <w:divBdr>
        <w:top w:val="none" w:sz="0" w:space="0" w:color="auto"/>
        <w:left w:val="none" w:sz="0" w:space="0" w:color="auto"/>
        <w:bottom w:val="none" w:sz="0" w:space="0" w:color="auto"/>
        <w:right w:val="none" w:sz="0" w:space="0" w:color="auto"/>
      </w:divBdr>
    </w:div>
    <w:div w:id="480779211">
      <w:bodyDiv w:val="1"/>
      <w:marLeft w:val="0"/>
      <w:marRight w:val="0"/>
      <w:marTop w:val="0"/>
      <w:marBottom w:val="0"/>
      <w:divBdr>
        <w:top w:val="none" w:sz="0" w:space="0" w:color="auto"/>
        <w:left w:val="none" w:sz="0" w:space="0" w:color="auto"/>
        <w:bottom w:val="none" w:sz="0" w:space="0" w:color="auto"/>
        <w:right w:val="none" w:sz="0" w:space="0" w:color="auto"/>
      </w:divBdr>
      <w:divsChild>
        <w:div w:id="84545840">
          <w:marLeft w:val="1426"/>
          <w:marRight w:val="0"/>
          <w:marTop w:val="60"/>
          <w:marBottom w:val="0"/>
          <w:divBdr>
            <w:top w:val="none" w:sz="0" w:space="0" w:color="auto"/>
            <w:left w:val="none" w:sz="0" w:space="0" w:color="auto"/>
            <w:bottom w:val="none" w:sz="0" w:space="0" w:color="auto"/>
            <w:right w:val="none" w:sz="0" w:space="0" w:color="auto"/>
          </w:divBdr>
        </w:div>
        <w:div w:id="365176711">
          <w:marLeft w:val="1426"/>
          <w:marRight w:val="0"/>
          <w:marTop w:val="60"/>
          <w:marBottom w:val="0"/>
          <w:divBdr>
            <w:top w:val="none" w:sz="0" w:space="0" w:color="auto"/>
            <w:left w:val="none" w:sz="0" w:space="0" w:color="auto"/>
            <w:bottom w:val="none" w:sz="0" w:space="0" w:color="auto"/>
            <w:right w:val="none" w:sz="0" w:space="0" w:color="auto"/>
          </w:divBdr>
        </w:div>
        <w:div w:id="473840171">
          <w:marLeft w:val="1426"/>
          <w:marRight w:val="0"/>
          <w:marTop w:val="60"/>
          <w:marBottom w:val="0"/>
          <w:divBdr>
            <w:top w:val="none" w:sz="0" w:space="0" w:color="auto"/>
            <w:left w:val="none" w:sz="0" w:space="0" w:color="auto"/>
            <w:bottom w:val="none" w:sz="0" w:space="0" w:color="auto"/>
            <w:right w:val="none" w:sz="0" w:space="0" w:color="auto"/>
          </w:divBdr>
        </w:div>
        <w:div w:id="1212185009">
          <w:marLeft w:val="1426"/>
          <w:marRight w:val="0"/>
          <w:marTop w:val="60"/>
          <w:marBottom w:val="0"/>
          <w:divBdr>
            <w:top w:val="none" w:sz="0" w:space="0" w:color="auto"/>
            <w:left w:val="none" w:sz="0" w:space="0" w:color="auto"/>
            <w:bottom w:val="none" w:sz="0" w:space="0" w:color="auto"/>
            <w:right w:val="none" w:sz="0" w:space="0" w:color="auto"/>
          </w:divBdr>
        </w:div>
        <w:div w:id="1259368427">
          <w:marLeft w:val="850"/>
          <w:marRight w:val="0"/>
          <w:marTop w:val="60"/>
          <w:marBottom w:val="0"/>
          <w:divBdr>
            <w:top w:val="none" w:sz="0" w:space="0" w:color="auto"/>
            <w:left w:val="none" w:sz="0" w:space="0" w:color="auto"/>
            <w:bottom w:val="none" w:sz="0" w:space="0" w:color="auto"/>
            <w:right w:val="none" w:sz="0" w:space="0" w:color="auto"/>
          </w:divBdr>
        </w:div>
        <w:div w:id="1358309290">
          <w:marLeft w:val="850"/>
          <w:marRight w:val="0"/>
          <w:marTop w:val="60"/>
          <w:marBottom w:val="0"/>
          <w:divBdr>
            <w:top w:val="none" w:sz="0" w:space="0" w:color="auto"/>
            <w:left w:val="none" w:sz="0" w:space="0" w:color="auto"/>
            <w:bottom w:val="none" w:sz="0" w:space="0" w:color="auto"/>
            <w:right w:val="none" w:sz="0" w:space="0" w:color="auto"/>
          </w:divBdr>
        </w:div>
        <w:div w:id="1569266354">
          <w:marLeft w:val="1426"/>
          <w:marRight w:val="0"/>
          <w:marTop w:val="60"/>
          <w:marBottom w:val="0"/>
          <w:divBdr>
            <w:top w:val="none" w:sz="0" w:space="0" w:color="auto"/>
            <w:left w:val="none" w:sz="0" w:space="0" w:color="auto"/>
            <w:bottom w:val="none" w:sz="0" w:space="0" w:color="auto"/>
            <w:right w:val="none" w:sz="0" w:space="0" w:color="auto"/>
          </w:divBdr>
        </w:div>
        <w:div w:id="1594241499">
          <w:marLeft w:val="1426"/>
          <w:marRight w:val="0"/>
          <w:marTop w:val="60"/>
          <w:marBottom w:val="0"/>
          <w:divBdr>
            <w:top w:val="none" w:sz="0" w:space="0" w:color="auto"/>
            <w:left w:val="none" w:sz="0" w:space="0" w:color="auto"/>
            <w:bottom w:val="none" w:sz="0" w:space="0" w:color="auto"/>
            <w:right w:val="none" w:sz="0" w:space="0" w:color="auto"/>
          </w:divBdr>
        </w:div>
        <w:div w:id="1596817033">
          <w:marLeft w:val="1426"/>
          <w:marRight w:val="0"/>
          <w:marTop w:val="60"/>
          <w:marBottom w:val="0"/>
          <w:divBdr>
            <w:top w:val="none" w:sz="0" w:space="0" w:color="auto"/>
            <w:left w:val="none" w:sz="0" w:space="0" w:color="auto"/>
            <w:bottom w:val="none" w:sz="0" w:space="0" w:color="auto"/>
            <w:right w:val="none" w:sz="0" w:space="0" w:color="auto"/>
          </w:divBdr>
        </w:div>
        <w:div w:id="1708331259">
          <w:marLeft w:val="850"/>
          <w:marRight w:val="0"/>
          <w:marTop w:val="60"/>
          <w:marBottom w:val="0"/>
          <w:divBdr>
            <w:top w:val="none" w:sz="0" w:space="0" w:color="auto"/>
            <w:left w:val="none" w:sz="0" w:space="0" w:color="auto"/>
            <w:bottom w:val="none" w:sz="0" w:space="0" w:color="auto"/>
            <w:right w:val="none" w:sz="0" w:space="0" w:color="auto"/>
          </w:divBdr>
        </w:div>
      </w:divsChild>
    </w:div>
    <w:div w:id="485632650">
      <w:bodyDiv w:val="1"/>
      <w:marLeft w:val="0"/>
      <w:marRight w:val="0"/>
      <w:marTop w:val="0"/>
      <w:marBottom w:val="0"/>
      <w:divBdr>
        <w:top w:val="none" w:sz="0" w:space="0" w:color="auto"/>
        <w:left w:val="none" w:sz="0" w:space="0" w:color="auto"/>
        <w:bottom w:val="none" w:sz="0" w:space="0" w:color="auto"/>
        <w:right w:val="none" w:sz="0" w:space="0" w:color="auto"/>
      </w:divBdr>
      <w:divsChild>
        <w:div w:id="215244800">
          <w:marLeft w:val="1426"/>
          <w:marRight w:val="0"/>
          <w:marTop w:val="60"/>
          <w:marBottom w:val="0"/>
          <w:divBdr>
            <w:top w:val="none" w:sz="0" w:space="0" w:color="auto"/>
            <w:left w:val="none" w:sz="0" w:space="0" w:color="auto"/>
            <w:bottom w:val="none" w:sz="0" w:space="0" w:color="auto"/>
            <w:right w:val="none" w:sz="0" w:space="0" w:color="auto"/>
          </w:divBdr>
        </w:div>
        <w:div w:id="467863322">
          <w:marLeft w:val="850"/>
          <w:marRight w:val="0"/>
          <w:marTop w:val="60"/>
          <w:marBottom w:val="0"/>
          <w:divBdr>
            <w:top w:val="none" w:sz="0" w:space="0" w:color="auto"/>
            <w:left w:val="none" w:sz="0" w:space="0" w:color="auto"/>
            <w:bottom w:val="none" w:sz="0" w:space="0" w:color="auto"/>
            <w:right w:val="none" w:sz="0" w:space="0" w:color="auto"/>
          </w:divBdr>
        </w:div>
        <w:div w:id="656226522">
          <w:marLeft w:val="1426"/>
          <w:marRight w:val="0"/>
          <w:marTop w:val="60"/>
          <w:marBottom w:val="0"/>
          <w:divBdr>
            <w:top w:val="none" w:sz="0" w:space="0" w:color="auto"/>
            <w:left w:val="none" w:sz="0" w:space="0" w:color="auto"/>
            <w:bottom w:val="none" w:sz="0" w:space="0" w:color="auto"/>
            <w:right w:val="none" w:sz="0" w:space="0" w:color="auto"/>
          </w:divBdr>
        </w:div>
        <w:div w:id="834615219">
          <w:marLeft w:val="1426"/>
          <w:marRight w:val="0"/>
          <w:marTop w:val="60"/>
          <w:marBottom w:val="0"/>
          <w:divBdr>
            <w:top w:val="none" w:sz="0" w:space="0" w:color="auto"/>
            <w:left w:val="none" w:sz="0" w:space="0" w:color="auto"/>
            <w:bottom w:val="none" w:sz="0" w:space="0" w:color="auto"/>
            <w:right w:val="none" w:sz="0" w:space="0" w:color="auto"/>
          </w:divBdr>
        </w:div>
        <w:div w:id="844393693">
          <w:marLeft w:val="850"/>
          <w:marRight w:val="0"/>
          <w:marTop w:val="180"/>
          <w:marBottom w:val="0"/>
          <w:divBdr>
            <w:top w:val="none" w:sz="0" w:space="0" w:color="auto"/>
            <w:left w:val="none" w:sz="0" w:space="0" w:color="auto"/>
            <w:bottom w:val="none" w:sz="0" w:space="0" w:color="auto"/>
            <w:right w:val="none" w:sz="0" w:space="0" w:color="auto"/>
          </w:divBdr>
        </w:div>
        <w:div w:id="1012300707">
          <w:marLeft w:val="850"/>
          <w:marRight w:val="0"/>
          <w:marTop w:val="180"/>
          <w:marBottom w:val="0"/>
          <w:divBdr>
            <w:top w:val="none" w:sz="0" w:space="0" w:color="auto"/>
            <w:left w:val="none" w:sz="0" w:space="0" w:color="auto"/>
            <w:bottom w:val="none" w:sz="0" w:space="0" w:color="auto"/>
            <w:right w:val="none" w:sz="0" w:space="0" w:color="auto"/>
          </w:divBdr>
        </w:div>
        <w:div w:id="1091657830">
          <w:marLeft w:val="1426"/>
          <w:marRight w:val="0"/>
          <w:marTop w:val="60"/>
          <w:marBottom w:val="0"/>
          <w:divBdr>
            <w:top w:val="none" w:sz="0" w:space="0" w:color="auto"/>
            <w:left w:val="none" w:sz="0" w:space="0" w:color="auto"/>
            <w:bottom w:val="none" w:sz="0" w:space="0" w:color="auto"/>
            <w:right w:val="none" w:sz="0" w:space="0" w:color="auto"/>
          </w:divBdr>
        </w:div>
        <w:div w:id="1599026186">
          <w:marLeft w:val="1426"/>
          <w:marRight w:val="0"/>
          <w:marTop w:val="60"/>
          <w:marBottom w:val="0"/>
          <w:divBdr>
            <w:top w:val="none" w:sz="0" w:space="0" w:color="auto"/>
            <w:left w:val="none" w:sz="0" w:space="0" w:color="auto"/>
            <w:bottom w:val="none" w:sz="0" w:space="0" w:color="auto"/>
            <w:right w:val="none" w:sz="0" w:space="0" w:color="auto"/>
          </w:divBdr>
        </w:div>
        <w:div w:id="1736515183">
          <w:marLeft w:val="1426"/>
          <w:marRight w:val="0"/>
          <w:marTop w:val="60"/>
          <w:marBottom w:val="0"/>
          <w:divBdr>
            <w:top w:val="none" w:sz="0" w:space="0" w:color="auto"/>
            <w:left w:val="none" w:sz="0" w:space="0" w:color="auto"/>
            <w:bottom w:val="none" w:sz="0" w:space="0" w:color="auto"/>
            <w:right w:val="none" w:sz="0" w:space="0" w:color="auto"/>
          </w:divBdr>
        </w:div>
        <w:div w:id="1823232647">
          <w:marLeft w:val="1426"/>
          <w:marRight w:val="0"/>
          <w:marTop w:val="60"/>
          <w:marBottom w:val="0"/>
          <w:divBdr>
            <w:top w:val="none" w:sz="0" w:space="0" w:color="auto"/>
            <w:left w:val="none" w:sz="0" w:space="0" w:color="auto"/>
            <w:bottom w:val="none" w:sz="0" w:space="0" w:color="auto"/>
            <w:right w:val="none" w:sz="0" w:space="0" w:color="auto"/>
          </w:divBdr>
        </w:div>
        <w:div w:id="2130734405">
          <w:marLeft w:val="1426"/>
          <w:marRight w:val="0"/>
          <w:marTop w:val="60"/>
          <w:marBottom w:val="0"/>
          <w:divBdr>
            <w:top w:val="none" w:sz="0" w:space="0" w:color="auto"/>
            <w:left w:val="none" w:sz="0" w:space="0" w:color="auto"/>
            <w:bottom w:val="none" w:sz="0" w:space="0" w:color="auto"/>
            <w:right w:val="none" w:sz="0" w:space="0" w:color="auto"/>
          </w:divBdr>
        </w:div>
      </w:divsChild>
    </w:div>
    <w:div w:id="530146813">
      <w:bodyDiv w:val="1"/>
      <w:marLeft w:val="0"/>
      <w:marRight w:val="0"/>
      <w:marTop w:val="0"/>
      <w:marBottom w:val="0"/>
      <w:divBdr>
        <w:top w:val="none" w:sz="0" w:space="0" w:color="auto"/>
        <w:left w:val="none" w:sz="0" w:space="0" w:color="auto"/>
        <w:bottom w:val="none" w:sz="0" w:space="0" w:color="auto"/>
        <w:right w:val="none" w:sz="0" w:space="0" w:color="auto"/>
      </w:divBdr>
    </w:div>
    <w:div w:id="535625905">
      <w:bodyDiv w:val="1"/>
      <w:marLeft w:val="0"/>
      <w:marRight w:val="0"/>
      <w:marTop w:val="0"/>
      <w:marBottom w:val="0"/>
      <w:divBdr>
        <w:top w:val="none" w:sz="0" w:space="0" w:color="auto"/>
        <w:left w:val="none" w:sz="0" w:space="0" w:color="auto"/>
        <w:bottom w:val="none" w:sz="0" w:space="0" w:color="auto"/>
        <w:right w:val="none" w:sz="0" w:space="0" w:color="auto"/>
      </w:divBdr>
    </w:div>
    <w:div w:id="538670513">
      <w:bodyDiv w:val="1"/>
      <w:marLeft w:val="0"/>
      <w:marRight w:val="0"/>
      <w:marTop w:val="0"/>
      <w:marBottom w:val="0"/>
      <w:divBdr>
        <w:top w:val="none" w:sz="0" w:space="0" w:color="auto"/>
        <w:left w:val="none" w:sz="0" w:space="0" w:color="auto"/>
        <w:bottom w:val="none" w:sz="0" w:space="0" w:color="auto"/>
        <w:right w:val="none" w:sz="0" w:space="0" w:color="auto"/>
      </w:divBdr>
    </w:div>
    <w:div w:id="548341428">
      <w:bodyDiv w:val="1"/>
      <w:marLeft w:val="0"/>
      <w:marRight w:val="0"/>
      <w:marTop w:val="0"/>
      <w:marBottom w:val="0"/>
      <w:divBdr>
        <w:top w:val="none" w:sz="0" w:space="0" w:color="auto"/>
        <w:left w:val="none" w:sz="0" w:space="0" w:color="auto"/>
        <w:bottom w:val="none" w:sz="0" w:space="0" w:color="auto"/>
        <w:right w:val="none" w:sz="0" w:space="0" w:color="auto"/>
      </w:divBdr>
    </w:div>
    <w:div w:id="571694327">
      <w:bodyDiv w:val="1"/>
      <w:marLeft w:val="0"/>
      <w:marRight w:val="0"/>
      <w:marTop w:val="0"/>
      <w:marBottom w:val="0"/>
      <w:divBdr>
        <w:top w:val="none" w:sz="0" w:space="0" w:color="auto"/>
        <w:left w:val="none" w:sz="0" w:space="0" w:color="auto"/>
        <w:bottom w:val="none" w:sz="0" w:space="0" w:color="auto"/>
        <w:right w:val="none" w:sz="0" w:space="0" w:color="auto"/>
      </w:divBdr>
    </w:div>
    <w:div w:id="622812865">
      <w:bodyDiv w:val="1"/>
      <w:marLeft w:val="0"/>
      <w:marRight w:val="0"/>
      <w:marTop w:val="0"/>
      <w:marBottom w:val="0"/>
      <w:divBdr>
        <w:top w:val="none" w:sz="0" w:space="0" w:color="auto"/>
        <w:left w:val="none" w:sz="0" w:space="0" w:color="auto"/>
        <w:bottom w:val="none" w:sz="0" w:space="0" w:color="auto"/>
        <w:right w:val="none" w:sz="0" w:space="0" w:color="auto"/>
      </w:divBdr>
      <w:divsChild>
        <w:div w:id="61485232">
          <w:marLeft w:val="1973"/>
          <w:marRight w:val="0"/>
          <w:marTop w:val="0"/>
          <w:marBottom w:val="0"/>
          <w:divBdr>
            <w:top w:val="none" w:sz="0" w:space="0" w:color="auto"/>
            <w:left w:val="none" w:sz="0" w:space="0" w:color="auto"/>
            <w:bottom w:val="none" w:sz="0" w:space="0" w:color="auto"/>
            <w:right w:val="none" w:sz="0" w:space="0" w:color="auto"/>
          </w:divBdr>
        </w:div>
        <w:div w:id="324675827">
          <w:marLeft w:val="1973"/>
          <w:marRight w:val="0"/>
          <w:marTop w:val="40"/>
          <w:marBottom w:val="0"/>
          <w:divBdr>
            <w:top w:val="none" w:sz="0" w:space="0" w:color="auto"/>
            <w:left w:val="none" w:sz="0" w:space="0" w:color="auto"/>
            <w:bottom w:val="none" w:sz="0" w:space="0" w:color="auto"/>
            <w:right w:val="none" w:sz="0" w:space="0" w:color="auto"/>
          </w:divBdr>
        </w:div>
        <w:div w:id="386075591">
          <w:marLeft w:val="1973"/>
          <w:marRight w:val="0"/>
          <w:marTop w:val="40"/>
          <w:marBottom w:val="0"/>
          <w:divBdr>
            <w:top w:val="none" w:sz="0" w:space="0" w:color="auto"/>
            <w:left w:val="none" w:sz="0" w:space="0" w:color="auto"/>
            <w:bottom w:val="none" w:sz="0" w:space="0" w:color="auto"/>
            <w:right w:val="none" w:sz="0" w:space="0" w:color="auto"/>
          </w:divBdr>
        </w:div>
        <w:div w:id="606623087">
          <w:marLeft w:val="1973"/>
          <w:marRight w:val="0"/>
          <w:marTop w:val="0"/>
          <w:marBottom w:val="0"/>
          <w:divBdr>
            <w:top w:val="none" w:sz="0" w:space="0" w:color="auto"/>
            <w:left w:val="none" w:sz="0" w:space="0" w:color="auto"/>
            <w:bottom w:val="none" w:sz="0" w:space="0" w:color="auto"/>
            <w:right w:val="none" w:sz="0" w:space="0" w:color="auto"/>
          </w:divBdr>
        </w:div>
        <w:div w:id="852299115">
          <w:marLeft w:val="850"/>
          <w:marRight w:val="0"/>
          <w:marTop w:val="60"/>
          <w:marBottom w:val="0"/>
          <w:divBdr>
            <w:top w:val="none" w:sz="0" w:space="0" w:color="auto"/>
            <w:left w:val="none" w:sz="0" w:space="0" w:color="auto"/>
            <w:bottom w:val="none" w:sz="0" w:space="0" w:color="auto"/>
            <w:right w:val="none" w:sz="0" w:space="0" w:color="auto"/>
          </w:divBdr>
        </w:div>
        <w:div w:id="883101995">
          <w:marLeft w:val="1973"/>
          <w:marRight w:val="0"/>
          <w:marTop w:val="40"/>
          <w:marBottom w:val="0"/>
          <w:divBdr>
            <w:top w:val="none" w:sz="0" w:space="0" w:color="auto"/>
            <w:left w:val="none" w:sz="0" w:space="0" w:color="auto"/>
            <w:bottom w:val="none" w:sz="0" w:space="0" w:color="auto"/>
            <w:right w:val="none" w:sz="0" w:space="0" w:color="auto"/>
          </w:divBdr>
        </w:div>
        <w:div w:id="929194703">
          <w:marLeft w:val="1685"/>
          <w:marRight w:val="0"/>
          <w:marTop w:val="120"/>
          <w:marBottom w:val="0"/>
          <w:divBdr>
            <w:top w:val="none" w:sz="0" w:space="0" w:color="auto"/>
            <w:left w:val="none" w:sz="0" w:space="0" w:color="auto"/>
            <w:bottom w:val="none" w:sz="0" w:space="0" w:color="auto"/>
            <w:right w:val="none" w:sz="0" w:space="0" w:color="auto"/>
          </w:divBdr>
        </w:div>
        <w:div w:id="996689398">
          <w:marLeft w:val="1973"/>
          <w:marRight w:val="0"/>
          <w:marTop w:val="40"/>
          <w:marBottom w:val="0"/>
          <w:divBdr>
            <w:top w:val="none" w:sz="0" w:space="0" w:color="auto"/>
            <w:left w:val="none" w:sz="0" w:space="0" w:color="auto"/>
            <w:bottom w:val="none" w:sz="0" w:space="0" w:color="auto"/>
            <w:right w:val="none" w:sz="0" w:space="0" w:color="auto"/>
          </w:divBdr>
        </w:div>
        <w:div w:id="996763497">
          <w:marLeft w:val="1685"/>
          <w:marRight w:val="0"/>
          <w:marTop w:val="120"/>
          <w:marBottom w:val="0"/>
          <w:divBdr>
            <w:top w:val="none" w:sz="0" w:space="0" w:color="auto"/>
            <w:left w:val="none" w:sz="0" w:space="0" w:color="auto"/>
            <w:bottom w:val="none" w:sz="0" w:space="0" w:color="auto"/>
            <w:right w:val="none" w:sz="0" w:space="0" w:color="auto"/>
          </w:divBdr>
        </w:div>
        <w:div w:id="1496261212">
          <w:marLeft w:val="1973"/>
          <w:marRight w:val="0"/>
          <w:marTop w:val="40"/>
          <w:marBottom w:val="0"/>
          <w:divBdr>
            <w:top w:val="none" w:sz="0" w:space="0" w:color="auto"/>
            <w:left w:val="none" w:sz="0" w:space="0" w:color="auto"/>
            <w:bottom w:val="none" w:sz="0" w:space="0" w:color="auto"/>
            <w:right w:val="none" w:sz="0" w:space="0" w:color="auto"/>
          </w:divBdr>
        </w:div>
        <w:div w:id="1582183294">
          <w:marLeft w:val="1685"/>
          <w:marRight w:val="0"/>
          <w:marTop w:val="120"/>
          <w:marBottom w:val="0"/>
          <w:divBdr>
            <w:top w:val="none" w:sz="0" w:space="0" w:color="auto"/>
            <w:left w:val="none" w:sz="0" w:space="0" w:color="auto"/>
            <w:bottom w:val="none" w:sz="0" w:space="0" w:color="auto"/>
            <w:right w:val="none" w:sz="0" w:space="0" w:color="auto"/>
          </w:divBdr>
        </w:div>
        <w:div w:id="2049719186">
          <w:marLeft w:val="1685"/>
          <w:marRight w:val="0"/>
          <w:marTop w:val="120"/>
          <w:marBottom w:val="0"/>
          <w:divBdr>
            <w:top w:val="none" w:sz="0" w:space="0" w:color="auto"/>
            <w:left w:val="none" w:sz="0" w:space="0" w:color="auto"/>
            <w:bottom w:val="none" w:sz="0" w:space="0" w:color="auto"/>
            <w:right w:val="none" w:sz="0" w:space="0" w:color="auto"/>
          </w:divBdr>
        </w:div>
        <w:div w:id="2135831658">
          <w:marLeft w:val="1973"/>
          <w:marRight w:val="0"/>
          <w:marTop w:val="40"/>
          <w:marBottom w:val="0"/>
          <w:divBdr>
            <w:top w:val="none" w:sz="0" w:space="0" w:color="auto"/>
            <w:left w:val="none" w:sz="0" w:space="0" w:color="auto"/>
            <w:bottom w:val="none" w:sz="0" w:space="0" w:color="auto"/>
            <w:right w:val="none" w:sz="0" w:space="0" w:color="auto"/>
          </w:divBdr>
        </w:div>
      </w:divsChild>
    </w:div>
    <w:div w:id="631521445">
      <w:bodyDiv w:val="1"/>
      <w:marLeft w:val="0"/>
      <w:marRight w:val="0"/>
      <w:marTop w:val="0"/>
      <w:marBottom w:val="0"/>
      <w:divBdr>
        <w:top w:val="none" w:sz="0" w:space="0" w:color="auto"/>
        <w:left w:val="none" w:sz="0" w:space="0" w:color="auto"/>
        <w:bottom w:val="none" w:sz="0" w:space="0" w:color="auto"/>
        <w:right w:val="none" w:sz="0" w:space="0" w:color="auto"/>
      </w:divBdr>
      <w:divsChild>
        <w:div w:id="235870120">
          <w:marLeft w:val="1354"/>
          <w:marRight w:val="0"/>
          <w:marTop w:val="0"/>
          <w:marBottom w:val="0"/>
          <w:divBdr>
            <w:top w:val="none" w:sz="0" w:space="0" w:color="auto"/>
            <w:left w:val="none" w:sz="0" w:space="0" w:color="auto"/>
            <w:bottom w:val="none" w:sz="0" w:space="0" w:color="auto"/>
            <w:right w:val="none" w:sz="0" w:space="0" w:color="auto"/>
          </w:divBdr>
        </w:div>
        <w:div w:id="316765435">
          <w:marLeft w:val="1354"/>
          <w:marRight w:val="0"/>
          <w:marTop w:val="0"/>
          <w:marBottom w:val="0"/>
          <w:divBdr>
            <w:top w:val="none" w:sz="0" w:space="0" w:color="auto"/>
            <w:left w:val="none" w:sz="0" w:space="0" w:color="auto"/>
            <w:bottom w:val="none" w:sz="0" w:space="0" w:color="auto"/>
            <w:right w:val="none" w:sz="0" w:space="0" w:color="auto"/>
          </w:divBdr>
        </w:div>
        <w:div w:id="319240600">
          <w:marLeft w:val="1354"/>
          <w:marRight w:val="0"/>
          <w:marTop w:val="0"/>
          <w:marBottom w:val="0"/>
          <w:divBdr>
            <w:top w:val="none" w:sz="0" w:space="0" w:color="auto"/>
            <w:left w:val="none" w:sz="0" w:space="0" w:color="auto"/>
            <w:bottom w:val="none" w:sz="0" w:space="0" w:color="auto"/>
            <w:right w:val="none" w:sz="0" w:space="0" w:color="auto"/>
          </w:divBdr>
        </w:div>
        <w:div w:id="588733521">
          <w:marLeft w:val="1354"/>
          <w:marRight w:val="0"/>
          <w:marTop w:val="0"/>
          <w:marBottom w:val="0"/>
          <w:divBdr>
            <w:top w:val="none" w:sz="0" w:space="0" w:color="auto"/>
            <w:left w:val="none" w:sz="0" w:space="0" w:color="auto"/>
            <w:bottom w:val="none" w:sz="0" w:space="0" w:color="auto"/>
            <w:right w:val="none" w:sz="0" w:space="0" w:color="auto"/>
          </w:divBdr>
        </w:div>
        <w:div w:id="667826422">
          <w:marLeft w:val="1354"/>
          <w:marRight w:val="0"/>
          <w:marTop w:val="0"/>
          <w:marBottom w:val="0"/>
          <w:divBdr>
            <w:top w:val="none" w:sz="0" w:space="0" w:color="auto"/>
            <w:left w:val="none" w:sz="0" w:space="0" w:color="auto"/>
            <w:bottom w:val="none" w:sz="0" w:space="0" w:color="auto"/>
            <w:right w:val="none" w:sz="0" w:space="0" w:color="auto"/>
          </w:divBdr>
        </w:div>
        <w:div w:id="768619567">
          <w:marLeft w:val="763"/>
          <w:marRight w:val="0"/>
          <w:marTop w:val="0"/>
          <w:marBottom w:val="0"/>
          <w:divBdr>
            <w:top w:val="none" w:sz="0" w:space="0" w:color="auto"/>
            <w:left w:val="none" w:sz="0" w:space="0" w:color="auto"/>
            <w:bottom w:val="none" w:sz="0" w:space="0" w:color="auto"/>
            <w:right w:val="none" w:sz="0" w:space="0" w:color="auto"/>
          </w:divBdr>
        </w:div>
        <w:div w:id="785074996">
          <w:marLeft w:val="1354"/>
          <w:marRight w:val="0"/>
          <w:marTop w:val="0"/>
          <w:marBottom w:val="0"/>
          <w:divBdr>
            <w:top w:val="none" w:sz="0" w:space="0" w:color="auto"/>
            <w:left w:val="none" w:sz="0" w:space="0" w:color="auto"/>
            <w:bottom w:val="none" w:sz="0" w:space="0" w:color="auto"/>
            <w:right w:val="none" w:sz="0" w:space="0" w:color="auto"/>
          </w:divBdr>
        </w:div>
        <w:div w:id="818151692">
          <w:marLeft w:val="1354"/>
          <w:marRight w:val="0"/>
          <w:marTop w:val="0"/>
          <w:marBottom w:val="0"/>
          <w:divBdr>
            <w:top w:val="none" w:sz="0" w:space="0" w:color="auto"/>
            <w:left w:val="none" w:sz="0" w:space="0" w:color="auto"/>
            <w:bottom w:val="none" w:sz="0" w:space="0" w:color="auto"/>
            <w:right w:val="none" w:sz="0" w:space="0" w:color="auto"/>
          </w:divBdr>
        </w:div>
        <w:div w:id="892350028">
          <w:marLeft w:val="1987"/>
          <w:marRight w:val="0"/>
          <w:marTop w:val="0"/>
          <w:marBottom w:val="0"/>
          <w:divBdr>
            <w:top w:val="none" w:sz="0" w:space="0" w:color="auto"/>
            <w:left w:val="none" w:sz="0" w:space="0" w:color="auto"/>
            <w:bottom w:val="none" w:sz="0" w:space="0" w:color="auto"/>
            <w:right w:val="none" w:sz="0" w:space="0" w:color="auto"/>
          </w:divBdr>
        </w:div>
        <w:div w:id="940603873">
          <w:marLeft w:val="763"/>
          <w:marRight w:val="0"/>
          <w:marTop w:val="0"/>
          <w:marBottom w:val="0"/>
          <w:divBdr>
            <w:top w:val="none" w:sz="0" w:space="0" w:color="auto"/>
            <w:left w:val="none" w:sz="0" w:space="0" w:color="auto"/>
            <w:bottom w:val="none" w:sz="0" w:space="0" w:color="auto"/>
            <w:right w:val="none" w:sz="0" w:space="0" w:color="auto"/>
          </w:divBdr>
        </w:div>
        <w:div w:id="963198883">
          <w:marLeft w:val="1354"/>
          <w:marRight w:val="0"/>
          <w:marTop w:val="0"/>
          <w:marBottom w:val="0"/>
          <w:divBdr>
            <w:top w:val="none" w:sz="0" w:space="0" w:color="auto"/>
            <w:left w:val="none" w:sz="0" w:space="0" w:color="auto"/>
            <w:bottom w:val="none" w:sz="0" w:space="0" w:color="auto"/>
            <w:right w:val="none" w:sz="0" w:space="0" w:color="auto"/>
          </w:divBdr>
        </w:div>
        <w:div w:id="977421377">
          <w:marLeft w:val="763"/>
          <w:marRight w:val="0"/>
          <w:marTop w:val="0"/>
          <w:marBottom w:val="0"/>
          <w:divBdr>
            <w:top w:val="none" w:sz="0" w:space="0" w:color="auto"/>
            <w:left w:val="none" w:sz="0" w:space="0" w:color="auto"/>
            <w:bottom w:val="none" w:sz="0" w:space="0" w:color="auto"/>
            <w:right w:val="none" w:sz="0" w:space="0" w:color="auto"/>
          </w:divBdr>
        </w:div>
        <w:div w:id="1203519316">
          <w:marLeft w:val="1354"/>
          <w:marRight w:val="0"/>
          <w:marTop w:val="0"/>
          <w:marBottom w:val="0"/>
          <w:divBdr>
            <w:top w:val="none" w:sz="0" w:space="0" w:color="auto"/>
            <w:left w:val="none" w:sz="0" w:space="0" w:color="auto"/>
            <w:bottom w:val="none" w:sz="0" w:space="0" w:color="auto"/>
            <w:right w:val="none" w:sz="0" w:space="0" w:color="auto"/>
          </w:divBdr>
        </w:div>
        <w:div w:id="1417627000">
          <w:marLeft w:val="1354"/>
          <w:marRight w:val="0"/>
          <w:marTop w:val="0"/>
          <w:marBottom w:val="0"/>
          <w:divBdr>
            <w:top w:val="none" w:sz="0" w:space="0" w:color="auto"/>
            <w:left w:val="none" w:sz="0" w:space="0" w:color="auto"/>
            <w:bottom w:val="none" w:sz="0" w:space="0" w:color="auto"/>
            <w:right w:val="none" w:sz="0" w:space="0" w:color="auto"/>
          </w:divBdr>
        </w:div>
        <w:div w:id="1567690274">
          <w:marLeft w:val="763"/>
          <w:marRight w:val="0"/>
          <w:marTop w:val="0"/>
          <w:marBottom w:val="0"/>
          <w:divBdr>
            <w:top w:val="none" w:sz="0" w:space="0" w:color="auto"/>
            <w:left w:val="none" w:sz="0" w:space="0" w:color="auto"/>
            <w:bottom w:val="none" w:sz="0" w:space="0" w:color="auto"/>
            <w:right w:val="none" w:sz="0" w:space="0" w:color="auto"/>
          </w:divBdr>
        </w:div>
        <w:div w:id="1605917630">
          <w:marLeft w:val="1987"/>
          <w:marRight w:val="0"/>
          <w:marTop w:val="0"/>
          <w:marBottom w:val="0"/>
          <w:divBdr>
            <w:top w:val="none" w:sz="0" w:space="0" w:color="auto"/>
            <w:left w:val="none" w:sz="0" w:space="0" w:color="auto"/>
            <w:bottom w:val="none" w:sz="0" w:space="0" w:color="auto"/>
            <w:right w:val="none" w:sz="0" w:space="0" w:color="auto"/>
          </w:divBdr>
        </w:div>
        <w:div w:id="2055883979">
          <w:marLeft w:val="1354"/>
          <w:marRight w:val="0"/>
          <w:marTop w:val="0"/>
          <w:marBottom w:val="0"/>
          <w:divBdr>
            <w:top w:val="none" w:sz="0" w:space="0" w:color="auto"/>
            <w:left w:val="none" w:sz="0" w:space="0" w:color="auto"/>
            <w:bottom w:val="none" w:sz="0" w:space="0" w:color="auto"/>
            <w:right w:val="none" w:sz="0" w:space="0" w:color="auto"/>
          </w:divBdr>
        </w:div>
      </w:divsChild>
    </w:div>
    <w:div w:id="648901365">
      <w:bodyDiv w:val="1"/>
      <w:marLeft w:val="0"/>
      <w:marRight w:val="0"/>
      <w:marTop w:val="0"/>
      <w:marBottom w:val="0"/>
      <w:divBdr>
        <w:top w:val="none" w:sz="0" w:space="0" w:color="auto"/>
        <w:left w:val="none" w:sz="0" w:space="0" w:color="auto"/>
        <w:bottom w:val="none" w:sz="0" w:space="0" w:color="auto"/>
        <w:right w:val="none" w:sz="0" w:space="0" w:color="auto"/>
      </w:divBdr>
      <w:divsChild>
        <w:div w:id="768044337">
          <w:marLeft w:val="1166"/>
          <w:marRight w:val="0"/>
          <w:marTop w:val="120"/>
          <w:marBottom w:val="0"/>
          <w:divBdr>
            <w:top w:val="none" w:sz="0" w:space="0" w:color="auto"/>
            <w:left w:val="none" w:sz="0" w:space="0" w:color="auto"/>
            <w:bottom w:val="none" w:sz="0" w:space="0" w:color="auto"/>
            <w:right w:val="none" w:sz="0" w:space="0" w:color="auto"/>
          </w:divBdr>
        </w:div>
        <w:div w:id="1620062346">
          <w:marLeft w:val="1166"/>
          <w:marRight w:val="0"/>
          <w:marTop w:val="120"/>
          <w:marBottom w:val="0"/>
          <w:divBdr>
            <w:top w:val="none" w:sz="0" w:space="0" w:color="auto"/>
            <w:left w:val="none" w:sz="0" w:space="0" w:color="auto"/>
            <w:bottom w:val="none" w:sz="0" w:space="0" w:color="auto"/>
            <w:right w:val="none" w:sz="0" w:space="0" w:color="auto"/>
          </w:divBdr>
        </w:div>
        <w:div w:id="1773435715">
          <w:marLeft w:val="1166"/>
          <w:marRight w:val="0"/>
          <w:marTop w:val="120"/>
          <w:marBottom w:val="0"/>
          <w:divBdr>
            <w:top w:val="none" w:sz="0" w:space="0" w:color="auto"/>
            <w:left w:val="none" w:sz="0" w:space="0" w:color="auto"/>
            <w:bottom w:val="none" w:sz="0" w:space="0" w:color="auto"/>
            <w:right w:val="none" w:sz="0" w:space="0" w:color="auto"/>
          </w:divBdr>
        </w:div>
      </w:divsChild>
    </w:div>
    <w:div w:id="666205057">
      <w:bodyDiv w:val="1"/>
      <w:marLeft w:val="0"/>
      <w:marRight w:val="0"/>
      <w:marTop w:val="0"/>
      <w:marBottom w:val="0"/>
      <w:divBdr>
        <w:top w:val="none" w:sz="0" w:space="0" w:color="auto"/>
        <w:left w:val="none" w:sz="0" w:space="0" w:color="auto"/>
        <w:bottom w:val="none" w:sz="0" w:space="0" w:color="auto"/>
        <w:right w:val="none" w:sz="0" w:space="0" w:color="auto"/>
      </w:divBdr>
    </w:div>
    <w:div w:id="674772436">
      <w:bodyDiv w:val="1"/>
      <w:marLeft w:val="0"/>
      <w:marRight w:val="0"/>
      <w:marTop w:val="0"/>
      <w:marBottom w:val="0"/>
      <w:divBdr>
        <w:top w:val="none" w:sz="0" w:space="0" w:color="auto"/>
        <w:left w:val="none" w:sz="0" w:space="0" w:color="auto"/>
        <w:bottom w:val="none" w:sz="0" w:space="0" w:color="auto"/>
        <w:right w:val="none" w:sz="0" w:space="0" w:color="auto"/>
      </w:divBdr>
      <w:divsChild>
        <w:div w:id="151725388">
          <w:marLeft w:val="1426"/>
          <w:marRight w:val="0"/>
          <w:marTop w:val="60"/>
          <w:marBottom w:val="0"/>
          <w:divBdr>
            <w:top w:val="none" w:sz="0" w:space="0" w:color="auto"/>
            <w:left w:val="none" w:sz="0" w:space="0" w:color="auto"/>
            <w:bottom w:val="none" w:sz="0" w:space="0" w:color="auto"/>
            <w:right w:val="none" w:sz="0" w:space="0" w:color="auto"/>
          </w:divBdr>
        </w:div>
        <w:div w:id="168906100">
          <w:marLeft w:val="1426"/>
          <w:marRight w:val="0"/>
          <w:marTop w:val="60"/>
          <w:marBottom w:val="0"/>
          <w:divBdr>
            <w:top w:val="none" w:sz="0" w:space="0" w:color="auto"/>
            <w:left w:val="none" w:sz="0" w:space="0" w:color="auto"/>
            <w:bottom w:val="none" w:sz="0" w:space="0" w:color="auto"/>
            <w:right w:val="none" w:sz="0" w:space="0" w:color="auto"/>
          </w:divBdr>
        </w:div>
        <w:div w:id="269901012">
          <w:marLeft w:val="1685"/>
          <w:marRight w:val="0"/>
          <w:marTop w:val="60"/>
          <w:marBottom w:val="0"/>
          <w:divBdr>
            <w:top w:val="none" w:sz="0" w:space="0" w:color="auto"/>
            <w:left w:val="none" w:sz="0" w:space="0" w:color="auto"/>
            <w:bottom w:val="none" w:sz="0" w:space="0" w:color="auto"/>
            <w:right w:val="none" w:sz="0" w:space="0" w:color="auto"/>
          </w:divBdr>
        </w:div>
        <w:div w:id="288780976">
          <w:marLeft w:val="1426"/>
          <w:marRight w:val="0"/>
          <w:marTop w:val="60"/>
          <w:marBottom w:val="0"/>
          <w:divBdr>
            <w:top w:val="none" w:sz="0" w:space="0" w:color="auto"/>
            <w:left w:val="none" w:sz="0" w:space="0" w:color="auto"/>
            <w:bottom w:val="none" w:sz="0" w:space="0" w:color="auto"/>
            <w:right w:val="none" w:sz="0" w:space="0" w:color="auto"/>
          </w:divBdr>
        </w:div>
        <w:div w:id="346442351">
          <w:marLeft w:val="1685"/>
          <w:marRight w:val="0"/>
          <w:marTop w:val="60"/>
          <w:marBottom w:val="0"/>
          <w:divBdr>
            <w:top w:val="none" w:sz="0" w:space="0" w:color="auto"/>
            <w:left w:val="none" w:sz="0" w:space="0" w:color="auto"/>
            <w:bottom w:val="none" w:sz="0" w:space="0" w:color="auto"/>
            <w:right w:val="none" w:sz="0" w:space="0" w:color="auto"/>
          </w:divBdr>
        </w:div>
        <w:div w:id="378433029">
          <w:marLeft w:val="1426"/>
          <w:marRight w:val="0"/>
          <w:marTop w:val="60"/>
          <w:marBottom w:val="0"/>
          <w:divBdr>
            <w:top w:val="none" w:sz="0" w:space="0" w:color="auto"/>
            <w:left w:val="none" w:sz="0" w:space="0" w:color="auto"/>
            <w:bottom w:val="none" w:sz="0" w:space="0" w:color="auto"/>
            <w:right w:val="none" w:sz="0" w:space="0" w:color="auto"/>
          </w:divBdr>
        </w:div>
        <w:div w:id="497119201">
          <w:marLeft w:val="1426"/>
          <w:marRight w:val="0"/>
          <w:marTop w:val="60"/>
          <w:marBottom w:val="0"/>
          <w:divBdr>
            <w:top w:val="none" w:sz="0" w:space="0" w:color="auto"/>
            <w:left w:val="none" w:sz="0" w:space="0" w:color="auto"/>
            <w:bottom w:val="none" w:sz="0" w:space="0" w:color="auto"/>
            <w:right w:val="none" w:sz="0" w:space="0" w:color="auto"/>
          </w:divBdr>
        </w:div>
        <w:div w:id="549807368">
          <w:marLeft w:val="1426"/>
          <w:marRight w:val="0"/>
          <w:marTop w:val="60"/>
          <w:marBottom w:val="0"/>
          <w:divBdr>
            <w:top w:val="none" w:sz="0" w:space="0" w:color="auto"/>
            <w:left w:val="none" w:sz="0" w:space="0" w:color="auto"/>
            <w:bottom w:val="none" w:sz="0" w:space="0" w:color="auto"/>
            <w:right w:val="none" w:sz="0" w:space="0" w:color="auto"/>
          </w:divBdr>
        </w:div>
        <w:div w:id="1609701738">
          <w:marLeft w:val="1426"/>
          <w:marRight w:val="0"/>
          <w:marTop w:val="60"/>
          <w:marBottom w:val="0"/>
          <w:divBdr>
            <w:top w:val="none" w:sz="0" w:space="0" w:color="auto"/>
            <w:left w:val="none" w:sz="0" w:space="0" w:color="auto"/>
            <w:bottom w:val="none" w:sz="0" w:space="0" w:color="auto"/>
            <w:right w:val="none" w:sz="0" w:space="0" w:color="auto"/>
          </w:divBdr>
        </w:div>
      </w:divsChild>
    </w:div>
    <w:div w:id="680662681">
      <w:bodyDiv w:val="1"/>
      <w:marLeft w:val="0"/>
      <w:marRight w:val="0"/>
      <w:marTop w:val="0"/>
      <w:marBottom w:val="0"/>
      <w:divBdr>
        <w:top w:val="none" w:sz="0" w:space="0" w:color="auto"/>
        <w:left w:val="none" w:sz="0" w:space="0" w:color="auto"/>
        <w:bottom w:val="none" w:sz="0" w:space="0" w:color="auto"/>
        <w:right w:val="none" w:sz="0" w:space="0" w:color="auto"/>
      </w:divBdr>
      <w:divsChild>
        <w:div w:id="113139317">
          <w:marLeft w:val="0"/>
          <w:marRight w:val="0"/>
          <w:marTop w:val="0"/>
          <w:marBottom w:val="0"/>
          <w:divBdr>
            <w:top w:val="none" w:sz="0" w:space="0" w:color="auto"/>
            <w:left w:val="none" w:sz="0" w:space="0" w:color="auto"/>
            <w:bottom w:val="none" w:sz="0" w:space="0" w:color="auto"/>
            <w:right w:val="none" w:sz="0" w:space="0" w:color="auto"/>
          </w:divBdr>
        </w:div>
        <w:div w:id="1168521892">
          <w:marLeft w:val="0"/>
          <w:marRight w:val="0"/>
          <w:marTop w:val="0"/>
          <w:marBottom w:val="0"/>
          <w:divBdr>
            <w:top w:val="none" w:sz="0" w:space="0" w:color="auto"/>
            <w:left w:val="none" w:sz="0" w:space="0" w:color="auto"/>
            <w:bottom w:val="none" w:sz="0" w:space="0" w:color="auto"/>
            <w:right w:val="none" w:sz="0" w:space="0" w:color="auto"/>
          </w:divBdr>
        </w:div>
        <w:div w:id="859514237">
          <w:marLeft w:val="0"/>
          <w:marRight w:val="0"/>
          <w:marTop w:val="0"/>
          <w:marBottom w:val="0"/>
          <w:divBdr>
            <w:top w:val="none" w:sz="0" w:space="0" w:color="auto"/>
            <w:left w:val="none" w:sz="0" w:space="0" w:color="auto"/>
            <w:bottom w:val="none" w:sz="0" w:space="0" w:color="auto"/>
            <w:right w:val="none" w:sz="0" w:space="0" w:color="auto"/>
          </w:divBdr>
        </w:div>
        <w:div w:id="987825428">
          <w:marLeft w:val="0"/>
          <w:marRight w:val="0"/>
          <w:marTop w:val="0"/>
          <w:marBottom w:val="0"/>
          <w:divBdr>
            <w:top w:val="none" w:sz="0" w:space="0" w:color="auto"/>
            <w:left w:val="none" w:sz="0" w:space="0" w:color="auto"/>
            <w:bottom w:val="none" w:sz="0" w:space="0" w:color="auto"/>
            <w:right w:val="none" w:sz="0" w:space="0" w:color="auto"/>
          </w:divBdr>
        </w:div>
        <w:div w:id="2040547798">
          <w:marLeft w:val="0"/>
          <w:marRight w:val="0"/>
          <w:marTop w:val="0"/>
          <w:marBottom w:val="0"/>
          <w:divBdr>
            <w:top w:val="none" w:sz="0" w:space="0" w:color="auto"/>
            <w:left w:val="none" w:sz="0" w:space="0" w:color="auto"/>
            <w:bottom w:val="none" w:sz="0" w:space="0" w:color="auto"/>
            <w:right w:val="none" w:sz="0" w:space="0" w:color="auto"/>
          </w:divBdr>
          <w:divsChild>
            <w:div w:id="917599650">
              <w:marLeft w:val="-75"/>
              <w:marRight w:val="0"/>
              <w:marTop w:val="30"/>
              <w:marBottom w:val="30"/>
              <w:divBdr>
                <w:top w:val="none" w:sz="0" w:space="0" w:color="auto"/>
                <w:left w:val="none" w:sz="0" w:space="0" w:color="auto"/>
                <w:bottom w:val="none" w:sz="0" w:space="0" w:color="auto"/>
                <w:right w:val="none" w:sz="0" w:space="0" w:color="auto"/>
              </w:divBdr>
              <w:divsChild>
                <w:div w:id="278267099">
                  <w:marLeft w:val="0"/>
                  <w:marRight w:val="0"/>
                  <w:marTop w:val="0"/>
                  <w:marBottom w:val="0"/>
                  <w:divBdr>
                    <w:top w:val="none" w:sz="0" w:space="0" w:color="auto"/>
                    <w:left w:val="none" w:sz="0" w:space="0" w:color="auto"/>
                    <w:bottom w:val="none" w:sz="0" w:space="0" w:color="auto"/>
                    <w:right w:val="none" w:sz="0" w:space="0" w:color="auto"/>
                  </w:divBdr>
                  <w:divsChild>
                    <w:div w:id="1295981934">
                      <w:marLeft w:val="0"/>
                      <w:marRight w:val="0"/>
                      <w:marTop w:val="0"/>
                      <w:marBottom w:val="0"/>
                      <w:divBdr>
                        <w:top w:val="none" w:sz="0" w:space="0" w:color="auto"/>
                        <w:left w:val="none" w:sz="0" w:space="0" w:color="auto"/>
                        <w:bottom w:val="none" w:sz="0" w:space="0" w:color="auto"/>
                        <w:right w:val="none" w:sz="0" w:space="0" w:color="auto"/>
                      </w:divBdr>
                    </w:div>
                  </w:divsChild>
                </w:div>
                <w:div w:id="822503864">
                  <w:marLeft w:val="0"/>
                  <w:marRight w:val="0"/>
                  <w:marTop w:val="0"/>
                  <w:marBottom w:val="0"/>
                  <w:divBdr>
                    <w:top w:val="none" w:sz="0" w:space="0" w:color="auto"/>
                    <w:left w:val="none" w:sz="0" w:space="0" w:color="auto"/>
                    <w:bottom w:val="none" w:sz="0" w:space="0" w:color="auto"/>
                    <w:right w:val="none" w:sz="0" w:space="0" w:color="auto"/>
                  </w:divBdr>
                  <w:divsChild>
                    <w:div w:id="1160393109">
                      <w:marLeft w:val="0"/>
                      <w:marRight w:val="0"/>
                      <w:marTop w:val="0"/>
                      <w:marBottom w:val="0"/>
                      <w:divBdr>
                        <w:top w:val="none" w:sz="0" w:space="0" w:color="auto"/>
                        <w:left w:val="none" w:sz="0" w:space="0" w:color="auto"/>
                        <w:bottom w:val="none" w:sz="0" w:space="0" w:color="auto"/>
                        <w:right w:val="none" w:sz="0" w:space="0" w:color="auto"/>
                      </w:divBdr>
                    </w:div>
                  </w:divsChild>
                </w:div>
                <w:div w:id="1553149142">
                  <w:marLeft w:val="0"/>
                  <w:marRight w:val="0"/>
                  <w:marTop w:val="0"/>
                  <w:marBottom w:val="0"/>
                  <w:divBdr>
                    <w:top w:val="none" w:sz="0" w:space="0" w:color="auto"/>
                    <w:left w:val="none" w:sz="0" w:space="0" w:color="auto"/>
                    <w:bottom w:val="none" w:sz="0" w:space="0" w:color="auto"/>
                    <w:right w:val="none" w:sz="0" w:space="0" w:color="auto"/>
                  </w:divBdr>
                  <w:divsChild>
                    <w:div w:id="1676230789">
                      <w:marLeft w:val="0"/>
                      <w:marRight w:val="0"/>
                      <w:marTop w:val="0"/>
                      <w:marBottom w:val="0"/>
                      <w:divBdr>
                        <w:top w:val="none" w:sz="0" w:space="0" w:color="auto"/>
                        <w:left w:val="none" w:sz="0" w:space="0" w:color="auto"/>
                        <w:bottom w:val="none" w:sz="0" w:space="0" w:color="auto"/>
                        <w:right w:val="none" w:sz="0" w:space="0" w:color="auto"/>
                      </w:divBdr>
                    </w:div>
                  </w:divsChild>
                </w:div>
                <w:div w:id="878323670">
                  <w:marLeft w:val="0"/>
                  <w:marRight w:val="0"/>
                  <w:marTop w:val="0"/>
                  <w:marBottom w:val="0"/>
                  <w:divBdr>
                    <w:top w:val="none" w:sz="0" w:space="0" w:color="auto"/>
                    <w:left w:val="none" w:sz="0" w:space="0" w:color="auto"/>
                    <w:bottom w:val="none" w:sz="0" w:space="0" w:color="auto"/>
                    <w:right w:val="none" w:sz="0" w:space="0" w:color="auto"/>
                  </w:divBdr>
                  <w:divsChild>
                    <w:div w:id="460419808">
                      <w:marLeft w:val="0"/>
                      <w:marRight w:val="0"/>
                      <w:marTop w:val="0"/>
                      <w:marBottom w:val="0"/>
                      <w:divBdr>
                        <w:top w:val="none" w:sz="0" w:space="0" w:color="auto"/>
                        <w:left w:val="none" w:sz="0" w:space="0" w:color="auto"/>
                        <w:bottom w:val="none" w:sz="0" w:space="0" w:color="auto"/>
                        <w:right w:val="none" w:sz="0" w:space="0" w:color="auto"/>
                      </w:divBdr>
                    </w:div>
                  </w:divsChild>
                </w:div>
                <w:div w:id="1258057379">
                  <w:marLeft w:val="0"/>
                  <w:marRight w:val="0"/>
                  <w:marTop w:val="0"/>
                  <w:marBottom w:val="0"/>
                  <w:divBdr>
                    <w:top w:val="none" w:sz="0" w:space="0" w:color="auto"/>
                    <w:left w:val="none" w:sz="0" w:space="0" w:color="auto"/>
                    <w:bottom w:val="none" w:sz="0" w:space="0" w:color="auto"/>
                    <w:right w:val="none" w:sz="0" w:space="0" w:color="auto"/>
                  </w:divBdr>
                  <w:divsChild>
                    <w:div w:id="1089810928">
                      <w:marLeft w:val="0"/>
                      <w:marRight w:val="0"/>
                      <w:marTop w:val="0"/>
                      <w:marBottom w:val="0"/>
                      <w:divBdr>
                        <w:top w:val="none" w:sz="0" w:space="0" w:color="auto"/>
                        <w:left w:val="none" w:sz="0" w:space="0" w:color="auto"/>
                        <w:bottom w:val="none" w:sz="0" w:space="0" w:color="auto"/>
                        <w:right w:val="none" w:sz="0" w:space="0" w:color="auto"/>
                      </w:divBdr>
                    </w:div>
                  </w:divsChild>
                </w:div>
                <w:div w:id="1750033136">
                  <w:marLeft w:val="0"/>
                  <w:marRight w:val="0"/>
                  <w:marTop w:val="0"/>
                  <w:marBottom w:val="0"/>
                  <w:divBdr>
                    <w:top w:val="none" w:sz="0" w:space="0" w:color="auto"/>
                    <w:left w:val="none" w:sz="0" w:space="0" w:color="auto"/>
                    <w:bottom w:val="none" w:sz="0" w:space="0" w:color="auto"/>
                    <w:right w:val="none" w:sz="0" w:space="0" w:color="auto"/>
                  </w:divBdr>
                  <w:divsChild>
                    <w:div w:id="422802443">
                      <w:marLeft w:val="0"/>
                      <w:marRight w:val="0"/>
                      <w:marTop w:val="0"/>
                      <w:marBottom w:val="0"/>
                      <w:divBdr>
                        <w:top w:val="none" w:sz="0" w:space="0" w:color="auto"/>
                        <w:left w:val="none" w:sz="0" w:space="0" w:color="auto"/>
                        <w:bottom w:val="none" w:sz="0" w:space="0" w:color="auto"/>
                        <w:right w:val="none" w:sz="0" w:space="0" w:color="auto"/>
                      </w:divBdr>
                    </w:div>
                  </w:divsChild>
                </w:div>
                <w:div w:id="1895702005">
                  <w:marLeft w:val="0"/>
                  <w:marRight w:val="0"/>
                  <w:marTop w:val="0"/>
                  <w:marBottom w:val="0"/>
                  <w:divBdr>
                    <w:top w:val="none" w:sz="0" w:space="0" w:color="auto"/>
                    <w:left w:val="none" w:sz="0" w:space="0" w:color="auto"/>
                    <w:bottom w:val="none" w:sz="0" w:space="0" w:color="auto"/>
                    <w:right w:val="none" w:sz="0" w:space="0" w:color="auto"/>
                  </w:divBdr>
                  <w:divsChild>
                    <w:div w:id="1179278142">
                      <w:marLeft w:val="0"/>
                      <w:marRight w:val="0"/>
                      <w:marTop w:val="0"/>
                      <w:marBottom w:val="0"/>
                      <w:divBdr>
                        <w:top w:val="none" w:sz="0" w:space="0" w:color="auto"/>
                        <w:left w:val="none" w:sz="0" w:space="0" w:color="auto"/>
                        <w:bottom w:val="none" w:sz="0" w:space="0" w:color="auto"/>
                        <w:right w:val="none" w:sz="0" w:space="0" w:color="auto"/>
                      </w:divBdr>
                    </w:div>
                  </w:divsChild>
                </w:div>
                <w:div w:id="165366128">
                  <w:marLeft w:val="0"/>
                  <w:marRight w:val="0"/>
                  <w:marTop w:val="0"/>
                  <w:marBottom w:val="0"/>
                  <w:divBdr>
                    <w:top w:val="none" w:sz="0" w:space="0" w:color="auto"/>
                    <w:left w:val="none" w:sz="0" w:space="0" w:color="auto"/>
                    <w:bottom w:val="none" w:sz="0" w:space="0" w:color="auto"/>
                    <w:right w:val="none" w:sz="0" w:space="0" w:color="auto"/>
                  </w:divBdr>
                  <w:divsChild>
                    <w:div w:id="1352343811">
                      <w:marLeft w:val="0"/>
                      <w:marRight w:val="0"/>
                      <w:marTop w:val="0"/>
                      <w:marBottom w:val="0"/>
                      <w:divBdr>
                        <w:top w:val="none" w:sz="0" w:space="0" w:color="auto"/>
                        <w:left w:val="none" w:sz="0" w:space="0" w:color="auto"/>
                        <w:bottom w:val="none" w:sz="0" w:space="0" w:color="auto"/>
                        <w:right w:val="none" w:sz="0" w:space="0" w:color="auto"/>
                      </w:divBdr>
                    </w:div>
                  </w:divsChild>
                </w:div>
                <w:div w:id="747314185">
                  <w:marLeft w:val="0"/>
                  <w:marRight w:val="0"/>
                  <w:marTop w:val="0"/>
                  <w:marBottom w:val="0"/>
                  <w:divBdr>
                    <w:top w:val="none" w:sz="0" w:space="0" w:color="auto"/>
                    <w:left w:val="none" w:sz="0" w:space="0" w:color="auto"/>
                    <w:bottom w:val="none" w:sz="0" w:space="0" w:color="auto"/>
                    <w:right w:val="none" w:sz="0" w:space="0" w:color="auto"/>
                  </w:divBdr>
                  <w:divsChild>
                    <w:div w:id="1849365847">
                      <w:marLeft w:val="0"/>
                      <w:marRight w:val="0"/>
                      <w:marTop w:val="0"/>
                      <w:marBottom w:val="0"/>
                      <w:divBdr>
                        <w:top w:val="none" w:sz="0" w:space="0" w:color="auto"/>
                        <w:left w:val="none" w:sz="0" w:space="0" w:color="auto"/>
                        <w:bottom w:val="none" w:sz="0" w:space="0" w:color="auto"/>
                        <w:right w:val="none" w:sz="0" w:space="0" w:color="auto"/>
                      </w:divBdr>
                    </w:div>
                  </w:divsChild>
                </w:div>
                <w:div w:id="1329820676">
                  <w:marLeft w:val="0"/>
                  <w:marRight w:val="0"/>
                  <w:marTop w:val="0"/>
                  <w:marBottom w:val="0"/>
                  <w:divBdr>
                    <w:top w:val="none" w:sz="0" w:space="0" w:color="auto"/>
                    <w:left w:val="none" w:sz="0" w:space="0" w:color="auto"/>
                    <w:bottom w:val="none" w:sz="0" w:space="0" w:color="auto"/>
                    <w:right w:val="none" w:sz="0" w:space="0" w:color="auto"/>
                  </w:divBdr>
                  <w:divsChild>
                    <w:div w:id="449054569">
                      <w:marLeft w:val="0"/>
                      <w:marRight w:val="0"/>
                      <w:marTop w:val="0"/>
                      <w:marBottom w:val="0"/>
                      <w:divBdr>
                        <w:top w:val="none" w:sz="0" w:space="0" w:color="auto"/>
                        <w:left w:val="none" w:sz="0" w:space="0" w:color="auto"/>
                        <w:bottom w:val="none" w:sz="0" w:space="0" w:color="auto"/>
                        <w:right w:val="none" w:sz="0" w:space="0" w:color="auto"/>
                      </w:divBdr>
                    </w:div>
                  </w:divsChild>
                </w:div>
                <w:div w:id="13850969">
                  <w:marLeft w:val="0"/>
                  <w:marRight w:val="0"/>
                  <w:marTop w:val="0"/>
                  <w:marBottom w:val="0"/>
                  <w:divBdr>
                    <w:top w:val="none" w:sz="0" w:space="0" w:color="auto"/>
                    <w:left w:val="none" w:sz="0" w:space="0" w:color="auto"/>
                    <w:bottom w:val="none" w:sz="0" w:space="0" w:color="auto"/>
                    <w:right w:val="none" w:sz="0" w:space="0" w:color="auto"/>
                  </w:divBdr>
                  <w:divsChild>
                    <w:div w:id="1979871927">
                      <w:marLeft w:val="0"/>
                      <w:marRight w:val="0"/>
                      <w:marTop w:val="0"/>
                      <w:marBottom w:val="0"/>
                      <w:divBdr>
                        <w:top w:val="none" w:sz="0" w:space="0" w:color="auto"/>
                        <w:left w:val="none" w:sz="0" w:space="0" w:color="auto"/>
                        <w:bottom w:val="none" w:sz="0" w:space="0" w:color="auto"/>
                        <w:right w:val="none" w:sz="0" w:space="0" w:color="auto"/>
                      </w:divBdr>
                    </w:div>
                  </w:divsChild>
                </w:div>
                <w:div w:id="705913615">
                  <w:marLeft w:val="0"/>
                  <w:marRight w:val="0"/>
                  <w:marTop w:val="0"/>
                  <w:marBottom w:val="0"/>
                  <w:divBdr>
                    <w:top w:val="none" w:sz="0" w:space="0" w:color="auto"/>
                    <w:left w:val="none" w:sz="0" w:space="0" w:color="auto"/>
                    <w:bottom w:val="none" w:sz="0" w:space="0" w:color="auto"/>
                    <w:right w:val="none" w:sz="0" w:space="0" w:color="auto"/>
                  </w:divBdr>
                  <w:divsChild>
                    <w:div w:id="1288775450">
                      <w:marLeft w:val="0"/>
                      <w:marRight w:val="0"/>
                      <w:marTop w:val="0"/>
                      <w:marBottom w:val="0"/>
                      <w:divBdr>
                        <w:top w:val="none" w:sz="0" w:space="0" w:color="auto"/>
                        <w:left w:val="none" w:sz="0" w:space="0" w:color="auto"/>
                        <w:bottom w:val="none" w:sz="0" w:space="0" w:color="auto"/>
                        <w:right w:val="none" w:sz="0" w:space="0" w:color="auto"/>
                      </w:divBdr>
                    </w:div>
                  </w:divsChild>
                </w:div>
                <w:div w:id="458690969">
                  <w:marLeft w:val="0"/>
                  <w:marRight w:val="0"/>
                  <w:marTop w:val="0"/>
                  <w:marBottom w:val="0"/>
                  <w:divBdr>
                    <w:top w:val="none" w:sz="0" w:space="0" w:color="auto"/>
                    <w:left w:val="none" w:sz="0" w:space="0" w:color="auto"/>
                    <w:bottom w:val="none" w:sz="0" w:space="0" w:color="auto"/>
                    <w:right w:val="none" w:sz="0" w:space="0" w:color="auto"/>
                  </w:divBdr>
                  <w:divsChild>
                    <w:div w:id="1589846799">
                      <w:marLeft w:val="0"/>
                      <w:marRight w:val="0"/>
                      <w:marTop w:val="0"/>
                      <w:marBottom w:val="0"/>
                      <w:divBdr>
                        <w:top w:val="none" w:sz="0" w:space="0" w:color="auto"/>
                        <w:left w:val="none" w:sz="0" w:space="0" w:color="auto"/>
                        <w:bottom w:val="none" w:sz="0" w:space="0" w:color="auto"/>
                        <w:right w:val="none" w:sz="0" w:space="0" w:color="auto"/>
                      </w:divBdr>
                    </w:div>
                  </w:divsChild>
                </w:div>
                <w:div w:id="19669446">
                  <w:marLeft w:val="0"/>
                  <w:marRight w:val="0"/>
                  <w:marTop w:val="0"/>
                  <w:marBottom w:val="0"/>
                  <w:divBdr>
                    <w:top w:val="none" w:sz="0" w:space="0" w:color="auto"/>
                    <w:left w:val="none" w:sz="0" w:space="0" w:color="auto"/>
                    <w:bottom w:val="none" w:sz="0" w:space="0" w:color="auto"/>
                    <w:right w:val="none" w:sz="0" w:space="0" w:color="auto"/>
                  </w:divBdr>
                  <w:divsChild>
                    <w:div w:id="567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2648">
      <w:bodyDiv w:val="1"/>
      <w:marLeft w:val="0"/>
      <w:marRight w:val="0"/>
      <w:marTop w:val="0"/>
      <w:marBottom w:val="0"/>
      <w:divBdr>
        <w:top w:val="none" w:sz="0" w:space="0" w:color="auto"/>
        <w:left w:val="none" w:sz="0" w:space="0" w:color="auto"/>
        <w:bottom w:val="none" w:sz="0" w:space="0" w:color="auto"/>
        <w:right w:val="none" w:sz="0" w:space="0" w:color="auto"/>
      </w:divBdr>
    </w:div>
    <w:div w:id="858082300">
      <w:bodyDiv w:val="1"/>
      <w:marLeft w:val="0"/>
      <w:marRight w:val="0"/>
      <w:marTop w:val="0"/>
      <w:marBottom w:val="0"/>
      <w:divBdr>
        <w:top w:val="none" w:sz="0" w:space="0" w:color="auto"/>
        <w:left w:val="none" w:sz="0" w:space="0" w:color="auto"/>
        <w:bottom w:val="none" w:sz="0" w:space="0" w:color="auto"/>
        <w:right w:val="none" w:sz="0" w:space="0" w:color="auto"/>
      </w:divBdr>
      <w:divsChild>
        <w:div w:id="325716470">
          <w:marLeft w:val="1685"/>
          <w:marRight w:val="0"/>
          <w:marTop w:val="60"/>
          <w:marBottom w:val="0"/>
          <w:divBdr>
            <w:top w:val="none" w:sz="0" w:space="0" w:color="auto"/>
            <w:left w:val="none" w:sz="0" w:space="0" w:color="auto"/>
            <w:bottom w:val="none" w:sz="0" w:space="0" w:color="auto"/>
            <w:right w:val="none" w:sz="0" w:space="0" w:color="auto"/>
          </w:divBdr>
        </w:div>
        <w:div w:id="453449490">
          <w:marLeft w:val="1685"/>
          <w:marRight w:val="0"/>
          <w:marTop w:val="60"/>
          <w:marBottom w:val="0"/>
          <w:divBdr>
            <w:top w:val="none" w:sz="0" w:space="0" w:color="auto"/>
            <w:left w:val="none" w:sz="0" w:space="0" w:color="auto"/>
            <w:bottom w:val="none" w:sz="0" w:space="0" w:color="auto"/>
            <w:right w:val="none" w:sz="0" w:space="0" w:color="auto"/>
          </w:divBdr>
        </w:div>
        <w:div w:id="585505560">
          <w:marLeft w:val="1685"/>
          <w:marRight w:val="0"/>
          <w:marTop w:val="60"/>
          <w:marBottom w:val="0"/>
          <w:divBdr>
            <w:top w:val="none" w:sz="0" w:space="0" w:color="auto"/>
            <w:left w:val="none" w:sz="0" w:space="0" w:color="auto"/>
            <w:bottom w:val="none" w:sz="0" w:space="0" w:color="auto"/>
            <w:right w:val="none" w:sz="0" w:space="0" w:color="auto"/>
          </w:divBdr>
        </w:div>
      </w:divsChild>
    </w:div>
    <w:div w:id="867723150">
      <w:bodyDiv w:val="1"/>
      <w:marLeft w:val="0"/>
      <w:marRight w:val="0"/>
      <w:marTop w:val="0"/>
      <w:marBottom w:val="0"/>
      <w:divBdr>
        <w:top w:val="none" w:sz="0" w:space="0" w:color="auto"/>
        <w:left w:val="none" w:sz="0" w:space="0" w:color="auto"/>
        <w:bottom w:val="none" w:sz="0" w:space="0" w:color="auto"/>
        <w:right w:val="none" w:sz="0" w:space="0" w:color="auto"/>
      </w:divBdr>
    </w:div>
    <w:div w:id="875702479">
      <w:bodyDiv w:val="1"/>
      <w:marLeft w:val="0"/>
      <w:marRight w:val="0"/>
      <w:marTop w:val="0"/>
      <w:marBottom w:val="0"/>
      <w:divBdr>
        <w:top w:val="none" w:sz="0" w:space="0" w:color="auto"/>
        <w:left w:val="none" w:sz="0" w:space="0" w:color="auto"/>
        <w:bottom w:val="none" w:sz="0" w:space="0" w:color="auto"/>
        <w:right w:val="none" w:sz="0" w:space="0" w:color="auto"/>
      </w:divBdr>
    </w:div>
    <w:div w:id="903175601">
      <w:bodyDiv w:val="1"/>
      <w:marLeft w:val="0"/>
      <w:marRight w:val="0"/>
      <w:marTop w:val="0"/>
      <w:marBottom w:val="0"/>
      <w:divBdr>
        <w:top w:val="none" w:sz="0" w:space="0" w:color="auto"/>
        <w:left w:val="none" w:sz="0" w:space="0" w:color="auto"/>
        <w:bottom w:val="none" w:sz="0" w:space="0" w:color="auto"/>
        <w:right w:val="none" w:sz="0" w:space="0" w:color="auto"/>
      </w:divBdr>
    </w:div>
    <w:div w:id="918370659">
      <w:bodyDiv w:val="1"/>
      <w:marLeft w:val="0"/>
      <w:marRight w:val="0"/>
      <w:marTop w:val="0"/>
      <w:marBottom w:val="0"/>
      <w:divBdr>
        <w:top w:val="none" w:sz="0" w:space="0" w:color="auto"/>
        <w:left w:val="none" w:sz="0" w:space="0" w:color="auto"/>
        <w:bottom w:val="none" w:sz="0" w:space="0" w:color="auto"/>
        <w:right w:val="none" w:sz="0" w:space="0" w:color="auto"/>
      </w:divBdr>
      <w:divsChild>
        <w:div w:id="91052071">
          <w:marLeft w:val="1426"/>
          <w:marRight w:val="0"/>
          <w:marTop w:val="180"/>
          <w:marBottom w:val="0"/>
          <w:divBdr>
            <w:top w:val="none" w:sz="0" w:space="0" w:color="auto"/>
            <w:left w:val="none" w:sz="0" w:space="0" w:color="auto"/>
            <w:bottom w:val="none" w:sz="0" w:space="0" w:color="auto"/>
            <w:right w:val="none" w:sz="0" w:space="0" w:color="auto"/>
          </w:divBdr>
        </w:div>
        <w:div w:id="501623712">
          <w:marLeft w:val="1843"/>
          <w:marRight w:val="0"/>
          <w:marTop w:val="0"/>
          <w:marBottom w:val="0"/>
          <w:divBdr>
            <w:top w:val="none" w:sz="0" w:space="0" w:color="auto"/>
            <w:left w:val="none" w:sz="0" w:space="0" w:color="auto"/>
            <w:bottom w:val="none" w:sz="0" w:space="0" w:color="auto"/>
            <w:right w:val="none" w:sz="0" w:space="0" w:color="auto"/>
          </w:divBdr>
        </w:div>
        <w:div w:id="994145364">
          <w:marLeft w:val="1426"/>
          <w:marRight w:val="0"/>
          <w:marTop w:val="180"/>
          <w:marBottom w:val="0"/>
          <w:divBdr>
            <w:top w:val="none" w:sz="0" w:space="0" w:color="auto"/>
            <w:left w:val="none" w:sz="0" w:space="0" w:color="auto"/>
            <w:bottom w:val="none" w:sz="0" w:space="0" w:color="auto"/>
            <w:right w:val="none" w:sz="0" w:space="0" w:color="auto"/>
          </w:divBdr>
        </w:div>
        <w:div w:id="1263756645">
          <w:marLeft w:val="1973"/>
          <w:marRight w:val="0"/>
          <w:marTop w:val="0"/>
          <w:marBottom w:val="0"/>
          <w:divBdr>
            <w:top w:val="none" w:sz="0" w:space="0" w:color="auto"/>
            <w:left w:val="none" w:sz="0" w:space="0" w:color="auto"/>
            <w:bottom w:val="none" w:sz="0" w:space="0" w:color="auto"/>
            <w:right w:val="none" w:sz="0" w:space="0" w:color="auto"/>
          </w:divBdr>
        </w:div>
        <w:div w:id="1579710767">
          <w:marLeft w:val="1843"/>
          <w:marRight w:val="0"/>
          <w:marTop w:val="0"/>
          <w:marBottom w:val="0"/>
          <w:divBdr>
            <w:top w:val="none" w:sz="0" w:space="0" w:color="auto"/>
            <w:left w:val="none" w:sz="0" w:space="0" w:color="auto"/>
            <w:bottom w:val="none" w:sz="0" w:space="0" w:color="auto"/>
            <w:right w:val="none" w:sz="0" w:space="0" w:color="auto"/>
          </w:divBdr>
        </w:div>
        <w:div w:id="1640261672">
          <w:marLeft w:val="1843"/>
          <w:marRight w:val="0"/>
          <w:marTop w:val="0"/>
          <w:marBottom w:val="0"/>
          <w:divBdr>
            <w:top w:val="none" w:sz="0" w:space="0" w:color="auto"/>
            <w:left w:val="none" w:sz="0" w:space="0" w:color="auto"/>
            <w:bottom w:val="none" w:sz="0" w:space="0" w:color="auto"/>
            <w:right w:val="none" w:sz="0" w:space="0" w:color="auto"/>
          </w:divBdr>
        </w:div>
        <w:div w:id="2026469993">
          <w:marLeft w:val="1973"/>
          <w:marRight w:val="0"/>
          <w:marTop w:val="0"/>
          <w:marBottom w:val="0"/>
          <w:divBdr>
            <w:top w:val="none" w:sz="0" w:space="0" w:color="auto"/>
            <w:left w:val="none" w:sz="0" w:space="0" w:color="auto"/>
            <w:bottom w:val="none" w:sz="0" w:space="0" w:color="auto"/>
            <w:right w:val="none" w:sz="0" w:space="0" w:color="auto"/>
          </w:divBdr>
        </w:div>
        <w:div w:id="2040621659">
          <w:marLeft w:val="1426"/>
          <w:marRight w:val="0"/>
          <w:marTop w:val="180"/>
          <w:marBottom w:val="0"/>
          <w:divBdr>
            <w:top w:val="none" w:sz="0" w:space="0" w:color="auto"/>
            <w:left w:val="none" w:sz="0" w:space="0" w:color="auto"/>
            <w:bottom w:val="none" w:sz="0" w:space="0" w:color="auto"/>
            <w:right w:val="none" w:sz="0" w:space="0" w:color="auto"/>
          </w:divBdr>
        </w:div>
      </w:divsChild>
    </w:div>
    <w:div w:id="931082413">
      <w:bodyDiv w:val="1"/>
      <w:marLeft w:val="0"/>
      <w:marRight w:val="0"/>
      <w:marTop w:val="0"/>
      <w:marBottom w:val="0"/>
      <w:divBdr>
        <w:top w:val="none" w:sz="0" w:space="0" w:color="auto"/>
        <w:left w:val="none" w:sz="0" w:space="0" w:color="auto"/>
        <w:bottom w:val="none" w:sz="0" w:space="0" w:color="auto"/>
        <w:right w:val="none" w:sz="0" w:space="0" w:color="auto"/>
      </w:divBdr>
      <w:divsChild>
        <w:div w:id="72894178">
          <w:marLeft w:val="1987"/>
          <w:marRight w:val="0"/>
          <w:marTop w:val="0"/>
          <w:marBottom w:val="0"/>
          <w:divBdr>
            <w:top w:val="none" w:sz="0" w:space="0" w:color="auto"/>
            <w:left w:val="none" w:sz="0" w:space="0" w:color="auto"/>
            <w:bottom w:val="none" w:sz="0" w:space="0" w:color="auto"/>
            <w:right w:val="none" w:sz="0" w:space="0" w:color="auto"/>
          </w:divBdr>
        </w:div>
        <w:div w:id="525020029">
          <w:marLeft w:val="1397"/>
          <w:marRight w:val="0"/>
          <w:marTop w:val="0"/>
          <w:marBottom w:val="0"/>
          <w:divBdr>
            <w:top w:val="none" w:sz="0" w:space="0" w:color="auto"/>
            <w:left w:val="none" w:sz="0" w:space="0" w:color="auto"/>
            <w:bottom w:val="none" w:sz="0" w:space="0" w:color="auto"/>
            <w:right w:val="none" w:sz="0" w:space="0" w:color="auto"/>
          </w:divBdr>
        </w:div>
        <w:div w:id="599215323">
          <w:marLeft w:val="1397"/>
          <w:marRight w:val="0"/>
          <w:marTop w:val="0"/>
          <w:marBottom w:val="0"/>
          <w:divBdr>
            <w:top w:val="none" w:sz="0" w:space="0" w:color="auto"/>
            <w:left w:val="none" w:sz="0" w:space="0" w:color="auto"/>
            <w:bottom w:val="none" w:sz="0" w:space="0" w:color="auto"/>
            <w:right w:val="none" w:sz="0" w:space="0" w:color="auto"/>
          </w:divBdr>
        </w:div>
        <w:div w:id="657464892">
          <w:marLeft w:val="1987"/>
          <w:marRight w:val="0"/>
          <w:marTop w:val="0"/>
          <w:marBottom w:val="0"/>
          <w:divBdr>
            <w:top w:val="none" w:sz="0" w:space="0" w:color="auto"/>
            <w:left w:val="none" w:sz="0" w:space="0" w:color="auto"/>
            <w:bottom w:val="none" w:sz="0" w:space="0" w:color="auto"/>
            <w:right w:val="none" w:sz="0" w:space="0" w:color="auto"/>
          </w:divBdr>
        </w:div>
        <w:div w:id="887498500">
          <w:marLeft w:val="1987"/>
          <w:marRight w:val="0"/>
          <w:marTop w:val="0"/>
          <w:marBottom w:val="0"/>
          <w:divBdr>
            <w:top w:val="none" w:sz="0" w:space="0" w:color="auto"/>
            <w:left w:val="none" w:sz="0" w:space="0" w:color="auto"/>
            <w:bottom w:val="none" w:sz="0" w:space="0" w:color="auto"/>
            <w:right w:val="none" w:sz="0" w:space="0" w:color="auto"/>
          </w:divBdr>
        </w:div>
        <w:div w:id="1120998416">
          <w:marLeft w:val="1987"/>
          <w:marRight w:val="0"/>
          <w:marTop w:val="0"/>
          <w:marBottom w:val="0"/>
          <w:divBdr>
            <w:top w:val="none" w:sz="0" w:space="0" w:color="auto"/>
            <w:left w:val="none" w:sz="0" w:space="0" w:color="auto"/>
            <w:bottom w:val="none" w:sz="0" w:space="0" w:color="auto"/>
            <w:right w:val="none" w:sz="0" w:space="0" w:color="auto"/>
          </w:divBdr>
        </w:div>
        <w:div w:id="1140422022">
          <w:marLeft w:val="1987"/>
          <w:marRight w:val="0"/>
          <w:marTop w:val="0"/>
          <w:marBottom w:val="0"/>
          <w:divBdr>
            <w:top w:val="none" w:sz="0" w:space="0" w:color="auto"/>
            <w:left w:val="none" w:sz="0" w:space="0" w:color="auto"/>
            <w:bottom w:val="none" w:sz="0" w:space="0" w:color="auto"/>
            <w:right w:val="none" w:sz="0" w:space="0" w:color="auto"/>
          </w:divBdr>
        </w:div>
        <w:div w:id="1199201224">
          <w:marLeft w:val="1987"/>
          <w:marRight w:val="0"/>
          <w:marTop w:val="0"/>
          <w:marBottom w:val="0"/>
          <w:divBdr>
            <w:top w:val="none" w:sz="0" w:space="0" w:color="auto"/>
            <w:left w:val="none" w:sz="0" w:space="0" w:color="auto"/>
            <w:bottom w:val="none" w:sz="0" w:space="0" w:color="auto"/>
            <w:right w:val="none" w:sz="0" w:space="0" w:color="auto"/>
          </w:divBdr>
        </w:div>
        <w:div w:id="1383941916">
          <w:marLeft w:val="1397"/>
          <w:marRight w:val="0"/>
          <w:marTop w:val="0"/>
          <w:marBottom w:val="0"/>
          <w:divBdr>
            <w:top w:val="none" w:sz="0" w:space="0" w:color="auto"/>
            <w:left w:val="none" w:sz="0" w:space="0" w:color="auto"/>
            <w:bottom w:val="none" w:sz="0" w:space="0" w:color="auto"/>
            <w:right w:val="none" w:sz="0" w:space="0" w:color="auto"/>
          </w:divBdr>
        </w:div>
        <w:div w:id="1516186126">
          <w:marLeft w:val="1987"/>
          <w:marRight w:val="0"/>
          <w:marTop w:val="0"/>
          <w:marBottom w:val="0"/>
          <w:divBdr>
            <w:top w:val="none" w:sz="0" w:space="0" w:color="auto"/>
            <w:left w:val="none" w:sz="0" w:space="0" w:color="auto"/>
            <w:bottom w:val="none" w:sz="0" w:space="0" w:color="auto"/>
            <w:right w:val="none" w:sz="0" w:space="0" w:color="auto"/>
          </w:divBdr>
        </w:div>
        <w:div w:id="1599287595">
          <w:marLeft w:val="1987"/>
          <w:marRight w:val="0"/>
          <w:marTop w:val="0"/>
          <w:marBottom w:val="0"/>
          <w:divBdr>
            <w:top w:val="none" w:sz="0" w:space="0" w:color="auto"/>
            <w:left w:val="none" w:sz="0" w:space="0" w:color="auto"/>
            <w:bottom w:val="none" w:sz="0" w:space="0" w:color="auto"/>
            <w:right w:val="none" w:sz="0" w:space="0" w:color="auto"/>
          </w:divBdr>
        </w:div>
        <w:div w:id="1729769450">
          <w:marLeft w:val="1987"/>
          <w:marRight w:val="0"/>
          <w:marTop w:val="0"/>
          <w:marBottom w:val="0"/>
          <w:divBdr>
            <w:top w:val="none" w:sz="0" w:space="0" w:color="auto"/>
            <w:left w:val="none" w:sz="0" w:space="0" w:color="auto"/>
            <w:bottom w:val="none" w:sz="0" w:space="0" w:color="auto"/>
            <w:right w:val="none" w:sz="0" w:space="0" w:color="auto"/>
          </w:divBdr>
        </w:div>
        <w:div w:id="1936742167">
          <w:marLeft w:val="1987"/>
          <w:marRight w:val="0"/>
          <w:marTop w:val="0"/>
          <w:marBottom w:val="0"/>
          <w:divBdr>
            <w:top w:val="none" w:sz="0" w:space="0" w:color="auto"/>
            <w:left w:val="none" w:sz="0" w:space="0" w:color="auto"/>
            <w:bottom w:val="none" w:sz="0" w:space="0" w:color="auto"/>
            <w:right w:val="none" w:sz="0" w:space="0" w:color="auto"/>
          </w:divBdr>
        </w:div>
        <w:div w:id="2023967294">
          <w:marLeft w:val="1397"/>
          <w:marRight w:val="0"/>
          <w:marTop w:val="0"/>
          <w:marBottom w:val="0"/>
          <w:divBdr>
            <w:top w:val="none" w:sz="0" w:space="0" w:color="auto"/>
            <w:left w:val="none" w:sz="0" w:space="0" w:color="auto"/>
            <w:bottom w:val="none" w:sz="0" w:space="0" w:color="auto"/>
            <w:right w:val="none" w:sz="0" w:space="0" w:color="auto"/>
          </w:divBdr>
        </w:div>
        <w:div w:id="2085911577">
          <w:marLeft w:val="1987"/>
          <w:marRight w:val="0"/>
          <w:marTop w:val="0"/>
          <w:marBottom w:val="0"/>
          <w:divBdr>
            <w:top w:val="none" w:sz="0" w:space="0" w:color="auto"/>
            <w:left w:val="none" w:sz="0" w:space="0" w:color="auto"/>
            <w:bottom w:val="none" w:sz="0" w:space="0" w:color="auto"/>
            <w:right w:val="none" w:sz="0" w:space="0" w:color="auto"/>
          </w:divBdr>
        </w:div>
      </w:divsChild>
    </w:div>
    <w:div w:id="940067950">
      <w:bodyDiv w:val="1"/>
      <w:marLeft w:val="0"/>
      <w:marRight w:val="0"/>
      <w:marTop w:val="0"/>
      <w:marBottom w:val="0"/>
      <w:divBdr>
        <w:top w:val="none" w:sz="0" w:space="0" w:color="auto"/>
        <w:left w:val="none" w:sz="0" w:space="0" w:color="auto"/>
        <w:bottom w:val="none" w:sz="0" w:space="0" w:color="auto"/>
        <w:right w:val="none" w:sz="0" w:space="0" w:color="auto"/>
      </w:divBdr>
    </w:div>
    <w:div w:id="968897244">
      <w:bodyDiv w:val="1"/>
      <w:marLeft w:val="0"/>
      <w:marRight w:val="0"/>
      <w:marTop w:val="0"/>
      <w:marBottom w:val="0"/>
      <w:divBdr>
        <w:top w:val="none" w:sz="0" w:space="0" w:color="auto"/>
        <w:left w:val="none" w:sz="0" w:space="0" w:color="auto"/>
        <w:bottom w:val="none" w:sz="0" w:space="0" w:color="auto"/>
        <w:right w:val="none" w:sz="0" w:space="0" w:color="auto"/>
      </w:divBdr>
    </w:div>
    <w:div w:id="977606296">
      <w:bodyDiv w:val="1"/>
      <w:marLeft w:val="0"/>
      <w:marRight w:val="0"/>
      <w:marTop w:val="0"/>
      <w:marBottom w:val="0"/>
      <w:divBdr>
        <w:top w:val="none" w:sz="0" w:space="0" w:color="auto"/>
        <w:left w:val="none" w:sz="0" w:space="0" w:color="auto"/>
        <w:bottom w:val="none" w:sz="0" w:space="0" w:color="auto"/>
        <w:right w:val="none" w:sz="0" w:space="0" w:color="auto"/>
      </w:divBdr>
    </w:div>
    <w:div w:id="987635302">
      <w:bodyDiv w:val="1"/>
      <w:marLeft w:val="0"/>
      <w:marRight w:val="0"/>
      <w:marTop w:val="0"/>
      <w:marBottom w:val="0"/>
      <w:divBdr>
        <w:top w:val="none" w:sz="0" w:space="0" w:color="auto"/>
        <w:left w:val="none" w:sz="0" w:space="0" w:color="auto"/>
        <w:bottom w:val="none" w:sz="0" w:space="0" w:color="auto"/>
        <w:right w:val="none" w:sz="0" w:space="0" w:color="auto"/>
      </w:divBdr>
      <w:divsChild>
        <w:div w:id="280502074">
          <w:marLeft w:val="1426"/>
          <w:marRight w:val="0"/>
          <w:marTop w:val="0"/>
          <w:marBottom w:val="0"/>
          <w:divBdr>
            <w:top w:val="none" w:sz="0" w:space="0" w:color="auto"/>
            <w:left w:val="none" w:sz="0" w:space="0" w:color="auto"/>
            <w:bottom w:val="none" w:sz="0" w:space="0" w:color="auto"/>
            <w:right w:val="none" w:sz="0" w:space="0" w:color="auto"/>
          </w:divBdr>
        </w:div>
        <w:div w:id="355272738">
          <w:marLeft w:val="1426"/>
          <w:marRight w:val="0"/>
          <w:marTop w:val="0"/>
          <w:marBottom w:val="0"/>
          <w:divBdr>
            <w:top w:val="none" w:sz="0" w:space="0" w:color="auto"/>
            <w:left w:val="none" w:sz="0" w:space="0" w:color="auto"/>
            <w:bottom w:val="none" w:sz="0" w:space="0" w:color="auto"/>
            <w:right w:val="none" w:sz="0" w:space="0" w:color="auto"/>
          </w:divBdr>
        </w:div>
        <w:div w:id="389111647">
          <w:marLeft w:val="1426"/>
          <w:marRight w:val="0"/>
          <w:marTop w:val="0"/>
          <w:marBottom w:val="0"/>
          <w:divBdr>
            <w:top w:val="none" w:sz="0" w:space="0" w:color="auto"/>
            <w:left w:val="none" w:sz="0" w:space="0" w:color="auto"/>
            <w:bottom w:val="none" w:sz="0" w:space="0" w:color="auto"/>
            <w:right w:val="none" w:sz="0" w:space="0" w:color="auto"/>
          </w:divBdr>
        </w:div>
        <w:div w:id="456292779">
          <w:marLeft w:val="1426"/>
          <w:marRight w:val="0"/>
          <w:marTop w:val="0"/>
          <w:marBottom w:val="0"/>
          <w:divBdr>
            <w:top w:val="none" w:sz="0" w:space="0" w:color="auto"/>
            <w:left w:val="none" w:sz="0" w:space="0" w:color="auto"/>
            <w:bottom w:val="none" w:sz="0" w:space="0" w:color="auto"/>
            <w:right w:val="none" w:sz="0" w:space="0" w:color="auto"/>
          </w:divBdr>
        </w:div>
        <w:div w:id="1031612022">
          <w:marLeft w:val="1426"/>
          <w:marRight w:val="0"/>
          <w:marTop w:val="0"/>
          <w:marBottom w:val="0"/>
          <w:divBdr>
            <w:top w:val="none" w:sz="0" w:space="0" w:color="auto"/>
            <w:left w:val="none" w:sz="0" w:space="0" w:color="auto"/>
            <w:bottom w:val="none" w:sz="0" w:space="0" w:color="auto"/>
            <w:right w:val="none" w:sz="0" w:space="0" w:color="auto"/>
          </w:divBdr>
        </w:div>
        <w:div w:id="1627659271">
          <w:marLeft w:val="1426"/>
          <w:marRight w:val="0"/>
          <w:marTop w:val="0"/>
          <w:marBottom w:val="0"/>
          <w:divBdr>
            <w:top w:val="none" w:sz="0" w:space="0" w:color="auto"/>
            <w:left w:val="none" w:sz="0" w:space="0" w:color="auto"/>
            <w:bottom w:val="none" w:sz="0" w:space="0" w:color="auto"/>
            <w:right w:val="none" w:sz="0" w:space="0" w:color="auto"/>
          </w:divBdr>
        </w:div>
        <w:div w:id="2107967766">
          <w:marLeft w:val="1426"/>
          <w:marRight w:val="0"/>
          <w:marTop w:val="0"/>
          <w:marBottom w:val="0"/>
          <w:divBdr>
            <w:top w:val="none" w:sz="0" w:space="0" w:color="auto"/>
            <w:left w:val="none" w:sz="0" w:space="0" w:color="auto"/>
            <w:bottom w:val="none" w:sz="0" w:space="0" w:color="auto"/>
            <w:right w:val="none" w:sz="0" w:space="0" w:color="auto"/>
          </w:divBdr>
        </w:div>
      </w:divsChild>
    </w:div>
    <w:div w:id="994257113">
      <w:bodyDiv w:val="1"/>
      <w:marLeft w:val="0"/>
      <w:marRight w:val="0"/>
      <w:marTop w:val="0"/>
      <w:marBottom w:val="0"/>
      <w:divBdr>
        <w:top w:val="none" w:sz="0" w:space="0" w:color="auto"/>
        <w:left w:val="none" w:sz="0" w:space="0" w:color="auto"/>
        <w:bottom w:val="none" w:sz="0" w:space="0" w:color="auto"/>
        <w:right w:val="none" w:sz="0" w:space="0" w:color="auto"/>
      </w:divBdr>
      <w:divsChild>
        <w:div w:id="38016238">
          <w:marLeft w:val="1166"/>
          <w:marRight w:val="0"/>
          <w:marTop w:val="120"/>
          <w:marBottom w:val="0"/>
          <w:divBdr>
            <w:top w:val="none" w:sz="0" w:space="0" w:color="auto"/>
            <w:left w:val="none" w:sz="0" w:space="0" w:color="auto"/>
            <w:bottom w:val="none" w:sz="0" w:space="0" w:color="auto"/>
            <w:right w:val="none" w:sz="0" w:space="0" w:color="auto"/>
          </w:divBdr>
        </w:div>
        <w:div w:id="147333719">
          <w:marLeft w:val="1800"/>
          <w:marRight w:val="0"/>
          <w:marTop w:val="120"/>
          <w:marBottom w:val="0"/>
          <w:divBdr>
            <w:top w:val="none" w:sz="0" w:space="0" w:color="auto"/>
            <w:left w:val="none" w:sz="0" w:space="0" w:color="auto"/>
            <w:bottom w:val="none" w:sz="0" w:space="0" w:color="auto"/>
            <w:right w:val="none" w:sz="0" w:space="0" w:color="auto"/>
          </w:divBdr>
        </w:div>
        <w:div w:id="155267585">
          <w:marLeft w:val="1166"/>
          <w:marRight w:val="0"/>
          <w:marTop w:val="240"/>
          <w:marBottom w:val="0"/>
          <w:divBdr>
            <w:top w:val="none" w:sz="0" w:space="0" w:color="auto"/>
            <w:left w:val="none" w:sz="0" w:space="0" w:color="auto"/>
            <w:bottom w:val="none" w:sz="0" w:space="0" w:color="auto"/>
            <w:right w:val="none" w:sz="0" w:space="0" w:color="auto"/>
          </w:divBdr>
        </w:div>
        <w:div w:id="510727706">
          <w:marLeft w:val="1800"/>
          <w:marRight w:val="0"/>
          <w:marTop w:val="120"/>
          <w:marBottom w:val="0"/>
          <w:divBdr>
            <w:top w:val="none" w:sz="0" w:space="0" w:color="auto"/>
            <w:left w:val="none" w:sz="0" w:space="0" w:color="auto"/>
            <w:bottom w:val="none" w:sz="0" w:space="0" w:color="auto"/>
            <w:right w:val="none" w:sz="0" w:space="0" w:color="auto"/>
          </w:divBdr>
        </w:div>
        <w:div w:id="792484757">
          <w:marLeft w:val="1800"/>
          <w:marRight w:val="0"/>
          <w:marTop w:val="120"/>
          <w:marBottom w:val="0"/>
          <w:divBdr>
            <w:top w:val="none" w:sz="0" w:space="0" w:color="auto"/>
            <w:left w:val="none" w:sz="0" w:space="0" w:color="auto"/>
            <w:bottom w:val="none" w:sz="0" w:space="0" w:color="auto"/>
            <w:right w:val="none" w:sz="0" w:space="0" w:color="auto"/>
          </w:divBdr>
        </w:div>
        <w:div w:id="940455798">
          <w:marLeft w:val="1166"/>
          <w:marRight w:val="0"/>
          <w:marTop w:val="240"/>
          <w:marBottom w:val="0"/>
          <w:divBdr>
            <w:top w:val="none" w:sz="0" w:space="0" w:color="auto"/>
            <w:left w:val="none" w:sz="0" w:space="0" w:color="auto"/>
            <w:bottom w:val="none" w:sz="0" w:space="0" w:color="auto"/>
            <w:right w:val="none" w:sz="0" w:space="0" w:color="auto"/>
          </w:divBdr>
        </w:div>
        <w:div w:id="1111322087">
          <w:marLeft w:val="1800"/>
          <w:marRight w:val="0"/>
          <w:marTop w:val="120"/>
          <w:marBottom w:val="0"/>
          <w:divBdr>
            <w:top w:val="none" w:sz="0" w:space="0" w:color="auto"/>
            <w:left w:val="none" w:sz="0" w:space="0" w:color="auto"/>
            <w:bottom w:val="none" w:sz="0" w:space="0" w:color="auto"/>
            <w:right w:val="none" w:sz="0" w:space="0" w:color="auto"/>
          </w:divBdr>
        </w:div>
        <w:div w:id="1213536386">
          <w:marLeft w:val="1800"/>
          <w:marRight w:val="0"/>
          <w:marTop w:val="120"/>
          <w:marBottom w:val="0"/>
          <w:divBdr>
            <w:top w:val="none" w:sz="0" w:space="0" w:color="auto"/>
            <w:left w:val="none" w:sz="0" w:space="0" w:color="auto"/>
            <w:bottom w:val="none" w:sz="0" w:space="0" w:color="auto"/>
            <w:right w:val="none" w:sz="0" w:space="0" w:color="auto"/>
          </w:divBdr>
        </w:div>
        <w:div w:id="1872106622">
          <w:marLeft w:val="1800"/>
          <w:marRight w:val="0"/>
          <w:marTop w:val="120"/>
          <w:marBottom w:val="0"/>
          <w:divBdr>
            <w:top w:val="none" w:sz="0" w:space="0" w:color="auto"/>
            <w:left w:val="none" w:sz="0" w:space="0" w:color="auto"/>
            <w:bottom w:val="none" w:sz="0" w:space="0" w:color="auto"/>
            <w:right w:val="none" w:sz="0" w:space="0" w:color="auto"/>
          </w:divBdr>
        </w:div>
      </w:divsChild>
    </w:div>
    <w:div w:id="1018656481">
      <w:bodyDiv w:val="1"/>
      <w:marLeft w:val="0"/>
      <w:marRight w:val="0"/>
      <w:marTop w:val="0"/>
      <w:marBottom w:val="0"/>
      <w:divBdr>
        <w:top w:val="none" w:sz="0" w:space="0" w:color="auto"/>
        <w:left w:val="none" w:sz="0" w:space="0" w:color="auto"/>
        <w:bottom w:val="none" w:sz="0" w:space="0" w:color="auto"/>
        <w:right w:val="none" w:sz="0" w:space="0" w:color="auto"/>
      </w:divBdr>
      <w:divsChild>
        <w:div w:id="106587795">
          <w:marLeft w:val="1426"/>
          <w:marRight w:val="0"/>
          <w:marTop w:val="0"/>
          <w:marBottom w:val="0"/>
          <w:divBdr>
            <w:top w:val="none" w:sz="0" w:space="0" w:color="auto"/>
            <w:left w:val="none" w:sz="0" w:space="0" w:color="auto"/>
            <w:bottom w:val="none" w:sz="0" w:space="0" w:color="auto"/>
            <w:right w:val="none" w:sz="0" w:space="0" w:color="auto"/>
          </w:divBdr>
        </w:div>
        <w:div w:id="303122839">
          <w:marLeft w:val="1426"/>
          <w:marRight w:val="0"/>
          <w:marTop w:val="0"/>
          <w:marBottom w:val="0"/>
          <w:divBdr>
            <w:top w:val="none" w:sz="0" w:space="0" w:color="auto"/>
            <w:left w:val="none" w:sz="0" w:space="0" w:color="auto"/>
            <w:bottom w:val="none" w:sz="0" w:space="0" w:color="auto"/>
            <w:right w:val="none" w:sz="0" w:space="0" w:color="auto"/>
          </w:divBdr>
        </w:div>
        <w:div w:id="784151885">
          <w:marLeft w:val="1426"/>
          <w:marRight w:val="0"/>
          <w:marTop w:val="0"/>
          <w:marBottom w:val="0"/>
          <w:divBdr>
            <w:top w:val="none" w:sz="0" w:space="0" w:color="auto"/>
            <w:left w:val="none" w:sz="0" w:space="0" w:color="auto"/>
            <w:bottom w:val="none" w:sz="0" w:space="0" w:color="auto"/>
            <w:right w:val="none" w:sz="0" w:space="0" w:color="auto"/>
          </w:divBdr>
        </w:div>
        <w:div w:id="1011444559">
          <w:marLeft w:val="1426"/>
          <w:marRight w:val="0"/>
          <w:marTop w:val="0"/>
          <w:marBottom w:val="0"/>
          <w:divBdr>
            <w:top w:val="none" w:sz="0" w:space="0" w:color="auto"/>
            <w:left w:val="none" w:sz="0" w:space="0" w:color="auto"/>
            <w:bottom w:val="none" w:sz="0" w:space="0" w:color="auto"/>
            <w:right w:val="none" w:sz="0" w:space="0" w:color="auto"/>
          </w:divBdr>
        </w:div>
        <w:div w:id="1123311232">
          <w:marLeft w:val="1426"/>
          <w:marRight w:val="0"/>
          <w:marTop w:val="0"/>
          <w:marBottom w:val="0"/>
          <w:divBdr>
            <w:top w:val="none" w:sz="0" w:space="0" w:color="auto"/>
            <w:left w:val="none" w:sz="0" w:space="0" w:color="auto"/>
            <w:bottom w:val="none" w:sz="0" w:space="0" w:color="auto"/>
            <w:right w:val="none" w:sz="0" w:space="0" w:color="auto"/>
          </w:divBdr>
        </w:div>
        <w:div w:id="1129864283">
          <w:marLeft w:val="1195"/>
          <w:marRight w:val="0"/>
          <w:marTop w:val="0"/>
          <w:marBottom w:val="0"/>
          <w:divBdr>
            <w:top w:val="none" w:sz="0" w:space="0" w:color="auto"/>
            <w:left w:val="none" w:sz="0" w:space="0" w:color="auto"/>
            <w:bottom w:val="none" w:sz="0" w:space="0" w:color="auto"/>
            <w:right w:val="none" w:sz="0" w:space="0" w:color="auto"/>
          </w:divBdr>
        </w:div>
        <w:div w:id="1199929133">
          <w:marLeft w:val="1426"/>
          <w:marRight w:val="0"/>
          <w:marTop w:val="0"/>
          <w:marBottom w:val="0"/>
          <w:divBdr>
            <w:top w:val="none" w:sz="0" w:space="0" w:color="auto"/>
            <w:left w:val="none" w:sz="0" w:space="0" w:color="auto"/>
            <w:bottom w:val="none" w:sz="0" w:space="0" w:color="auto"/>
            <w:right w:val="none" w:sz="0" w:space="0" w:color="auto"/>
          </w:divBdr>
        </w:div>
        <w:div w:id="1293050587">
          <w:marLeft w:val="1195"/>
          <w:marRight w:val="0"/>
          <w:marTop w:val="0"/>
          <w:marBottom w:val="0"/>
          <w:divBdr>
            <w:top w:val="none" w:sz="0" w:space="0" w:color="auto"/>
            <w:left w:val="none" w:sz="0" w:space="0" w:color="auto"/>
            <w:bottom w:val="none" w:sz="0" w:space="0" w:color="auto"/>
            <w:right w:val="none" w:sz="0" w:space="0" w:color="auto"/>
          </w:divBdr>
        </w:div>
        <w:div w:id="1420324830">
          <w:marLeft w:val="1426"/>
          <w:marRight w:val="0"/>
          <w:marTop w:val="0"/>
          <w:marBottom w:val="0"/>
          <w:divBdr>
            <w:top w:val="none" w:sz="0" w:space="0" w:color="auto"/>
            <w:left w:val="none" w:sz="0" w:space="0" w:color="auto"/>
            <w:bottom w:val="none" w:sz="0" w:space="0" w:color="auto"/>
            <w:right w:val="none" w:sz="0" w:space="0" w:color="auto"/>
          </w:divBdr>
        </w:div>
        <w:div w:id="1552300941">
          <w:marLeft w:val="1426"/>
          <w:marRight w:val="0"/>
          <w:marTop w:val="0"/>
          <w:marBottom w:val="0"/>
          <w:divBdr>
            <w:top w:val="none" w:sz="0" w:space="0" w:color="auto"/>
            <w:left w:val="none" w:sz="0" w:space="0" w:color="auto"/>
            <w:bottom w:val="none" w:sz="0" w:space="0" w:color="auto"/>
            <w:right w:val="none" w:sz="0" w:space="0" w:color="auto"/>
          </w:divBdr>
        </w:div>
        <w:div w:id="1670020177">
          <w:marLeft w:val="1426"/>
          <w:marRight w:val="0"/>
          <w:marTop w:val="0"/>
          <w:marBottom w:val="0"/>
          <w:divBdr>
            <w:top w:val="none" w:sz="0" w:space="0" w:color="auto"/>
            <w:left w:val="none" w:sz="0" w:space="0" w:color="auto"/>
            <w:bottom w:val="none" w:sz="0" w:space="0" w:color="auto"/>
            <w:right w:val="none" w:sz="0" w:space="0" w:color="auto"/>
          </w:divBdr>
        </w:div>
        <w:div w:id="1847164586">
          <w:marLeft w:val="1426"/>
          <w:marRight w:val="0"/>
          <w:marTop w:val="0"/>
          <w:marBottom w:val="0"/>
          <w:divBdr>
            <w:top w:val="none" w:sz="0" w:space="0" w:color="auto"/>
            <w:left w:val="none" w:sz="0" w:space="0" w:color="auto"/>
            <w:bottom w:val="none" w:sz="0" w:space="0" w:color="auto"/>
            <w:right w:val="none" w:sz="0" w:space="0" w:color="auto"/>
          </w:divBdr>
        </w:div>
        <w:div w:id="1920406409">
          <w:marLeft w:val="1195"/>
          <w:marRight w:val="0"/>
          <w:marTop w:val="0"/>
          <w:marBottom w:val="0"/>
          <w:divBdr>
            <w:top w:val="none" w:sz="0" w:space="0" w:color="auto"/>
            <w:left w:val="none" w:sz="0" w:space="0" w:color="auto"/>
            <w:bottom w:val="none" w:sz="0" w:space="0" w:color="auto"/>
            <w:right w:val="none" w:sz="0" w:space="0" w:color="auto"/>
          </w:divBdr>
        </w:div>
        <w:div w:id="2097824074">
          <w:marLeft w:val="1426"/>
          <w:marRight w:val="0"/>
          <w:marTop w:val="0"/>
          <w:marBottom w:val="0"/>
          <w:divBdr>
            <w:top w:val="none" w:sz="0" w:space="0" w:color="auto"/>
            <w:left w:val="none" w:sz="0" w:space="0" w:color="auto"/>
            <w:bottom w:val="none" w:sz="0" w:space="0" w:color="auto"/>
            <w:right w:val="none" w:sz="0" w:space="0" w:color="auto"/>
          </w:divBdr>
        </w:div>
      </w:divsChild>
    </w:div>
    <w:div w:id="1038893885">
      <w:bodyDiv w:val="1"/>
      <w:marLeft w:val="0"/>
      <w:marRight w:val="0"/>
      <w:marTop w:val="0"/>
      <w:marBottom w:val="0"/>
      <w:divBdr>
        <w:top w:val="none" w:sz="0" w:space="0" w:color="auto"/>
        <w:left w:val="none" w:sz="0" w:space="0" w:color="auto"/>
        <w:bottom w:val="none" w:sz="0" w:space="0" w:color="auto"/>
        <w:right w:val="none" w:sz="0" w:space="0" w:color="auto"/>
      </w:divBdr>
    </w:div>
    <w:div w:id="1058479461">
      <w:bodyDiv w:val="1"/>
      <w:marLeft w:val="0"/>
      <w:marRight w:val="0"/>
      <w:marTop w:val="0"/>
      <w:marBottom w:val="0"/>
      <w:divBdr>
        <w:top w:val="none" w:sz="0" w:space="0" w:color="auto"/>
        <w:left w:val="none" w:sz="0" w:space="0" w:color="auto"/>
        <w:bottom w:val="none" w:sz="0" w:space="0" w:color="auto"/>
        <w:right w:val="none" w:sz="0" w:space="0" w:color="auto"/>
      </w:divBdr>
    </w:div>
    <w:div w:id="1062370079">
      <w:bodyDiv w:val="1"/>
      <w:marLeft w:val="0"/>
      <w:marRight w:val="0"/>
      <w:marTop w:val="0"/>
      <w:marBottom w:val="0"/>
      <w:divBdr>
        <w:top w:val="none" w:sz="0" w:space="0" w:color="auto"/>
        <w:left w:val="none" w:sz="0" w:space="0" w:color="auto"/>
        <w:bottom w:val="none" w:sz="0" w:space="0" w:color="auto"/>
        <w:right w:val="none" w:sz="0" w:space="0" w:color="auto"/>
      </w:divBdr>
      <w:divsChild>
        <w:div w:id="622616165">
          <w:marLeft w:val="1685"/>
          <w:marRight w:val="0"/>
          <w:marTop w:val="0"/>
          <w:marBottom w:val="0"/>
          <w:divBdr>
            <w:top w:val="none" w:sz="0" w:space="0" w:color="auto"/>
            <w:left w:val="none" w:sz="0" w:space="0" w:color="auto"/>
            <w:bottom w:val="none" w:sz="0" w:space="0" w:color="auto"/>
            <w:right w:val="none" w:sz="0" w:space="0" w:color="auto"/>
          </w:divBdr>
        </w:div>
        <w:div w:id="739640651">
          <w:marLeft w:val="1685"/>
          <w:marRight w:val="0"/>
          <w:marTop w:val="60"/>
          <w:marBottom w:val="0"/>
          <w:divBdr>
            <w:top w:val="none" w:sz="0" w:space="0" w:color="auto"/>
            <w:left w:val="none" w:sz="0" w:space="0" w:color="auto"/>
            <w:bottom w:val="none" w:sz="0" w:space="0" w:color="auto"/>
            <w:right w:val="none" w:sz="0" w:space="0" w:color="auto"/>
          </w:divBdr>
        </w:div>
        <w:div w:id="789670742">
          <w:marLeft w:val="1685"/>
          <w:marRight w:val="0"/>
          <w:marTop w:val="0"/>
          <w:marBottom w:val="0"/>
          <w:divBdr>
            <w:top w:val="none" w:sz="0" w:space="0" w:color="auto"/>
            <w:left w:val="none" w:sz="0" w:space="0" w:color="auto"/>
            <w:bottom w:val="none" w:sz="0" w:space="0" w:color="auto"/>
            <w:right w:val="none" w:sz="0" w:space="0" w:color="auto"/>
          </w:divBdr>
        </w:div>
        <w:div w:id="814224177">
          <w:marLeft w:val="850"/>
          <w:marRight w:val="0"/>
          <w:marTop w:val="60"/>
          <w:marBottom w:val="0"/>
          <w:divBdr>
            <w:top w:val="none" w:sz="0" w:space="0" w:color="auto"/>
            <w:left w:val="none" w:sz="0" w:space="0" w:color="auto"/>
            <w:bottom w:val="none" w:sz="0" w:space="0" w:color="auto"/>
            <w:right w:val="none" w:sz="0" w:space="0" w:color="auto"/>
          </w:divBdr>
        </w:div>
        <w:div w:id="843012732">
          <w:marLeft w:val="850"/>
          <w:marRight w:val="0"/>
          <w:marTop w:val="60"/>
          <w:marBottom w:val="0"/>
          <w:divBdr>
            <w:top w:val="none" w:sz="0" w:space="0" w:color="auto"/>
            <w:left w:val="none" w:sz="0" w:space="0" w:color="auto"/>
            <w:bottom w:val="none" w:sz="0" w:space="0" w:color="auto"/>
            <w:right w:val="none" w:sz="0" w:space="0" w:color="auto"/>
          </w:divBdr>
        </w:div>
        <w:div w:id="1068771313">
          <w:marLeft w:val="1685"/>
          <w:marRight w:val="0"/>
          <w:marTop w:val="60"/>
          <w:marBottom w:val="0"/>
          <w:divBdr>
            <w:top w:val="none" w:sz="0" w:space="0" w:color="auto"/>
            <w:left w:val="none" w:sz="0" w:space="0" w:color="auto"/>
            <w:bottom w:val="none" w:sz="0" w:space="0" w:color="auto"/>
            <w:right w:val="none" w:sz="0" w:space="0" w:color="auto"/>
          </w:divBdr>
        </w:div>
        <w:div w:id="1168517361">
          <w:marLeft w:val="1685"/>
          <w:marRight w:val="0"/>
          <w:marTop w:val="0"/>
          <w:marBottom w:val="0"/>
          <w:divBdr>
            <w:top w:val="none" w:sz="0" w:space="0" w:color="auto"/>
            <w:left w:val="none" w:sz="0" w:space="0" w:color="auto"/>
            <w:bottom w:val="none" w:sz="0" w:space="0" w:color="auto"/>
            <w:right w:val="none" w:sz="0" w:space="0" w:color="auto"/>
          </w:divBdr>
        </w:div>
        <w:div w:id="1286422298">
          <w:marLeft w:val="850"/>
          <w:marRight w:val="0"/>
          <w:marTop w:val="60"/>
          <w:marBottom w:val="0"/>
          <w:divBdr>
            <w:top w:val="none" w:sz="0" w:space="0" w:color="auto"/>
            <w:left w:val="none" w:sz="0" w:space="0" w:color="auto"/>
            <w:bottom w:val="none" w:sz="0" w:space="0" w:color="auto"/>
            <w:right w:val="none" w:sz="0" w:space="0" w:color="auto"/>
          </w:divBdr>
        </w:div>
        <w:div w:id="1868718157">
          <w:marLeft w:val="1685"/>
          <w:marRight w:val="0"/>
          <w:marTop w:val="60"/>
          <w:marBottom w:val="0"/>
          <w:divBdr>
            <w:top w:val="none" w:sz="0" w:space="0" w:color="auto"/>
            <w:left w:val="none" w:sz="0" w:space="0" w:color="auto"/>
            <w:bottom w:val="none" w:sz="0" w:space="0" w:color="auto"/>
            <w:right w:val="none" w:sz="0" w:space="0" w:color="auto"/>
          </w:divBdr>
        </w:div>
        <w:div w:id="1922568305">
          <w:marLeft w:val="1685"/>
          <w:marRight w:val="0"/>
          <w:marTop w:val="60"/>
          <w:marBottom w:val="0"/>
          <w:divBdr>
            <w:top w:val="none" w:sz="0" w:space="0" w:color="auto"/>
            <w:left w:val="none" w:sz="0" w:space="0" w:color="auto"/>
            <w:bottom w:val="none" w:sz="0" w:space="0" w:color="auto"/>
            <w:right w:val="none" w:sz="0" w:space="0" w:color="auto"/>
          </w:divBdr>
        </w:div>
        <w:div w:id="1923484524">
          <w:marLeft w:val="850"/>
          <w:marRight w:val="0"/>
          <w:marTop w:val="60"/>
          <w:marBottom w:val="0"/>
          <w:divBdr>
            <w:top w:val="none" w:sz="0" w:space="0" w:color="auto"/>
            <w:left w:val="none" w:sz="0" w:space="0" w:color="auto"/>
            <w:bottom w:val="none" w:sz="0" w:space="0" w:color="auto"/>
            <w:right w:val="none" w:sz="0" w:space="0" w:color="auto"/>
          </w:divBdr>
        </w:div>
        <w:div w:id="1944528614">
          <w:marLeft w:val="850"/>
          <w:marRight w:val="0"/>
          <w:marTop w:val="60"/>
          <w:marBottom w:val="0"/>
          <w:divBdr>
            <w:top w:val="none" w:sz="0" w:space="0" w:color="auto"/>
            <w:left w:val="none" w:sz="0" w:space="0" w:color="auto"/>
            <w:bottom w:val="none" w:sz="0" w:space="0" w:color="auto"/>
            <w:right w:val="none" w:sz="0" w:space="0" w:color="auto"/>
          </w:divBdr>
        </w:div>
      </w:divsChild>
    </w:div>
    <w:div w:id="1071849224">
      <w:bodyDiv w:val="1"/>
      <w:marLeft w:val="0"/>
      <w:marRight w:val="0"/>
      <w:marTop w:val="0"/>
      <w:marBottom w:val="0"/>
      <w:divBdr>
        <w:top w:val="none" w:sz="0" w:space="0" w:color="auto"/>
        <w:left w:val="none" w:sz="0" w:space="0" w:color="auto"/>
        <w:bottom w:val="none" w:sz="0" w:space="0" w:color="auto"/>
        <w:right w:val="none" w:sz="0" w:space="0" w:color="auto"/>
      </w:divBdr>
      <w:divsChild>
        <w:div w:id="678237966">
          <w:marLeft w:val="850"/>
          <w:marRight w:val="0"/>
          <w:marTop w:val="60"/>
          <w:marBottom w:val="0"/>
          <w:divBdr>
            <w:top w:val="none" w:sz="0" w:space="0" w:color="auto"/>
            <w:left w:val="none" w:sz="0" w:space="0" w:color="auto"/>
            <w:bottom w:val="none" w:sz="0" w:space="0" w:color="auto"/>
            <w:right w:val="none" w:sz="0" w:space="0" w:color="auto"/>
          </w:divBdr>
        </w:div>
        <w:div w:id="819738321">
          <w:marLeft w:val="850"/>
          <w:marRight w:val="0"/>
          <w:marTop w:val="60"/>
          <w:marBottom w:val="0"/>
          <w:divBdr>
            <w:top w:val="none" w:sz="0" w:space="0" w:color="auto"/>
            <w:left w:val="none" w:sz="0" w:space="0" w:color="auto"/>
            <w:bottom w:val="none" w:sz="0" w:space="0" w:color="auto"/>
            <w:right w:val="none" w:sz="0" w:space="0" w:color="auto"/>
          </w:divBdr>
        </w:div>
        <w:div w:id="1138375506">
          <w:marLeft w:val="850"/>
          <w:marRight w:val="0"/>
          <w:marTop w:val="60"/>
          <w:marBottom w:val="0"/>
          <w:divBdr>
            <w:top w:val="none" w:sz="0" w:space="0" w:color="auto"/>
            <w:left w:val="none" w:sz="0" w:space="0" w:color="auto"/>
            <w:bottom w:val="none" w:sz="0" w:space="0" w:color="auto"/>
            <w:right w:val="none" w:sz="0" w:space="0" w:color="auto"/>
          </w:divBdr>
        </w:div>
        <w:div w:id="1294557749">
          <w:marLeft w:val="850"/>
          <w:marRight w:val="0"/>
          <w:marTop w:val="60"/>
          <w:marBottom w:val="0"/>
          <w:divBdr>
            <w:top w:val="none" w:sz="0" w:space="0" w:color="auto"/>
            <w:left w:val="none" w:sz="0" w:space="0" w:color="auto"/>
            <w:bottom w:val="none" w:sz="0" w:space="0" w:color="auto"/>
            <w:right w:val="none" w:sz="0" w:space="0" w:color="auto"/>
          </w:divBdr>
        </w:div>
        <w:div w:id="1373649389">
          <w:marLeft w:val="850"/>
          <w:marRight w:val="0"/>
          <w:marTop w:val="60"/>
          <w:marBottom w:val="0"/>
          <w:divBdr>
            <w:top w:val="none" w:sz="0" w:space="0" w:color="auto"/>
            <w:left w:val="none" w:sz="0" w:space="0" w:color="auto"/>
            <w:bottom w:val="none" w:sz="0" w:space="0" w:color="auto"/>
            <w:right w:val="none" w:sz="0" w:space="0" w:color="auto"/>
          </w:divBdr>
        </w:div>
        <w:div w:id="1441340232">
          <w:marLeft w:val="850"/>
          <w:marRight w:val="0"/>
          <w:marTop w:val="60"/>
          <w:marBottom w:val="0"/>
          <w:divBdr>
            <w:top w:val="none" w:sz="0" w:space="0" w:color="auto"/>
            <w:left w:val="none" w:sz="0" w:space="0" w:color="auto"/>
            <w:bottom w:val="none" w:sz="0" w:space="0" w:color="auto"/>
            <w:right w:val="none" w:sz="0" w:space="0" w:color="auto"/>
          </w:divBdr>
        </w:div>
        <w:div w:id="1482229619">
          <w:marLeft w:val="850"/>
          <w:marRight w:val="0"/>
          <w:marTop w:val="60"/>
          <w:marBottom w:val="0"/>
          <w:divBdr>
            <w:top w:val="none" w:sz="0" w:space="0" w:color="auto"/>
            <w:left w:val="none" w:sz="0" w:space="0" w:color="auto"/>
            <w:bottom w:val="none" w:sz="0" w:space="0" w:color="auto"/>
            <w:right w:val="none" w:sz="0" w:space="0" w:color="auto"/>
          </w:divBdr>
        </w:div>
      </w:divsChild>
    </w:div>
    <w:div w:id="1097679799">
      <w:bodyDiv w:val="1"/>
      <w:marLeft w:val="0"/>
      <w:marRight w:val="0"/>
      <w:marTop w:val="0"/>
      <w:marBottom w:val="0"/>
      <w:divBdr>
        <w:top w:val="none" w:sz="0" w:space="0" w:color="auto"/>
        <w:left w:val="none" w:sz="0" w:space="0" w:color="auto"/>
        <w:bottom w:val="none" w:sz="0" w:space="0" w:color="auto"/>
        <w:right w:val="none" w:sz="0" w:space="0" w:color="auto"/>
      </w:divBdr>
      <w:divsChild>
        <w:div w:id="74717160">
          <w:marLeft w:val="1123"/>
          <w:marRight w:val="0"/>
          <w:marTop w:val="60"/>
          <w:marBottom w:val="0"/>
          <w:divBdr>
            <w:top w:val="none" w:sz="0" w:space="0" w:color="auto"/>
            <w:left w:val="none" w:sz="0" w:space="0" w:color="auto"/>
            <w:bottom w:val="none" w:sz="0" w:space="0" w:color="auto"/>
            <w:right w:val="none" w:sz="0" w:space="0" w:color="auto"/>
          </w:divBdr>
        </w:div>
        <w:div w:id="163131347">
          <w:marLeft w:val="1123"/>
          <w:marRight w:val="0"/>
          <w:marTop w:val="60"/>
          <w:marBottom w:val="0"/>
          <w:divBdr>
            <w:top w:val="none" w:sz="0" w:space="0" w:color="auto"/>
            <w:left w:val="none" w:sz="0" w:space="0" w:color="auto"/>
            <w:bottom w:val="none" w:sz="0" w:space="0" w:color="auto"/>
            <w:right w:val="none" w:sz="0" w:space="0" w:color="auto"/>
          </w:divBdr>
        </w:div>
        <w:div w:id="192889576">
          <w:marLeft w:val="1123"/>
          <w:marRight w:val="0"/>
          <w:marTop w:val="60"/>
          <w:marBottom w:val="0"/>
          <w:divBdr>
            <w:top w:val="none" w:sz="0" w:space="0" w:color="auto"/>
            <w:left w:val="none" w:sz="0" w:space="0" w:color="auto"/>
            <w:bottom w:val="none" w:sz="0" w:space="0" w:color="auto"/>
            <w:right w:val="none" w:sz="0" w:space="0" w:color="auto"/>
          </w:divBdr>
        </w:div>
        <w:div w:id="405229804">
          <w:marLeft w:val="1123"/>
          <w:marRight w:val="0"/>
          <w:marTop w:val="60"/>
          <w:marBottom w:val="0"/>
          <w:divBdr>
            <w:top w:val="none" w:sz="0" w:space="0" w:color="auto"/>
            <w:left w:val="none" w:sz="0" w:space="0" w:color="auto"/>
            <w:bottom w:val="none" w:sz="0" w:space="0" w:color="auto"/>
            <w:right w:val="none" w:sz="0" w:space="0" w:color="auto"/>
          </w:divBdr>
        </w:div>
        <w:div w:id="639531826">
          <w:marLeft w:val="1123"/>
          <w:marRight w:val="0"/>
          <w:marTop w:val="60"/>
          <w:marBottom w:val="0"/>
          <w:divBdr>
            <w:top w:val="none" w:sz="0" w:space="0" w:color="auto"/>
            <w:left w:val="none" w:sz="0" w:space="0" w:color="auto"/>
            <w:bottom w:val="none" w:sz="0" w:space="0" w:color="auto"/>
            <w:right w:val="none" w:sz="0" w:space="0" w:color="auto"/>
          </w:divBdr>
        </w:div>
        <w:div w:id="772827438">
          <w:marLeft w:val="547"/>
          <w:marRight w:val="0"/>
          <w:marTop w:val="160"/>
          <w:marBottom w:val="0"/>
          <w:divBdr>
            <w:top w:val="none" w:sz="0" w:space="0" w:color="auto"/>
            <w:left w:val="none" w:sz="0" w:space="0" w:color="auto"/>
            <w:bottom w:val="none" w:sz="0" w:space="0" w:color="auto"/>
            <w:right w:val="none" w:sz="0" w:space="0" w:color="auto"/>
          </w:divBdr>
        </w:div>
        <w:div w:id="777724698">
          <w:marLeft w:val="1123"/>
          <w:marRight w:val="0"/>
          <w:marTop w:val="60"/>
          <w:marBottom w:val="0"/>
          <w:divBdr>
            <w:top w:val="none" w:sz="0" w:space="0" w:color="auto"/>
            <w:left w:val="none" w:sz="0" w:space="0" w:color="auto"/>
            <w:bottom w:val="none" w:sz="0" w:space="0" w:color="auto"/>
            <w:right w:val="none" w:sz="0" w:space="0" w:color="auto"/>
          </w:divBdr>
        </w:div>
        <w:div w:id="797337717">
          <w:marLeft w:val="547"/>
          <w:marRight w:val="0"/>
          <w:marTop w:val="400"/>
          <w:marBottom w:val="0"/>
          <w:divBdr>
            <w:top w:val="none" w:sz="0" w:space="0" w:color="auto"/>
            <w:left w:val="none" w:sz="0" w:space="0" w:color="auto"/>
            <w:bottom w:val="none" w:sz="0" w:space="0" w:color="auto"/>
            <w:right w:val="none" w:sz="0" w:space="0" w:color="auto"/>
          </w:divBdr>
        </w:div>
        <w:div w:id="1254625856">
          <w:marLeft w:val="1123"/>
          <w:marRight w:val="0"/>
          <w:marTop w:val="60"/>
          <w:marBottom w:val="0"/>
          <w:divBdr>
            <w:top w:val="none" w:sz="0" w:space="0" w:color="auto"/>
            <w:left w:val="none" w:sz="0" w:space="0" w:color="auto"/>
            <w:bottom w:val="none" w:sz="0" w:space="0" w:color="auto"/>
            <w:right w:val="none" w:sz="0" w:space="0" w:color="auto"/>
          </w:divBdr>
        </w:div>
        <w:div w:id="1867910269">
          <w:marLeft w:val="1123"/>
          <w:marRight w:val="0"/>
          <w:marTop w:val="60"/>
          <w:marBottom w:val="0"/>
          <w:divBdr>
            <w:top w:val="none" w:sz="0" w:space="0" w:color="auto"/>
            <w:left w:val="none" w:sz="0" w:space="0" w:color="auto"/>
            <w:bottom w:val="none" w:sz="0" w:space="0" w:color="auto"/>
            <w:right w:val="none" w:sz="0" w:space="0" w:color="auto"/>
          </w:divBdr>
        </w:div>
      </w:divsChild>
    </w:div>
    <w:div w:id="1141535669">
      <w:bodyDiv w:val="1"/>
      <w:marLeft w:val="0"/>
      <w:marRight w:val="0"/>
      <w:marTop w:val="0"/>
      <w:marBottom w:val="0"/>
      <w:divBdr>
        <w:top w:val="none" w:sz="0" w:space="0" w:color="auto"/>
        <w:left w:val="none" w:sz="0" w:space="0" w:color="auto"/>
        <w:bottom w:val="none" w:sz="0" w:space="0" w:color="auto"/>
        <w:right w:val="none" w:sz="0" w:space="0" w:color="auto"/>
      </w:divBdr>
    </w:div>
    <w:div w:id="1289972962">
      <w:bodyDiv w:val="1"/>
      <w:marLeft w:val="0"/>
      <w:marRight w:val="0"/>
      <w:marTop w:val="0"/>
      <w:marBottom w:val="0"/>
      <w:divBdr>
        <w:top w:val="none" w:sz="0" w:space="0" w:color="auto"/>
        <w:left w:val="none" w:sz="0" w:space="0" w:color="auto"/>
        <w:bottom w:val="none" w:sz="0" w:space="0" w:color="auto"/>
        <w:right w:val="none" w:sz="0" w:space="0" w:color="auto"/>
      </w:divBdr>
    </w:div>
    <w:div w:id="1294020073">
      <w:bodyDiv w:val="1"/>
      <w:marLeft w:val="0"/>
      <w:marRight w:val="0"/>
      <w:marTop w:val="0"/>
      <w:marBottom w:val="0"/>
      <w:divBdr>
        <w:top w:val="none" w:sz="0" w:space="0" w:color="auto"/>
        <w:left w:val="none" w:sz="0" w:space="0" w:color="auto"/>
        <w:bottom w:val="none" w:sz="0" w:space="0" w:color="auto"/>
        <w:right w:val="none" w:sz="0" w:space="0" w:color="auto"/>
      </w:divBdr>
      <w:divsChild>
        <w:div w:id="38407518">
          <w:marLeft w:val="0"/>
          <w:marRight w:val="0"/>
          <w:marTop w:val="0"/>
          <w:marBottom w:val="150"/>
          <w:divBdr>
            <w:top w:val="none" w:sz="0" w:space="0" w:color="auto"/>
            <w:left w:val="none" w:sz="0" w:space="0" w:color="auto"/>
            <w:bottom w:val="none" w:sz="0" w:space="0" w:color="auto"/>
            <w:right w:val="none" w:sz="0" w:space="0" w:color="auto"/>
          </w:divBdr>
          <w:divsChild>
            <w:div w:id="1206870493">
              <w:marLeft w:val="0"/>
              <w:marRight w:val="0"/>
              <w:marTop w:val="0"/>
              <w:marBottom w:val="0"/>
              <w:divBdr>
                <w:top w:val="none" w:sz="0" w:space="0" w:color="auto"/>
                <w:left w:val="none" w:sz="0" w:space="0" w:color="auto"/>
                <w:bottom w:val="none" w:sz="0" w:space="0" w:color="auto"/>
                <w:right w:val="none" w:sz="0" w:space="0" w:color="auto"/>
              </w:divBdr>
              <w:divsChild>
                <w:div w:id="2136480962">
                  <w:marLeft w:val="0"/>
                  <w:marRight w:val="0"/>
                  <w:marTop w:val="150"/>
                  <w:marBottom w:val="0"/>
                  <w:divBdr>
                    <w:top w:val="none" w:sz="0" w:space="0" w:color="auto"/>
                    <w:left w:val="none" w:sz="0" w:space="0" w:color="auto"/>
                    <w:bottom w:val="none" w:sz="0" w:space="0" w:color="auto"/>
                    <w:right w:val="none" w:sz="0" w:space="0" w:color="auto"/>
                  </w:divBdr>
                  <w:divsChild>
                    <w:div w:id="1553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584">
      <w:bodyDiv w:val="1"/>
      <w:marLeft w:val="0"/>
      <w:marRight w:val="0"/>
      <w:marTop w:val="0"/>
      <w:marBottom w:val="0"/>
      <w:divBdr>
        <w:top w:val="none" w:sz="0" w:space="0" w:color="auto"/>
        <w:left w:val="none" w:sz="0" w:space="0" w:color="auto"/>
        <w:bottom w:val="none" w:sz="0" w:space="0" w:color="auto"/>
        <w:right w:val="none" w:sz="0" w:space="0" w:color="auto"/>
      </w:divBdr>
      <w:divsChild>
        <w:div w:id="42795834">
          <w:marLeft w:val="547"/>
          <w:marRight w:val="0"/>
          <w:marTop w:val="160"/>
          <w:marBottom w:val="0"/>
          <w:divBdr>
            <w:top w:val="none" w:sz="0" w:space="0" w:color="auto"/>
            <w:left w:val="none" w:sz="0" w:space="0" w:color="auto"/>
            <w:bottom w:val="none" w:sz="0" w:space="0" w:color="auto"/>
            <w:right w:val="none" w:sz="0" w:space="0" w:color="auto"/>
          </w:divBdr>
        </w:div>
        <w:div w:id="81806333">
          <w:marLeft w:val="547"/>
          <w:marRight w:val="0"/>
          <w:marTop w:val="160"/>
          <w:marBottom w:val="0"/>
          <w:divBdr>
            <w:top w:val="none" w:sz="0" w:space="0" w:color="auto"/>
            <w:left w:val="none" w:sz="0" w:space="0" w:color="auto"/>
            <w:bottom w:val="none" w:sz="0" w:space="0" w:color="auto"/>
            <w:right w:val="none" w:sz="0" w:space="0" w:color="auto"/>
          </w:divBdr>
        </w:div>
        <w:div w:id="211889124">
          <w:marLeft w:val="1123"/>
          <w:marRight w:val="0"/>
          <w:marTop w:val="60"/>
          <w:marBottom w:val="0"/>
          <w:divBdr>
            <w:top w:val="none" w:sz="0" w:space="0" w:color="auto"/>
            <w:left w:val="none" w:sz="0" w:space="0" w:color="auto"/>
            <w:bottom w:val="none" w:sz="0" w:space="0" w:color="auto"/>
            <w:right w:val="none" w:sz="0" w:space="0" w:color="auto"/>
          </w:divBdr>
        </w:div>
        <w:div w:id="694888700">
          <w:marLeft w:val="547"/>
          <w:marRight w:val="0"/>
          <w:marTop w:val="160"/>
          <w:marBottom w:val="0"/>
          <w:divBdr>
            <w:top w:val="none" w:sz="0" w:space="0" w:color="auto"/>
            <w:left w:val="none" w:sz="0" w:space="0" w:color="auto"/>
            <w:bottom w:val="none" w:sz="0" w:space="0" w:color="auto"/>
            <w:right w:val="none" w:sz="0" w:space="0" w:color="auto"/>
          </w:divBdr>
        </w:div>
        <w:div w:id="1363244493">
          <w:marLeft w:val="1123"/>
          <w:marRight w:val="0"/>
          <w:marTop w:val="60"/>
          <w:marBottom w:val="0"/>
          <w:divBdr>
            <w:top w:val="none" w:sz="0" w:space="0" w:color="auto"/>
            <w:left w:val="none" w:sz="0" w:space="0" w:color="auto"/>
            <w:bottom w:val="none" w:sz="0" w:space="0" w:color="auto"/>
            <w:right w:val="none" w:sz="0" w:space="0" w:color="auto"/>
          </w:divBdr>
        </w:div>
        <w:div w:id="2014869353">
          <w:marLeft w:val="1123"/>
          <w:marRight w:val="0"/>
          <w:marTop w:val="60"/>
          <w:marBottom w:val="0"/>
          <w:divBdr>
            <w:top w:val="none" w:sz="0" w:space="0" w:color="auto"/>
            <w:left w:val="none" w:sz="0" w:space="0" w:color="auto"/>
            <w:bottom w:val="none" w:sz="0" w:space="0" w:color="auto"/>
            <w:right w:val="none" w:sz="0" w:space="0" w:color="auto"/>
          </w:divBdr>
        </w:div>
        <w:div w:id="2128549563">
          <w:marLeft w:val="547"/>
          <w:marRight w:val="0"/>
          <w:marTop w:val="160"/>
          <w:marBottom w:val="0"/>
          <w:divBdr>
            <w:top w:val="none" w:sz="0" w:space="0" w:color="auto"/>
            <w:left w:val="none" w:sz="0" w:space="0" w:color="auto"/>
            <w:bottom w:val="none" w:sz="0" w:space="0" w:color="auto"/>
            <w:right w:val="none" w:sz="0" w:space="0" w:color="auto"/>
          </w:divBdr>
        </w:div>
      </w:divsChild>
    </w:div>
    <w:div w:id="1333877925">
      <w:bodyDiv w:val="1"/>
      <w:marLeft w:val="0"/>
      <w:marRight w:val="0"/>
      <w:marTop w:val="0"/>
      <w:marBottom w:val="0"/>
      <w:divBdr>
        <w:top w:val="none" w:sz="0" w:space="0" w:color="auto"/>
        <w:left w:val="none" w:sz="0" w:space="0" w:color="auto"/>
        <w:bottom w:val="none" w:sz="0" w:space="0" w:color="auto"/>
        <w:right w:val="none" w:sz="0" w:space="0" w:color="auto"/>
      </w:divBdr>
    </w:div>
    <w:div w:id="1364332348">
      <w:bodyDiv w:val="1"/>
      <w:marLeft w:val="0"/>
      <w:marRight w:val="0"/>
      <w:marTop w:val="0"/>
      <w:marBottom w:val="0"/>
      <w:divBdr>
        <w:top w:val="none" w:sz="0" w:space="0" w:color="auto"/>
        <w:left w:val="none" w:sz="0" w:space="0" w:color="auto"/>
        <w:bottom w:val="none" w:sz="0" w:space="0" w:color="auto"/>
        <w:right w:val="none" w:sz="0" w:space="0" w:color="auto"/>
      </w:divBdr>
    </w:div>
    <w:div w:id="1417096261">
      <w:bodyDiv w:val="1"/>
      <w:marLeft w:val="0"/>
      <w:marRight w:val="0"/>
      <w:marTop w:val="0"/>
      <w:marBottom w:val="0"/>
      <w:divBdr>
        <w:top w:val="none" w:sz="0" w:space="0" w:color="auto"/>
        <w:left w:val="none" w:sz="0" w:space="0" w:color="auto"/>
        <w:bottom w:val="none" w:sz="0" w:space="0" w:color="auto"/>
        <w:right w:val="none" w:sz="0" w:space="0" w:color="auto"/>
      </w:divBdr>
    </w:div>
    <w:div w:id="1424566248">
      <w:bodyDiv w:val="1"/>
      <w:marLeft w:val="0"/>
      <w:marRight w:val="0"/>
      <w:marTop w:val="0"/>
      <w:marBottom w:val="0"/>
      <w:divBdr>
        <w:top w:val="none" w:sz="0" w:space="0" w:color="auto"/>
        <w:left w:val="none" w:sz="0" w:space="0" w:color="auto"/>
        <w:bottom w:val="none" w:sz="0" w:space="0" w:color="auto"/>
        <w:right w:val="none" w:sz="0" w:space="0" w:color="auto"/>
      </w:divBdr>
      <w:divsChild>
        <w:div w:id="495920621">
          <w:marLeft w:val="1080"/>
          <w:marRight w:val="0"/>
          <w:marTop w:val="0"/>
          <w:marBottom w:val="0"/>
          <w:divBdr>
            <w:top w:val="none" w:sz="0" w:space="0" w:color="auto"/>
            <w:left w:val="none" w:sz="0" w:space="0" w:color="auto"/>
            <w:bottom w:val="none" w:sz="0" w:space="0" w:color="auto"/>
            <w:right w:val="none" w:sz="0" w:space="0" w:color="auto"/>
          </w:divBdr>
        </w:div>
        <w:div w:id="826551867">
          <w:marLeft w:val="1080"/>
          <w:marRight w:val="0"/>
          <w:marTop w:val="0"/>
          <w:marBottom w:val="0"/>
          <w:divBdr>
            <w:top w:val="none" w:sz="0" w:space="0" w:color="auto"/>
            <w:left w:val="none" w:sz="0" w:space="0" w:color="auto"/>
            <w:bottom w:val="none" w:sz="0" w:space="0" w:color="auto"/>
            <w:right w:val="none" w:sz="0" w:space="0" w:color="auto"/>
          </w:divBdr>
        </w:div>
        <w:div w:id="890921366">
          <w:marLeft w:val="547"/>
          <w:marRight w:val="0"/>
          <w:marTop w:val="100"/>
          <w:marBottom w:val="0"/>
          <w:divBdr>
            <w:top w:val="none" w:sz="0" w:space="0" w:color="auto"/>
            <w:left w:val="none" w:sz="0" w:space="0" w:color="auto"/>
            <w:bottom w:val="none" w:sz="0" w:space="0" w:color="auto"/>
            <w:right w:val="none" w:sz="0" w:space="0" w:color="auto"/>
          </w:divBdr>
        </w:div>
        <w:div w:id="1337027655">
          <w:marLeft w:val="547"/>
          <w:marRight w:val="0"/>
          <w:marTop w:val="100"/>
          <w:marBottom w:val="0"/>
          <w:divBdr>
            <w:top w:val="none" w:sz="0" w:space="0" w:color="auto"/>
            <w:left w:val="none" w:sz="0" w:space="0" w:color="auto"/>
            <w:bottom w:val="none" w:sz="0" w:space="0" w:color="auto"/>
            <w:right w:val="none" w:sz="0" w:space="0" w:color="auto"/>
          </w:divBdr>
        </w:div>
        <w:div w:id="1577783439">
          <w:marLeft w:val="547"/>
          <w:marRight w:val="0"/>
          <w:marTop w:val="100"/>
          <w:marBottom w:val="0"/>
          <w:divBdr>
            <w:top w:val="none" w:sz="0" w:space="0" w:color="auto"/>
            <w:left w:val="none" w:sz="0" w:space="0" w:color="auto"/>
            <w:bottom w:val="none" w:sz="0" w:space="0" w:color="auto"/>
            <w:right w:val="none" w:sz="0" w:space="0" w:color="auto"/>
          </w:divBdr>
        </w:div>
        <w:div w:id="1607498573">
          <w:marLeft w:val="1080"/>
          <w:marRight w:val="0"/>
          <w:marTop w:val="0"/>
          <w:marBottom w:val="0"/>
          <w:divBdr>
            <w:top w:val="none" w:sz="0" w:space="0" w:color="auto"/>
            <w:left w:val="none" w:sz="0" w:space="0" w:color="auto"/>
            <w:bottom w:val="none" w:sz="0" w:space="0" w:color="auto"/>
            <w:right w:val="none" w:sz="0" w:space="0" w:color="auto"/>
          </w:divBdr>
        </w:div>
        <w:div w:id="1719084411">
          <w:marLeft w:val="547"/>
          <w:marRight w:val="0"/>
          <w:marTop w:val="100"/>
          <w:marBottom w:val="0"/>
          <w:divBdr>
            <w:top w:val="none" w:sz="0" w:space="0" w:color="auto"/>
            <w:left w:val="none" w:sz="0" w:space="0" w:color="auto"/>
            <w:bottom w:val="none" w:sz="0" w:space="0" w:color="auto"/>
            <w:right w:val="none" w:sz="0" w:space="0" w:color="auto"/>
          </w:divBdr>
        </w:div>
        <w:div w:id="1795126536">
          <w:marLeft w:val="547"/>
          <w:marRight w:val="0"/>
          <w:marTop w:val="100"/>
          <w:marBottom w:val="0"/>
          <w:divBdr>
            <w:top w:val="none" w:sz="0" w:space="0" w:color="auto"/>
            <w:left w:val="none" w:sz="0" w:space="0" w:color="auto"/>
            <w:bottom w:val="none" w:sz="0" w:space="0" w:color="auto"/>
            <w:right w:val="none" w:sz="0" w:space="0" w:color="auto"/>
          </w:divBdr>
        </w:div>
        <w:div w:id="2012294490">
          <w:marLeft w:val="547"/>
          <w:marRight w:val="0"/>
          <w:marTop w:val="100"/>
          <w:marBottom w:val="0"/>
          <w:divBdr>
            <w:top w:val="none" w:sz="0" w:space="0" w:color="auto"/>
            <w:left w:val="none" w:sz="0" w:space="0" w:color="auto"/>
            <w:bottom w:val="none" w:sz="0" w:space="0" w:color="auto"/>
            <w:right w:val="none" w:sz="0" w:space="0" w:color="auto"/>
          </w:divBdr>
        </w:div>
      </w:divsChild>
    </w:div>
    <w:div w:id="1443769953">
      <w:bodyDiv w:val="1"/>
      <w:marLeft w:val="0"/>
      <w:marRight w:val="0"/>
      <w:marTop w:val="0"/>
      <w:marBottom w:val="0"/>
      <w:divBdr>
        <w:top w:val="none" w:sz="0" w:space="0" w:color="auto"/>
        <w:left w:val="none" w:sz="0" w:space="0" w:color="auto"/>
        <w:bottom w:val="none" w:sz="0" w:space="0" w:color="auto"/>
        <w:right w:val="none" w:sz="0" w:space="0" w:color="auto"/>
      </w:divBdr>
    </w:div>
    <w:div w:id="1485507218">
      <w:bodyDiv w:val="1"/>
      <w:marLeft w:val="0"/>
      <w:marRight w:val="0"/>
      <w:marTop w:val="0"/>
      <w:marBottom w:val="0"/>
      <w:divBdr>
        <w:top w:val="none" w:sz="0" w:space="0" w:color="auto"/>
        <w:left w:val="none" w:sz="0" w:space="0" w:color="auto"/>
        <w:bottom w:val="none" w:sz="0" w:space="0" w:color="auto"/>
        <w:right w:val="none" w:sz="0" w:space="0" w:color="auto"/>
      </w:divBdr>
      <w:divsChild>
        <w:div w:id="198932233">
          <w:marLeft w:val="547"/>
          <w:marRight w:val="0"/>
          <w:marTop w:val="160"/>
          <w:marBottom w:val="0"/>
          <w:divBdr>
            <w:top w:val="none" w:sz="0" w:space="0" w:color="auto"/>
            <w:left w:val="none" w:sz="0" w:space="0" w:color="auto"/>
            <w:bottom w:val="none" w:sz="0" w:space="0" w:color="auto"/>
            <w:right w:val="none" w:sz="0" w:space="0" w:color="auto"/>
          </w:divBdr>
        </w:div>
        <w:div w:id="756244211">
          <w:marLeft w:val="547"/>
          <w:marRight w:val="0"/>
          <w:marTop w:val="160"/>
          <w:marBottom w:val="0"/>
          <w:divBdr>
            <w:top w:val="none" w:sz="0" w:space="0" w:color="auto"/>
            <w:left w:val="none" w:sz="0" w:space="0" w:color="auto"/>
            <w:bottom w:val="none" w:sz="0" w:space="0" w:color="auto"/>
            <w:right w:val="none" w:sz="0" w:space="0" w:color="auto"/>
          </w:divBdr>
        </w:div>
        <w:div w:id="1049232781">
          <w:marLeft w:val="547"/>
          <w:marRight w:val="0"/>
          <w:marTop w:val="160"/>
          <w:marBottom w:val="0"/>
          <w:divBdr>
            <w:top w:val="none" w:sz="0" w:space="0" w:color="auto"/>
            <w:left w:val="none" w:sz="0" w:space="0" w:color="auto"/>
            <w:bottom w:val="none" w:sz="0" w:space="0" w:color="auto"/>
            <w:right w:val="none" w:sz="0" w:space="0" w:color="auto"/>
          </w:divBdr>
        </w:div>
        <w:div w:id="1299410347">
          <w:marLeft w:val="547"/>
          <w:marRight w:val="0"/>
          <w:marTop w:val="160"/>
          <w:marBottom w:val="0"/>
          <w:divBdr>
            <w:top w:val="none" w:sz="0" w:space="0" w:color="auto"/>
            <w:left w:val="none" w:sz="0" w:space="0" w:color="auto"/>
            <w:bottom w:val="none" w:sz="0" w:space="0" w:color="auto"/>
            <w:right w:val="none" w:sz="0" w:space="0" w:color="auto"/>
          </w:divBdr>
        </w:div>
      </w:divsChild>
    </w:div>
    <w:div w:id="1497039847">
      <w:bodyDiv w:val="1"/>
      <w:marLeft w:val="0"/>
      <w:marRight w:val="0"/>
      <w:marTop w:val="0"/>
      <w:marBottom w:val="0"/>
      <w:divBdr>
        <w:top w:val="none" w:sz="0" w:space="0" w:color="auto"/>
        <w:left w:val="none" w:sz="0" w:space="0" w:color="auto"/>
        <w:bottom w:val="none" w:sz="0" w:space="0" w:color="auto"/>
        <w:right w:val="none" w:sz="0" w:space="0" w:color="auto"/>
      </w:divBdr>
      <w:divsChild>
        <w:div w:id="823742785">
          <w:marLeft w:val="547"/>
          <w:marRight w:val="0"/>
          <w:marTop w:val="300"/>
          <w:marBottom w:val="0"/>
          <w:divBdr>
            <w:top w:val="none" w:sz="0" w:space="0" w:color="auto"/>
            <w:left w:val="none" w:sz="0" w:space="0" w:color="auto"/>
            <w:bottom w:val="none" w:sz="0" w:space="0" w:color="auto"/>
            <w:right w:val="none" w:sz="0" w:space="0" w:color="auto"/>
          </w:divBdr>
        </w:div>
        <w:div w:id="1104417361">
          <w:marLeft w:val="547"/>
          <w:marRight w:val="0"/>
          <w:marTop w:val="300"/>
          <w:marBottom w:val="0"/>
          <w:divBdr>
            <w:top w:val="none" w:sz="0" w:space="0" w:color="auto"/>
            <w:left w:val="none" w:sz="0" w:space="0" w:color="auto"/>
            <w:bottom w:val="none" w:sz="0" w:space="0" w:color="auto"/>
            <w:right w:val="none" w:sz="0" w:space="0" w:color="auto"/>
          </w:divBdr>
        </w:div>
        <w:div w:id="1230723604">
          <w:marLeft w:val="547"/>
          <w:marRight w:val="0"/>
          <w:marTop w:val="400"/>
          <w:marBottom w:val="0"/>
          <w:divBdr>
            <w:top w:val="none" w:sz="0" w:space="0" w:color="auto"/>
            <w:left w:val="none" w:sz="0" w:space="0" w:color="auto"/>
            <w:bottom w:val="none" w:sz="0" w:space="0" w:color="auto"/>
            <w:right w:val="none" w:sz="0" w:space="0" w:color="auto"/>
          </w:divBdr>
        </w:div>
        <w:div w:id="1993488808">
          <w:marLeft w:val="547"/>
          <w:marRight w:val="0"/>
          <w:marTop w:val="300"/>
          <w:marBottom w:val="0"/>
          <w:divBdr>
            <w:top w:val="none" w:sz="0" w:space="0" w:color="auto"/>
            <w:left w:val="none" w:sz="0" w:space="0" w:color="auto"/>
            <w:bottom w:val="none" w:sz="0" w:space="0" w:color="auto"/>
            <w:right w:val="none" w:sz="0" w:space="0" w:color="auto"/>
          </w:divBdr>
        </w:div>
        <w:div w:id="2007004321">
          <w:marLeft w:val="547"/>
          <w:marRight w:val="0"/>
          <w:marTop w:val="300"/>
          <w:marBottom w:val="0"/>
          <w:divBdr>
            <w:top w:val="none" w:sz="0" w:space="0" w:color="auto"/>
            <w:left w:val="none" w:sz="0" w:space="0" w:color="auto"/>
            <w:bottom w:val="none" w:sz="0" w:space="0" w:color="auto"/>
            <w:right w:val="none" w:sz="0" w:space="0" w:color="auto"/>
          </w:divBdr>
        </w:div>
      </w:divsChild>
    </w:div>
    <w:div w:id="1534658259">
      <w:bodyDiv w:val="1"/>
      <w:marLeft w:val="0"/>
      <w:marRight w:val="0"/>
      <w:marTop w:val="0"/>
      <w:marBottom w:val="0"/>
      <w:divBdr>
        <w:top w:val="none" w:sz="0" w:space="0" w:color="auto"/>
        <w:left w:val="none" w:sz="0" w:space="0" w:color="auto"/>
        <w:bottom w:val="none" w:sz="0" w:space="0" w:color="auto"/>
        <w:right w:val="none" w:sz="0" w:space="0" w:color="auto"/>
      </w:divBdr>
      <w:divsChild>
        <w:div w:id="94980654">
          <w:marLeft w:val="850"/>
          <w:marRight w:val="0"/>
          <w:marTop w:val="60"/>
          <w:marBottom w:val="0"/>
          <w:divBdr>
            <w:top w:val="none" w:sz="0" w:space="0" w:color="auto"/>
            <w:left w:val="none" w:sz="0" w:space="0" w:color="auto"/>
            <w:bottom w:val="none" w:sz="0" w:space="0" w:color="auto"/>
            <w:right w:val="none" w:sz="0" w:space="0" w:color="auto"/>
          </w:divBdr>
        </w:div>
        <w:div w:id="494490036">
          <w:marLeft w:val="1426"/>
          <w:marRight w:val="0"/>
          <w:marTop w:val="120"/>
          <w:marBottom w:val="0"/>
          <w:divBdr>
            <w:top w:val="none" w:sz="0" w:space="0" w:color="auto"/>
            <w:left w:val="none" w:sz="0" w:space="0" w:color="auto"/>
            <w:bottom w:val="none" w:sz="0" w:space="0" w:color="auto"/>
            <w:right w:val="none" w:sz="0" w:space="0" w:color="auto"/>
          </w:divBdr>
        </w:div>
        <w:div w:id="498692056">
          <w:marLeft w:val="2146"/>
          <w:marRight w:val="0"/>
          <w:marTop w:val="120"/>
          <w:marBottom w:val="0"/>
          <w:divBdr>
            <w:top w:val="none" w:sz="0" w:space="0" w:color="auto"/>
            <w:left w:val="none" w:sz="0" w:space="0" w:color="auto"/>
            <w:bottom w:val="none" w:sz="0" w:space="0" w:color="auto"/>
            <w:right w:val="none" w:sz="0" w:space="0" w:color="auto"/>
          </w:divBdr>
        </w:div>
        <w:div w:id="510532004">
          <w:marLeft w:val="1267"/>
          <w:marRight w:val="0"/>
          <w:marTop w:val="120"/>
          <w:marBottom w:val="0"/>
          <w:divBdr>
            <w:top w:val="none" w:sz="0" w:space="0" w:color="auto"/>
            <w:left w:val="none" w:sz="0" w:space="0" w:color="auto"/>
            <w:bottom w:val="none" w:sz="0" w:space="0" w:color="auto"/>
            <w:right w:val="none" w:sz="0" w:space="0" w:color="auto"/>
          </w:divBdr>
        </w:div>
        <w:div w:id="545071790">
          <w:marLeft w:val="1426"/>
          <w:marRight w:val="0"/>
          <w:marTop w:val="120"/>
          <w:marBottom w:val="0"/>
          <w:divBdr>
            <w:top w:val="none" w:sz="0" w:space="0" w:color="auto"/>
            <w:left w:val="none" w:sz="0" w:space="0" w:color="auto"/>
            <w:bottom w:val="none" w:sz="0" w:space="0" w:color="auto"/>
            <w:right w:val="none" w:sz="0" w:space="0" w:color="auto"/>
          </w:divBdr>
        </w:div>
        <w:div w:id="1045377068">
          <w:marLeft w:val="1267"/>
          <w:marRight w:val="0"/>
          <w:marTop w:val="120"/>
          <w:marBottom w:val="0"/>
          <w:divBdr>
            <w:top w:val="none" w:sz="0" w:space="0" w:color="auto"/>
            <w:left w:val="none" w:sz="0" w:space="0" w:color="auto"/>
            <w:bottom w:val="none" w:sz="0" w:space="0" w:color="auto"/>
            <w:right w:val="none" w:sz="0" w:space="0" w:color="auto"/>
          </w:divBdr>
        </w:div>
        <w:div w:id="1186334523">
          <w:marLeft w:val="1426"/>
          <w:marRight w:val="0"/>
          <w:marTop w:val="120"/>
          <w:marBottom w:val="0"/>
          <w:divBdr>
            <w:top w:val="none" w:sz="0" w:space="0" w:color="auto"/>
            <w:left w:val="none" w:sz="0" w:space="0" w:color="auto"/>
            <w:bottom w:val="none" w:sz="0" w:space="0" w:color="auto"/>
            <w:right w:val="none" w:sz="0" w:space="0" w:color="auto"/>
          </w:divBdr>
        </w:div>
        <w:div w:id="1695690268">
          <w:marLeft w:val="850"/>
          <w:marRight w:val="0"/>
          <w:marTop w:val="60"/>
          <w:marBottom w:val="0"/>
          <w:divBdr>
            <w:top w:val="none" w:sz="0" w:space="0" w:color="auto"/>
            <w:left w:val="none" w:sz="0" w:space="0" w:color="auto"/>
            <w:bottom w:val="none" w:sz="0" w:space="0" w:color="auto"/>
            <w:right w:val="none" w:sz="0" w:space="0" w:color="auto"/>
          </w:divBdr>
        </w:div>
        <w:div w:id="2053845071">
          <w:marLeft w:val="1267"/>
          <w:marRight w:val="0"/>
          <w:marTop w:val="120"/>
          <w:marBottom w:val="0"/>
          <w:divBdr>
            <w:top w:val="none" w:sz="0" w:space="0" w:color="auto"/>
            <w:left w:val="none" w:sz="0" w:space="0" w:color="auto"/>
            <w:bottom w:val="none" w:sz="0" w:space="0" w:color="auto"/>
            <w:right w:val="none" w:sz="0" w:space="0" w:color="auto"/>
          </w:divBdr>
        </w:div>
      </w:divsChild>
    </w:div>
    <w:div w:id="1549143467">
      <w:bodyDiv w:val="1"/>
      <w:marLeft w:val="0"/>
      <w:marRight w:val="0"/>
      <w:marTop w:val="0"/>
      <w:marBottom w:val="0"/>
      <w:divBdr>
        <w:top w:val="none" w:sz="0" w:space="0" w:color="auto"/>
        <w:left w:val="none" w:sz="0" w:space="0" w:color="auto"/>
        <w:bottom w:val="none" w:sz="0" w:space="0" w:color="auto"/>
        <w:right w:val="none" w:sz="0" w:space="0" w:color="auto"/>
      </w:divBdr>
      <w:divsChild>
        <w:div w:id="392195572">
          <w:marLeft w:val="1166"/>
          <w:marRight w:val="0"/>
          <w:marTop w:val="0"/>
          <w:marBottom w:val="0"/>
          <w:divBdr>
            <w:top w:val="none" w:sz="0" w:space="0" w:color="auto"/>
            <w:left w:val="none" w:sz="0" w:space="0" w:color="auto"/>
            <w:bottom w:val="none" w:sz="0" w:space="0" w:color="auto"/>
            <w:right w:val="none" w:sz="0" w:space="0" w:color="auto"/>
          </w:divBdr>
        </w:div>
        <w:div w:id="472867732">
          <w:marLeft w:val="1166"/>
          <w:marRight w:val="0"/>
          <w:marTop w:val="0"/>
          <w:marBottom w:val="0"/>
          <w:divBdr>
            <w:top w:val="none" w:sz="0" w:space="0" w:color="auto"/>
            <w:left w:val="none" w:sz="0" w:space="0" w:color="auto"/>
            <w:bottom w:val="none" w:sz="0" w:space="0" w:color="auto"/>
            <w:right w:val="none" w:sz="0" w:space="0" w:color="auto"/>
          </w:divBdr>
        </w:div>
        <w:div w:id="812797505">
          <w:marLeft w:val="1166"/>
          <w:marRight w:val="0"/>
          <w:marTop w:val="0"/>
          <w:marBottom w:val="0"/>
          <w:divBdr>
            <w:top w:val="none" w:sz="0" w:space="0" w:color="auto"/>
            <w:left w:val="none" w:sz="0" w:space="0" w:color="auto"/>
            <w:bottom w:val="none" w:sz="0" w:space="0" w:color="auto"/>
            <w:right w:val="none" w:sz="0" w:space="0" w:color="auto"/>
          </w:divBdr>
        </w:div>
        <w:div w:id="845485416">
          <w:marLeft w:val="1166"/>
          <w:marRight w:val="0"/>
          <w:marTop w:val="0"/>
          <w:marBottom w:val="0"/>
          <w:divBdr>
            <w:top w:val="none" w:sz="0" w:space="0" w:color="auto"/>
            <w:left w:val="none" w:sz="0" w:space="0" w:color="auto"/>
            <w:bottom w:val="none" w:sz="0" w:space="0" w:color="auto"/>
            <w:right w:val="none" w:sz="0" w:space="0" w:color="auto"/>
          </w:divBdr>
        </w:div>
        <w:div w:id="885457459">
          <w:marLeft w:val="547"/>
          <w:marRight w:val="0"/>
          <w:marTop w:val="101"/>
          <w:marBottom w:val="0"/>
          <w:divBdr>
            <w:top w:val="none" w:sz="0" w:space="0" w:color="auto"/>
            <w:left w:val="none" w:sz="0" w:space="0" w:color="auto"/>
            <w:bottom w:val="none" w:sz="0" w:space="0" w:color="auto"/>
            <w:right w:val="none" w:sz="0" w:space="0" w:color="auto"/>
          </w:divBdr>
        </w:div>
        <w:div w:id="1109617570">
          <w:marLeft w:val="1166"/>
          <w:marRight w:val="0"/>
          <w:marTop w:val="0"/>
          <w:marBottom w:val="0"/>
          <w:divBdr>
            <w:top w:val="none" w:sz="0" w:space="0" w:color="auto"/>
            <w:left w:val="none" w:sz="0" w:space="0" w:color="auto"/>
            <w:bottom w:val="none" w:sz="0" w:space="0" w:color="auto"/>
            <w:right w:val="none" w:sz="0" w:space="0" w:color="auto"/>
          </w:divBdr>
        </w:div>
        <w:div w:id="1229725525">
          <w:marLeft w:val="1166"/>
          <w:marRight w:val="0"/>
          <w:marTop w:val="0"/>
          <w:marBottom w:val="0"/>
          <w:divBdr>
            <w:top w:val="none" w:sz="0" w:space="0" w:color="auto"/>
            <w:left w:val="none" w:sz="0" w:space="0" w:color="auto"/>
            <w:bottom w:val="none" w:sz="0" w:space="0" w:color="auto"/>
            <w:right w:val="none" w:sz="0" w:space="0" w:color="auto"/>
          </w:divBdr>
        </w:div>
        <w:div w:id="1959943927">
          <w:marLeft w:val="547"/>
          <w:marRight w:val="0"/>
          <w:marTop w:val="101"/>
          <w:marBottom w:val="0"/>
          <w:divBdr>
            <w:top w:val="none" w:sz="0" w:space="0" w:color="auto"/>
            <w:left w:val="none" w:sz="0" w:space="0" w:color="auto"/>
            <w:bottom w:val="none" w:sz="0" w:space="0" w:color="auto"/>
            <w:right w:val="none" w:sz="0" w:space="0" w:color="auto"/>
          </w:divBdr>
        </w:div>
      </w:divsChild>
    </w:div>
    <w:div w:id="1562793798">
      <w:bodyDiv w:val="1"/>
      <w:marLeft w:val="0"/>
      <w:marRight w:val="0"/>
      <w:marTop w:val="0"/>
      <w:marBottom w:val="0"/>
      <w:divBdr>
        <w:top w:val="none" w:sz="0" w:space="0" w:color="auto"/>
        <w:left w:val="none" w:sz="0" w:space="0" w:color="auto"/>
        <w:bottom w:val="none" w:sz="0" w:space="0" w:color="auto"/>
        <w:right w:val="none" w:sz="0" w:space="0" w:color="auto"/>
      </w:divBdr>
      <w:divsChild>
        <w:div w:id="571426653">
          <w:marLeft w:val="850"/>
          <w:marRight w:val="0"/>
          <w:marTop w:val="60"/>
          <w:marBottom w:val="0"/>
          <w:divBdr>
            <w:top w:val="none" w:sz="0" w:space="0" w:color="auto"/>
            <w:left w:val="none" w:sz="0" w:space="0" w:color="auto"/>
            <w:bottom w:val="none" w:sz="0" w:space="0" w:color="auto"/>
            <w:right w:val="none" w:sz="0" w:space="0" w:color="auto"/>
          </w:divBdr>
        </w:div>
        <w:div w:id="664750215">
          <w:marLeft w:val="1570"/>
          <w:marRight w:val="0"/>
          <w:marTop w:val="115"/>
          <w:marBottom w:val="0"/>
          <w:divBdr>
            <w:top w:val="none" w:sz="0" w:space="0" w:color="auto"/>
            <w:left w:val="none" w:sz="0" w:space="0" w:color="auto"/>
            <w:bottom w:val="none" w:sz="0" w:space="0" w:color="auto"/>
            <w:right w:val="none" w:sz="0" w:space="0" w:color="auto"/>
          </w:divBdr>
        </w:div>
        <w:div w:id="672222402">
          <w:marLeft w:val="1570"/>
          <w:marRight w:val="0"/>
          <w:marTop w:val="115"/>
          <w:marBottom w:val="0"/>
          <w:divBdr>
            <w:top w:val="none" w:sz="0" w:space="0" w:color="auto"/>
            <w:left w:val="none" w:sz="0" w:space="0" w:color="auto"/>
            <w:bottom w:val="none" w:sz="0" w:space="0" w:color="auto"/>
            <w:right w:val="none" w:sz="0" w:space="0" w:color="auto"/>
          </w:divBdr>
        </w:div>
        <w:div w:id="964654037">
          <w:marLeft w:val="850"/>
          <w:marRight w:val="0"/>
          <w:marTop w:val="60"/>
          <w:marBottom w:val="0"/>
          <w:divBdr>
            <w:top w:val="none" w:sz="0" w:space="0" w:color="auto"/>
            <w:left w:val="none" w:sz="0" w:space="0" w:color="auto"/>
            <w:bottom w:val="none" w:sz="0" w:space="0" w:color="auto"/>
            <w:right w:val="none" w:sz="0" w:space="0" w:color="auto"/>
          </w:divBdr>
        </w:div>
        <w:div w:id="1115716334">
          <w:marLeft w:val="1570"/>
          <w:marRight w:val="0"/>
          <w:marTop w:val="115"/>
          <w:marBottom w:val="0"/>
          <w:divBdr>
            <w:top w:val="none" w:sz="0" w:space="0" w:color="auto"/>
            <w:left w:val="none" w:sz="0" w:space="0" w:color="auto"/>
            <w:bottom w:val="none" w:sz="0" w:space="0" w:color="auto"/>
            <w:right w:val="none" w:sz="0" w:space="0" w:color="auto"/>
          </w:divBdr>
        </w:div>
        <w:div w:id="1825318435">
          <w:marLeft w:val="850"/>
          <w:marRight w:val="0"/>
          <w:marTop w:val="60"/>
          <w:marBottom w:val="0"/>
          <w:divBdr>
            <w:top w:val="none" w:sz="0" w:space="0" w:color="auto"/>
            <w:left w:val="none" w:sz="0" w:space="0" w:color="auto"/>
            <w:bottom w:val="none" w:sz="0" w:space="0" w:color="auto"/>
            <w:right w:val="none" w:sz="0" w:space="0" w:color="auto"/>
          </w:divBdr>
        </w:div>
        <w:div w:id="1827622958">
          <w:marLeft w:val="1570"/>
          <w:marRight w:val="0"/>
          <w:marTop w:val="115"/>
          <w:marBottom w:val="0"/>
          <w:divBdr>
            <w:top w:val="none" w:sz="0" w:space="0" w:color="auto"/>
            <w:left w:val="none" w:sz="0" w:space="0" w:color="auto"/>
            <w:bottom w:val="none" w:sz="0" w:space="0" w:color="auto"/>
            <w:right w:val="none" w:sz="0" w:space="0" w:color="auto"/>
          </w:divBdr>
        </w:div>
        <w:div w:id="1896894817">
          <w:marLeft w:val="1570"/>
          <w:marRight w:val="0"/>
          <w:marTop w:val="115"/>
          <w:marBottom w:val="0"/>
          <w:divBdr>
            <w:top w:val="none" w:sz="0" w:space="0" w:color="auto"/>
            <w:left w:val="none" w:sz="0" w:space="0" w:color="auto"/>
            <w:bottom w:val="none" w:sz="0" w:space="0" w:color="auto"/>
            <w:right w:val="none" w:sz="0" w:space="0" w:color="auto"/>
          </w:divBdr>
        </w:div>
        <w:div w:id="2137217366">
          <w:marLeft w:val="1570"/>
          <w:marRight w:val="0"/>
          <w:marTop w:val="115"/>
          <w:marBottom w:val="0"/>
          <w:divBdr>
            <w:top w:val="none" w:sz="0" w:space="0" w:color="auto"/>
            <w:left w:val="none" w:sz="0" w:space="0" w:color="auto"/>
            <w:bottom w:val="none" w:sz="0" w:space="0" w:color="auto"/>
            <w:right w:val="none" w:sz="0" w:space="0" w:color="auto"/>
          </w:divBdr>
        </w:div>
      </w:divsChild>
    </w:div>
    <w:div w:id="1591892010">
      <w:bodyDiv w:val="1"/>
      <w:marLeft w:val="0"/>
      <w:marRight w:val="0"/>
      <w:marTop w:val="0"/>
      <w:marBottom w:val="0"/>
      <w:divBdr>
        <w:top w:val="none" w:sz="0" w:space="0" w:color="auto"/>
        <w:left w:val="none" w:sz="0" w:space="0" w:color="auto"/>
        <w:bottom w:val="none" w:sz="0" w:space="0" w:color="auto"/>
        <w:right w:val="none" w:sz="0" w:space="0" w:color="auto"/>
      </w:divBdr>
    </w:div>
    <w:div w:id="1594706568">
      <w:bodyDiv w:val="1"/>
      <w:marLeft w:val="0"/>
      <w:marRight w:val="0"/>
      <w:marTop w:val="0"/>
      <w:marBottom w:val="0"/>
      <w:divBdr>
        <w:top w:val="none" w:sz="0" w:space="0" w:color="auto"/>
        <w:left w:val="none" w:sz="0" w:space="0" w:color="auto"/>
        <w:bottom w:val="none" w:sz="0" w:space="0" w:color="auto"/>
        <w:right w:val="none" w:sz="0" w:space="0" w:color="auto"/>
      </w:divBdr>
    </w:div>
    <w:div w:id="1600412570">
      <w:bodyDiv w:val="1"/>
      <w:marLeft w:val="0"/>
      <w:marRight w:val="0"/>
      <w:marTop w:val="0"/>
      <w:marBottom w:val="0"/>
      <w:divBdr>
        <w:top w:val="none" w:sz="0" w:space="0" w:color="auto"/>
        <w:left w:val="none" w:sz="0" w:space="0" w:color="auto"/>
        <w:bottom w:val="none" w:sz="0" w:space="0" w:color="auto"/>
        <w:right w:val="none" w:sz="0" w:space="0" w:color="auto"/>
      </w:divBdr>
    </w:div>
    <w:div w:id="1614246241">
      <w:bodyDiv w:val="1"/>
      <w:marLeft w:val="0"/>
      <w:marRight w:val="0"/>
      <w:marTop w:val="0"/>
      <w:marBottom w:val="0"/>
      <w:divBdr>
        <w:top w:val="none" w:sz="0" w:space="0" w:color="auto"/>
        <w:left w:val="none" w:sz="0" w:space="0" w:color="auto"/>
        <w:bottom w:val="none" w:sz="0" w:space="0" w:color="auto"/>
        <w:right w:val="none" w:sz="0" w:space="0" w:color="auto"/>
      </w:divBdr>
    </w:div>
    <w:div w:id="1671450416">
      <w:bodyDiv w:val="1"/>
      <w:marLeft w:val="0"/>
      <w:marRight w:val="0"/>
      <w:marTop w:val="0"/>
      <w:marBottom w:val="0"/>
      <w:divBdr>
        <w:top w:val="none" w:sz="0" w:space="0" w:color="auto"/>
        <w:left w:val="none" w:sz="0" w:space="0" w:color="auto"/>
        <w:bottom w:val="none" w:sz="0" w:space="0" w:color="auto"/>
        <w:right w:val="none" w:sz="0" w:space="0" w:color="auto"/>
      </w:divBdr>
    </w:div>
    <w:div w:id="1689453269">
      <w:bodyDiv w:val="1"/>
      <w:marLeft w:val="0"/>
      <w:marRight w:val="0"/>
      <w:marTop w:val="0"/>
      <w:marBottom w:val="0"/>
      <w:divBdr>
        <w:top w:val="none" w:sz="0" w:space="0" w:color="auto"/>
        <w:left w:val="none" w:sz="0" w:space="0" w:color="auto"/>
        <w:bottom w:val="none" w:sz="0" w:space="0" w:color="auto"/>
        <w:right w:val="none" w:sz="0" w:space="0" w:color="auto"/>
      </w:divBdr>
      <w:divsChild>
        <w:div w:id="628903146">
          <w:marLeft w:val="547"/>
          <w:marRight w:val="0"/>
          <w:marTop w:val="400"/>
          <w:marBottom w:val="0"/>
          <w:divBdr>
            <w:top w:val="none" w:sz="0" w:space="0" w:color="auto"/>
            <w:left w:val="none" w:sz="0" w:space="0" w:color="auto"/>
            <w:bottom w:val="none" w:sz="0" w:space="0" w:color="auto"/>
            <w:right w:val="none" w:sz="0" w:space="0" w:color="auto"/>
          </w:divBdr>
        </w:div>
        <w:div w:id="756636381">
          <w:marLeft w:val="1080"/>
          <w:marRight w:val="0"/>
          <w:marTop w:val="40"/>
          <w:marBottom w:val="0"/>
          <w:divBdr>
            <w:top w:val="none" w:sz="0" w:space="0" w:color="auto"/>
            <w:left w:val="none" w:sz="0" w:space="0" w:color="auto"/>
            <w:bottom w:val="none" w:sz="0" w:space="0" w:color="auto"/>
            <w:right w:val="none" w:sz="0" w:space="0" w:color="auto"/>
          </w:divBdr>
        </w:div>
        <w:div w:id="948127606">
          <w:marLeft w:val="547"/>
          <w:marRight w:val="0"/>
          <w:marTop w:val="100"/>
          <w:marBottom w:val="0"/>
          <w:divBdr>
            <w:top w:val="none" w:sz="0" w:space="0" w:color="auto"/>
            <w:left w:val="none" w:sz="0" w:space="0" w:color="auto"/>
            <w:bottom w:val="none" w:sz="0" w:space="0" w:color="auto"/>
            <w:right w:val="none" w:sz="0" w:space="0" w:color="auto"/>
          </w:divBdr>
        </w:div>
        <w:div w:id="1264802929">
          <w:marLeft w:val="547"/>
          <w:marRight w:val="0"/>
          <w:marTop w:val="100"/>
          <w:marBottom w:val="0"/>
          <w:divBdr>
            <w:top w:val="none" w:sz="0" w:space="0" w:color="auto"/>
            <w:left w:val="none" w:sz="0" w:space="0" w:color="auto"/>
            <w:bottom w:val="none" w:sz="0" w:space="0" w:color="auto"/>
            <w:right w:val="none" w:sz="0" w:space="0" w:color="auto"/>
          </w:divBdr>
        </w:div>
        <w:div w:id="1628314337">
          <w:marLeft w:val="1080"/>
          <w:marRight w:val="0"/>
          <w:marTop w:val="40"/>
          <w:marBottom w:val="0"/>
          <w:divBdr>
            <w:top w:val="none" w:sz="0" w:space="0" w:color="auto"/>
            <w:left w:val="none" w:sz="0" w:space="0" w:color="auto"/>
            <w:bottom w:val="none" w:sz="0" w:space="0" w:color="auto"/>
            <w:right w:val="none" w:sz="0" w:space="0" w:color="auto"/>
          </w:divBdr>
        </w:div>
        <w:div w:id="1671788563">
          <w:marLeft w:val="1080"/>
          <w:marRight w:val="0"/>
          <w:marTop w:val="40"/>
          <w:marBottom w:val="0"/>
          <w:divBdr>
            <w:top w:val="none" w:sz="0" w:space="0" w:color="auto"/>
            <w:left w:val="none" w:sz="0" w:space="0" w:color="auto"/>
            <w:bottom w:val="none" w:sz="0" w:space="0" w:color="auto"/>
            <w:right w:val="none" w:sz="0" w:space="0" w:color="auto"/>
          </w:divBdr>
        </w:div>
        <w:div w:id="2044597624">
          <w:marLeft w:val="547"/>
          <w:marRight w:val="0"/>
          <w:marTop w:val="100"/>
          <w:marBottom w:val="0"/>
          <w:divBdr>
            <w:top w:val="none" w:sz="0" w:space="0" w:color="auto"/>
            <w:left w:val="none" w:sz="0" w:space="0" w:color="auto"/>
            <w:bottom w:val="none" w:sz="0" w:space="0" w:color="auto"/>
            <w:right w:val="none" w:sz="0" w:space="0" w:color="auto"/>
          </w:divBdr>
        </w:div>
      </w:divsChild>
    </w:div>
    <w:div w:id="1714840563">
      <w:bodyDiv w:val="1"/>
      <w:marLeft w:val="0"/>
      <w:marRight w:val="0"/>
      <w:marTop w:val="0"/>
      <w:marBottom w:val="0"/>
      <w:divBdr>
        <w:top w:val="none" w:sz="0" w:space="0" w:color="auto"/>
        <w:left w:val="none" w:sz="0" w:space="0" w:color="auto"/>
        <w:bottom w:val="none" w:sz="0" w:space="0" w:color="auto"/>
        <w:right w:val="none" w:sz="0" w:space="0" w:color="auto"/>
      </w:divBdr>
    </w:div>
    <w:div w:id="1718773421">
      <w:bodyDiv w:val="1"/>
      <w:marLeft w:val="0"/>
      <w:marRight w:val="0"/>
      <w:marTop w:val="0"/>
      <w:marBottom w:val="0"/>
      <w:divBdr>
        <w:top w:val="none" w:sz="0" w:space="0" w:color="auto"/>
        <w:left w:val="none" w:sz="0" w:space="0" w:color="auto"/>
        <w:bottom w:val="none" w:sz="0" w:space="0" w:color="auto"/>
        <w:right w:val="none" w:sz="0" w:space="0" w:color="auto"/>
      </w:divBdr>
      <w:divsChild>
        <w:div w:id="230779443">
          <w:marLeft w:val="1123"/>
          <w:marRight w:val="0"/>
          <w:marTop w:val="0"/>
          <w:marBottom w:val="0"/>
          <w:divBdr>
            <w:top w:val="none" w:sz="0" w:space="0" w:color="auto"/>
            <w:left w:val="none" w:sz="0" w:space="0" w:color="auto"/>
            <w:bottom w:val="none" w:sz="0" w:space="0" w:color="auto"/>
            <w:right w:val="none" w:sz="0" w:space="0" w:color="auto"/>
          </w:divBdr>
        </w:div>
        <w:div w:id="691801348">
          <w:marLeft w:val="547"/>
          <w:marRight w:val="0"/>
          <w:marTop w:val="100"/>
          <w:marBottom w:val="0"/>
          <w:divBdr>
            <w:top w:val="none" w:sz="0" w:space="0" w:color="auto"/>
            <w:left w:val="none" w:sz="0" w:space="0" w:color="auto"/>
            <w:bottom w:val="none" w:sz="0" w:space="0" w:color="auto"/>
            <w:right w:val="none" w:sz="0" w:space="0" w:color="auto"/>
          </w:divBdr>
        </w:div>
        <w:div w:id="1101220252">
          <w:marLeft w:val="547"/>
          <w:marRight w:val="0"/>
          <w:marTop w:val="100"/>
          <w:marBottom w:val="0"/>
          <w:divBdr>
            <w:top w:val="none" w:sz="0" w:space="0" w:color="auto"/>
            <w:left w:val="none" w:sz="0" w:space="0" w:color="auto"/>
            <w:bottom w:val="none" w:sz="0" w:space="0" w:color="auto"/>
            <w:right w:val="none" w:sz="0" w:space="0" w:color="auto"/>
          </w:divBdr>
        </w:div>
        <w:div w:id="1128743379">
          <w:marLeft w:val="547"/>
          <w:marRight w:val="0"/>
          <w:marTop w:val="100"/>
          <w:marBottom w:val="0"/>
          <w:divBdr>
            <w:top w:val="none" w:sz="0" w:space="0" w:color="auto"/>
            <w:left w:val="none" w:sz="0" w:space="0" w:color="auto"/>
            <w:bottom w:val="none" w:sz="0" w:space="0" w:color="auto"/>
            <w:right w:val="none" w:sz="0" w:space="0" w:color="auto"/>
          </w:divBdr>
        </w:div>
        <w:div w:id="1244952015">
          <w:marLeft w:val="547"/>
          <w:marRight w:val="0"/>
          <w:marTop w:val="100"/>
          <w:marBottom w:val="0"/>
          <w:divBdr>
            <w:top w:val="none" w:sz="0" w:space="0" w:color="auto"/>
            <w:left w:val="none" w:sz="0" w:space="0" w:color="auto"/>
            <w:bottom w:val="none" w:sz="0" w:space="0" w:color="auto"/>
            <w:right w:val="none" w:sz="0" w:space="0" w:color="auto"/>
          </w:divBdr>
        </w:div>
        <w:div w:id="1263220113">
          <w:marLeft w:val="1123"/>
          <w:marRight w:val="0"/>
          <w:marTop w:val="0"/>
          <w:marBottom w:val="0"/>
          <w:divBdr>
            <w:top w:val="none" w:sz="0" w:space="0" w:color="auto"/>
            <w:left w:val="none" w:sz="0" w:space="0" w:color="auto"/>
            <w:bottom w:val="none" w:sz="0" w:space="0" w:color="auto"/>
            <w:right w:val="none" w:sz="0" w:space="0" w:color="auto"/>
          </w:divBdr>
        </w:div>
        <w:div w:id="2037734762">
          <w:marLeft w:val="547"/>
          <w:marRight w:val="0"/>
          <w:marTop w:val="400"/>
          <w:marBottom w:val="0"/>
          <w:divBdr>
            <w:top w:val="none" w:sz="0" w:space="0" w:color="auto"/>
            <w:left w:val="none" w:sz="0" w:space="0" w:color="auto"/>
            <w:bottom w:val="none" w:sz="0" w:space="0" w:color="auto"/>
            <w:right w:val="none" w:sz="0" w:space="0" w:color="auto"/>
          </w:divBdr>
        </w:div>
        <w:div w:id="2123375289">
          <w:marLeft w:val="1123"/>
          <w:marRight w:val="0"/>
          <w:marTop w:val="0"/>
          <w:marBottom w:val="0"/>
          <w:divBdr>
            <w:top w:val="none" w:sz="0" w:space="0" w:color="auto"/>
            <w:left w:val="none" w:sz="0" w:space="0" w:color="auto"/>
            <w:bottom w:val="none" w:sz="0" w:space="0" w:color="auto"/>
            <w:right w:val="none" w:sz="0" w:space="0" w:color="auto"/>
          </w:divBdr>
        </w:div>
      </w:divsChild>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sChild>
        <w:div w:id="1519271">
          <w:marLeft w:val="1426"/>
          <w:marRight w:val="0"/>
          <w:marTop w:val="60"/>
          <w:marBottom w:val="0"/>
          <w:divBdr>
            <w:top w:val="none" w:sz="0" w:space="0" w:color="auto"/>
            <w:left w:val="none" w:sz="0" w:space="0" w:color="auto"/>
            <w:bottom w:val="none" w:sz="0" w:space="0" w:color="auto"/>
            <w:right w:val="none" w:sz="0" w:space="0" w:color="auto"/>
          </w:divBdr>
        </w:div>
        <w:div w:id="213734694">
          <w:marLeft w:val="1426"/>
          <w:marRight w:val="0"/>
          <w:marTop w:val="60"/>
          <w:marBottom w:val="0"/>
          <w:divBdr>
            <w:top w:val="none" w:sz="0" w:space="0" w:color="auto"/>
            <w:left w:val="none" w:sz="0" w:space="0" w:color="auto"/>
            <w:bottom w:val="none" w:sz="0" w:space="0" w:color="auto"/>
            <w:right w:val="none" w:sz="0" w:space="0" w:color="auto"/>
          </w:divBdr>
        </w:div>
        <w:div w:id="1861889006">
          <w:marLeft w:val="1426"/>
          <w:marRight w:val="0"/>
          <w:marTop w:val="60"/>
          <w:marBottom w:val="0"/>
          <w:divBdr>
            <w:top w:val="none" w:sz="0" w:space="0" w:color="auto"/>
            <w:left w:val="none" w:sz="0" w:space="0" w:color="auto"/>
            <w:bottom w:val="none" w:sz="0" w:space="0" w:color="auto"/>
            <w:right w:val="none" w:sz="0" w:space="0" w:color="auto"/>
          </w:divBdr>
        </w:div>
      </w:divsChild>
    </w:div>
    <w:div w:id="1830636733">
      <w:bodyDiv w:val="1"/>
      <w:marLeft w:val="0"/>
      <w:marRight w:val="0"/>
      <w:marTop w:val="0"/>
      <w:marBottom w:val="0"/>
      <w:divBdr>
        <w:top w:val="none" w:sz="0" w:space="0" w:color="auto"/>
        <w:left w:val="none" w:sz="0" w:space="0" w:color="auto"/>
        <w:bottom w:val="none" w:sz="0" w:space="0" w:color="auto"/>
        <w:right w:val="none" w:sz="0" w:space="0" w:color="auto"/>
      </w:divBdr>
    </w:div>
    <w:div w:id="1847134858">
      <w:bodyDiv w:val="1"/>
      <w:marLeft w:val="0"/>
      <w:marRight w:val="0"/>
      <w:marTop w:val="0"/>
      <w:marBottom w:val="0"/>
      <w:divBdr>
        <w:top w:val="none" w:sz="0" w:space="0" w:color="auto"/>
        <w:left w:val="none" w:sz="0" w:space="0" w:color="auto"/>
        <w:bottom w:val="none" w:sz="0" w:space="0" w:color="auto"/>
        <w:right w:val="none" w:sz="0" w:space="0" w:color="auto"/>
      </w:divBdr>
      <w:divsChild>
        <w:div w:id="146241653">
          <w:marLeft w:val="1426"/>
          <w:marRight w:val="0"/>
          <w:marTop w:val="0"/>
          <w:marBottom w:val="0"/>
          <w:divBdr>
            <w:top w:val="none" w:sz="0" w:space="0" w:color="auto"/>
            <w:left w:val="none" w:sz="0" w:space="0" w:color="auto"/>
            <w:bottom w:val="none" w:sz="0" w:space="0" w:color="auto"/>
            <w:right w:val="none" w:sz="0" w:space="0" w:color="auto"/>
          </w:divBdr>
        </w:div>
        <w:div w:id="198127218">
          <w:marLeft w:val="1426"/>
          <w:marRight w:val="0"/>
          <w:marTop w:val="0"/>
          <w:marBottom w:val="0"/>
          <w:divBdr>
            <w:top w:val="none" w:sz="0" w:space="0" w:color="auto"/>
            <w:left w:val="none" w:sz="0" w:space="0" w:color="auto"/>
            <w:bottom w:val="none" w:sz="0" w:space="0" w:color="auto"/>
            <w:right w:val="none" w:sz="0" w:space="0" w:color="auto"/>
          </w:divBdr>
        </w:div>
        <w:div w:id="264505812">
          <w:marLeft w:val="1426"/>
          <w:marRight w:val="0"/>
          <w:marTop w:val="0"/>
          <w:marBottom w:val="0"/>
          <w:divBdr>
            <w:top w:val="none" w:sz="0" w:space="0" w:color="auto"/>
            <w:left w:val="none" w:sz="0" w:space="0" w:color="auto"/>
            <w:bottom w:val="none" w:sz="0" w:space="0" w:color="auto"/>
            <w:right w:val="none" w:sz="0" w:space="0" w:color="auto"/>
          </w:divBdr>
        </w:div>
        <w:div w:id="855650825">
          <w:marLeft w:val="1195"/>
          <w:marRight w:val="0"/>
          <w:marTop w:val="0"/>
          <w:marBottom w:val="0"/>
          <w:divBdr>
            <w:top w:val="none" w:sz="0" w:space="0" w:color="auto"/>
            <w:left w:val="none" w:sz="0" w:space="0" w:color="auto"/>
            <w:bottom w:val="none" w:sz="0" w:space="0" w:color="auto"/>
            <w:right w:val="none" w:sz="0" w:space="0" w:color="auto"/>
          </w:divBdr>
        </w:div>
        <w:div w:id="1070081933">
          <w:marLeft w:val="1426"/>
          <w:marRight w:val="0"/>
          <w:marTop w:val="0"/>
          <w:marBottom w:val="0"/>
          <w:divBdr>
            <w:top w:val="none" w:sz="0" w:space="0" w:color="auto"/>
            <w:left w:val="none" w:sz="0" w:space="0" w:color="auto"/>
            <w:bottom w:val="none" w:sz="0" w:space="0" w:color="auto"/>
            <w:right w:val="none" w:sz="0" w:space="0" w:color="auto"/>
          </w:divBdr>
        </w:div>
        <w:div w:id="1902062108">
          <w:marLeft w:val="1426"/>
          <w:marRight w:val="0"/>
          <w:marTop w:val="0"/>
          <w:marBottom w:val="0"/>
          <w:divBdr>
            <w:top w:val="none" w:sz="0" w:space="0" w:color="auto"/>
            <w:left w:val="none" w:sz="0" w:space="0" w:color="auto"/>
            <w:bottom w:val="none" w:sz="0" w:space="0" w:color="auto"/>
            <w:right w:val="none" w:sz="0" w:space="0" w:color="auto"/>
          </w:divBdr>
        </w:div>
      </w:divsChild>
    </w:div>
    <w:div w:id="1942226920">
      <w:bodyDiv w:val="1"/>
      <w:marLeft w:val="0"/>
      <w:marRight w:val="0"/>
      <w:marTop w:val="0"/>
      <w:marBottom w:val="0"/>
      <w:divBdr>
        <w:top w:val="none" w:sz="0" w:space="0" w:color="auto"/>
        <w:left w:val="none" w:sz="0" w:space="0" w:color="auto"/>
        <w:bottom w:val="none" w:sz="0" w:space="0" w:color="auto"/>
        <w:right w:val="none" w:sz="0" w:space="0" w:color="auto"/>
      </w:divBdr>
      <w:divsChild>
        <w:div w:id="18430639">
          <w:marLeft w:val="1354"/>
          <w:marRight w:val="0"/>
          <w:marTop w:val="0"/>
          <w:marBottom w:val="0"/>
          <w:divBdr>
            <w:top w:val="none" w:sz="0" w:space="0" w:color="auto"/>
            <w:left w:val="none" w:sz="0" w:space="0" w:color="auto"/>
            <w:bottom w:val="none" w:sz="0" w:space="0" w:color="auto"/>
            <w:right w:val="none" w:sz="0" w:space="0" w:color="auto"/>
          </w:divBdr>
        </w:div>
        <w:div w:id="257644738">
          <w:marLeft w:val="1354"/>
          <w:marRight w:val="0"/>
          <w:marTop w:val="0"/>
          <w:marBottom w:val="0"/>
          <w:divBdr>
            <w:top w:val="none" w:sz="0" w:space="0" w:color="auto"/>
            <w:left w:val="none" w:sz="0" w:space="0" w:color="auto"/>
            <w:bottom w:val="none" w:sz="0" w:space="0" w:color="auto"/>
            <w:right w:val="none" w:sz="0" w:space="0" w:color="auto"/>
          </w:divBdr>
        </w:div>
        <w:div w:id="345985787">
          <w:marLeft w:val="1354"/>
          <w:marRight w:val="0"/>
          <w:marTop w:val="0"/>
          <w:marBottom w:val="0"/>
          <w:divBdr>
            <w:top w:val="none" w:sz="0" w:space="0" w:color="auto"/>
            <w:left w:val="none" w:sz="0" w:space="0" w:color="auto"/>
            <w:bottom w:val="none" w:sz="0" w:space="0" w:color="auto"/>
            <w:right w:val="none" w:sz="0" w:space="0" w:color="auto"/>
          </w:divBdr>
        </w:div>
        <w:div w:id="932319716">
          <w:marLeft w:val="1354"/>
          <w:marRight w:val="0"/>
          <w:marTop w:val="0"/>
          <w:marBottom w:val="0"/>
          <w:divBdr>
            <w:top w:val="none" w:sz="0" w:space="0" w:color="auto"/>
            <w:left w:val="none" w:sz="0" w:space="0" w:color="auto"/>
            <w:bottom w:val="none" w:sz="0" w:space="0" w:color="auto"/>
            <w:right w:val="none" w:sz="0" w:space="0" w:color="auto"/>
          </w:divBdr>
        </w:div>
        <w:div w:id="1303924802">
          <w:marLeft w:val="1354"/>
          <w:marRight w:val="0"/>
          <w:marTop w:val="0"/>
          <w:marBottom w:val="0"/>
          <w:divBdr>
            <w:top w:val="none" w:sz="0" w:space="0" w:color="auto"/>
            <w:left w:val="none" w:sz="0" w:space="0" w:color="auto"/>
            <w:bottom w:val="none" w:sz="0" w:space="0" w:color="auto"/>
            <w:right w:val="none" w:sz="0" w:space="0" w:color="auto"/>
          </w:divBdr>
        </w:div>
        <w:div w:id="1547447857">
          <w:marLeft w:val="1354"/>
          <w:marRight w:val="0"/>
          <w:marTop w:val="0"/>
          <w:marBottom w:val="0"/>
          <w:divBdr>
            <w:top w:val="none" w:sz="0" w:space="0" w:color="auto"/>
            <w:left w:val="none" w:sz="0" w:space="0" w:color="auto"/>
            <w:bottom w:val="none" w:sz="0" w:space="0" w:color="auto"/>
            <w:right w:val="none" w:sz="0" w:space="0" w:color="auto"/>
          </w:divBdr>
        </w:div>
        <w:div w:id="1705014262">
          <w:marLeft w:val="1354"/>
          <w:marRight w:val="0"/>
          <w:marTop w:val="0"/>
          <w:marBottom w:val="0"/>
          <w:divBdr>
            <w:top w:val="none" w:sz="0" w:space="0" w:color="auto"/>
            <w:left w:val="none" w:sz="0" w:space="0" w:color="auto"/>
            <w:bottom w:val="none" w:sz="0" w:space="0" w:color="auto"/>
            <w:right w:val="none" w:sz="0" w:space="0" w:color="auto"/>
          </w:divBdr>
        </w:div>
      </w:divsChild>
    </w:div>
    <w:div w:id="1960449119">
      <w:bodyDiv w:val="1"/>
      <w:marLeft w:val="0"/>
      <w:marRight w:val="0"/>
      <w:marTop w:val="0"/>
      <w:marBottom w:val="0"/>
      <w:divBdr>
        <w:top w:val="none" w:sz="0" w:space="0" w:color="auto"/>
        <w:left w:val="none" w:sz="0" w:space="0" w:color="auto"/>
        <w:bottom w:val="none" w:sz="0" w:space="0" w:color="auto"/>
        <w:right w:val="none" w:sz="0" w:space="0" w:color="auto"/>
      </w:divBdr>
      <w:divsChild>
        <w:div w:id="712115340">
          <w:marLeft w:val="547"/>
          <w:marRight w:val="0"/>
          <w:marTop w:val="100"/>
          <w:marBottom w:val="0"/>
          <w:divBdr>
            <w:top w:val="none" w:sz="0" w:space="0" w:color="auto"/>
            <w:left w:val="none" w:sz="0" w:space="0" w:color="auto"/>
            <w:bottom w:val="none" w:sz="0" w:space="0" w:color="auto"/>
            <w:right w:val="none" w:sz="0" w:space="0" w:color="auto"/>
          </w:divBdr>
        </w:div>
        <w:div w:id="973485804">
          <w:marLeft w:val="547"/>
          <w:marRight w:val="0"/>
          <w:marTop w:val="220"/>
          <w:marBottom w:val="0"/>
          <w:divBdr>
            <w:top w:val="none" w:sz="0" w:space="0" w:color="auto"/>
            <w:left w:val="none" w:sz="0" w:space="0" w:color="auto"/>
            <w:bottom w:val="none" w:sz="0" w:space="0" w:color="auto"/>
            <w:right w:val="none" w:sz="0" w:space="0" w:color="auto"/>
          </w:divBdr>
        </w:div>
        <w:div w:id="1025982601">
          <w:marLeft w:val="1080"/>
          <w:marRight w:val="0"/>
          <w:marTop w:val="100"/>
          <w:marBottom w:val="0"/>
          <w:divBdr>
            <w:top w:val="none" w:sz="0" w:space="0" w:color="auto"/>
            <w:left w:val="none" w:sz="0" w:space="0" w:color="auto"/>
            <w:bottom w:val="none" w:sz="0" w:space="0" w:color="auto"/>
            <w:right w:val="none" w:sz="0" w:space="0" w:color="auto"/>
          </w:divBdr>
        </w:div>
        <w:div w:id="1132476512">
          <w:marLeft w:val="547"/>
          <w:marRight w:val="0"/>
          <w:marTop w:val="100"/>
          <w:marBottom w:val="0"/>
          <w:divBdr>
            <w:top w:val="none" w:sz="0" w:space="0" w:color="auto"/>
            <w:left w:val="none" w:sz="0" w:space="0" w:color="auto"/>
            <w:bottom w:val="none" w:sz="0" w:space="0" w:color="auto"/>
            <w:right w:val="none" w:sz="0" w:space="0" w:color="auto"/>
          </w:divBdr>
        </w:div>
        <w:div w:id="1347899270">
          <w:marLeft w:val="1080"/>
          <w:marRight w:val="0"/>
          <w:marTop w:val="100"/>
          <w:marBottom w:val="0"/>
          <w:divBdr>
            <w:top w:val="none" w:sz="0" w:space="0" w:color="auto"/>
            <w:left w:val="none" w:sz="0" w:space="0" w:color="auto"/>
            <w:bottom w:val="none" w:sz="0" w:space="0" w:color="auto"/>
            <w:right w:val="none" w:sz="0" w:space="0" w:color="auto"/>
          </w:divBdr>
        </w:div>
        <w:div w:id="1432167794">
          <w:marLeft w:val="1080"/>
          <w:marRight w:val="0"/>
          <w:marTop w:val="100"/>
          <w:marBottom w:val="0"/>
          <w:divBdr>
            <w:top w:val="none" w:sz="0" w:space="0" w:color="auto"/>
            <w:left w:val="none" w:sz="0" w:space="0" w:color="auto"/>
            <w:bottom w:val="none" w:sz="0" w:space="0" w:color="auto"/>
            <w:right w:val="none" w:sz="0" w:space="0" w:color="auto"/>
          </w:divBdr>
        </w:div>
        <w:div w:id="1719629046">
          <w:marLeft w:val="1080"/>
          <w:marRight w:val="0"/>
          <w:marTop w:val="100"/>
          <w:marBottom w:val="0"/>
          <w:divBdr>
            <w:top w:val="none" w:sz="0" w:space="0" w:color="auto"/>
            <w:left w:val="none" w:sz="0" w:space="0" w:color="auto"/>
            <w:bottom w:val="none" w:sz="0" w:space="0" w:color="auto"/>
            <w:right w:val="none" w:sz="0" w:space="0" w:color="auto"/>
          </w:divBdr>
        </w:div>
        <w:div w:id="2022390312">
          <w:marLeft w:val="1080"/>
          <w:marRight w:val="0"/>
          <w:marTop w:val="100"/>
          <w:marBottom w:val="0"/>
          <w:divBdr>
            <w:top w:val="none" w:sz="0" w:space="0" w:color="auto"/>
            <w:left w:val="none" w:sz="0" w:space="0" w:color="auto"/>
            <w:bottom w:val="none" w:sz="0" w:space="0" w:color="auto"/>
            <w:right w:val="none" w:sz="0" w:space="0" w:color="auto"/>
          </w:divBdr>
        </w:div>
      </w:divsChild>
    </w:div>
    <w:div w:id="1985114330">
      <w:bodyDiv w:val="1"/>
      <w:marLeft w:val="0"/>
      <w:marRight w:val="0"/>
      <w:marTop w:val="0"/>
      <w:marBottom w:val="0"/>
      <w:divBdr>
        <w:top w:val="none" w:sz="0" w:space="0" w:color="auto"/>
        <w:left w:val="none" w:sz="0" w:space="0" w:color="auto"/>
        <w:bottom w:val="none" w:sz="0" w:space="0" w:color="auto"/>
        <w:right w:val="none" w:sz="0" w:space="0" w:color="auto"/>
      </w:divBdr>
    </w:div>
    <w:div w:id="2017070978">
      <w:bodyDiv w:val="1"/>
      <w:marLeft w:val="0"/>
      <w:marRight w:val="0"/>
      <w:marTop w:val="0"/>
      <w:marBottom w:val="0"/>
      <w:divBdr>
        <w:top w:val="none" w:sz="0" w:space="0" w:color="auto"/>
        <w:left w:val="none" w:sz="0" w:space="0" w:color="auto"/>
        <w:bottom w:val="none" w:sz="0" w:space="0" w:color="auto"/>
        <w:right w:val="none" w:sz="0" w:space="0" w:color="auto"/>
      </w:divBdr>
    </w:div>
    <w:div w:id="2027823663">
      <w:bodyDiv w:val="1"/>
      <w:marLeft w:val="0"/>
      <w:marRight w:val="0"/>
      <w:marTop w:val="0"/>
      <w:marBottom w:val="0"/>
      <w:divBdr>
        <w:top w:val="none" w:sz="0" w:space="0" w:color="auto"/>
        <w:left w:val="none" w:sz="0" w:space="0" w:color="auto"/>
        <w:bottom w:val="none" w:sz="0" w:space="0" w:color="auto"/>
        <w:right w:val="none" w:sz="0" w:space="0" w:color="auto"/>
      </w:divBdr>
    </w:div>
    <w:div w:id="2076924746">
      <w:bodyDiv w:val="1"/>
      <w:marLeft w:val="0"/>
      <w:marRight w:val="0"/>
      <w:marTop w:val="0"/>
      <w:marBottom w:val="0"/>
      <w:divBdr>
        <w:top w:val="none" w:sz="0" w:space="0" w:color="auto"/>
        <w:left w:val="none" w:sz="0" w:space="0" w:color="auto"/>
        <w:bottom w:val="none" w:sz="0" w:space="0" w:color="auto"/>
        <w:right w:val="none" w:sz="0" w:space="0" w:color="auto"/>
      </w:divBdr>
      <w:divsChild>
        <w:div w:id="136150117">
          <w:marLeft w:val="763"/>
          <w:marRight w:val="0"/>
          <w:marTop w:val="0"/>
          <w:marBottom w:val="0"/>
          <w:divBdr>
            <w:top w:val="none" w:sz="0" w:space="0" w:color="auto"/>
            <w:left w:val="none" w:sz="0" w:space="0" w:color="auto"/>
            <w:bottom w:val="none" w:sz="0" w:space="0" w:color="auto"/>
            <w:right w:val="none" w:sz="0" w:space="0" w:color="auto"/>
          </w:divBdr>
        </w:div>
        <w:div w:id="390353790">
          <w:marLeft w:val="1987"/>
          <w:marRight w:val="0"/>
          <w:marTop w:val="0"/>
          <w:marBottom w:val="0"/>
          <w:divBdr>
            <w:top w:val="none" w:sz="0" w:space="0" w:color="auto"/>
            <w:left w:val="none" w:sz="0" w:space="0" w:color="auto"/>
            <w:bottom w:val="none" w:sz="0" w:space="0" w:color="auto"/>
            <w:right w:val="none" w:sz="0" w:space="0" w:color="auto"/>
          </w:divBdr>
        </w:div>
        <w:div w:id="878736989">
          <w:marLeft w:val="1987"/>
          <w:marRight w:val="0"/>
          <w:marTop w:val="0"/>
          <w:marBottom w:val="0"/>
          <w:divBdr>
            <w:top w:val="none" w:sz="0" w:space="0" w:color="auto"/>
            <w:left w:val="none" w:sz="0" w:space="0" w:color="auto"/>
            <w:bottom w:val="none" w:sz="0" w:space="0" w:color="auto"/>
            <w:right w:val="none" w:sz="0" w:space="0" w:color="auto"/>
          </w:divBdr>
        </w:div>
        <w:div w:id="889732980">
          <w:marLeft w:val="1987"/>
          <w:marRight w:val="0"/>
          <w:marTop w:val="0"/>
          <w:marBottom w:val="0"/>
          <w:divBdr>
            <w:top w:val="none" w:sz="0" w:space="0" w:color="auto"/>
            <w:left w:val="none" w:sz="0" w:space="0" w:color="auto"/>
            <w:bottom w:val="none" w:sz="0" w:space="0" w:color="auto"/>
            <w:right w:val="none" w:sz="0" w:space="0" w:color="auto"/>
          </w:divBdr>
        </w:div>
        <w:div w:id="1772358150">
          <w:marLeft w:val="1354"/>
          <w:marRight w:val="0"/>
          <w:marTop w:val="0"/>
          <w:marBottom w:val="0"/>
          <w:divBdr>
            <w:top w:val="none" w:sz="0" w:space="0" w:color="auto"/>
            <w:left w:val="none" w:sz="0" w:space="0" w:color="auto"/>
            <w:bottom w:val="none" w:sz="0" w:space="0" w:color="auto"/>
            <w:right w:val="none" w:sz="0" w:space="0" w:color="auto"/>
          </w:divBdr>
        </w:div>
        <w:div w:id="1804686865">
          <w:marLeft w:val="1354"/>
          <w:marRight w:val="0"/>
          <w:marTop w:val="0"/>
          <w:marBottom w:val="0"/>
          <w:divBdr>
            <w:top w:val="none" w:sz="0" w:space="0" w:color="auto"/>
            <w:left w:val="none" w:sz="0" w:space="0" w:color="auto"/>
            <w:bottom w:val="none" w:sz="0" w:space="0" w:color="auto"/>
            <w:right w:val="none" w:sz="0" w:space="0" w:color="auto"/>
          </w:divBdr>
        </w:div>
        <w:div w:id="2109739594">
          <w:marLeft w:val="1987"/>
          <w:marRight w:val="0"/>
          <w:marTop w:val="0"/>
          <w:marBottom w:val="0"/>
          <w:divBdr>
            <w:top w:val="none" w:sz="0" w:space="0" w:color="auto"/>
            <w:left w:val="none" w:sz="0" w:space="0" w:color="auto"/>
            <w:bottom w:val="none" w:sz="0" w:space="0" w:color="auto"/>
            <w:right w:val="none" w:sz="0" w:space="0" w:color="auto"/>
          </w:divBdr>
        </w:div>
      </w:divsChild>
    </w:div>
    <w:div w:id="2083671158">
      <w:bodyDiv w:val="1"/>
      <w:marLeft w:val="0"/>
      <w:marRight w:val="0"/>
      <w:marTop w:val="0"/>
      <w:marBottom w:val="0"/>
      <w:divBdr>
        <w:top w:val="none" w:sz="0" w:space="0" w:color="auto"/>
        <w:left w:val="none" w:sz="0" w:space="0" w:color="auto"/>
        <w:bottom w:val="none" w:sz="0" w:space="0" w:color="auto"/>
        <w:right w:val="none" w:sz="0" w:space="0" w:color="auto"/>
      </w:divBdr>
      <w:divsChild>
        <w:div w:id="5374049">
          <w:marLeft w:val="547"/>
          <w:marRight w:val="0"/>
          <w:marTop w:val="240"/>
          <w:marBottom w:val="0"/>
          <w:divBdr>
            <w:top w:val="none" w:sz="0" w:space="0" w:color="auto"/>
            <w:left w:val="none" w:sz="0" w:space="0" w:color="auto"/>
            <w:bottom w:val="none" w:sz="0" w:space="0" w:color="auto"/>
            <w:right w:val="none" w:sz="0" w:space="0" w:color="auto"/>
          </w:divBdr>
        </w:div>
        <w:div w:id="201066056">
          <w:marLeft w:val="547"/>
          <w:marRight w:val="0"/>
          <w:marTop w:val="240"/>
          <w:marBottom w:val="0"/>
          <w:divBdr>
            <w:top w:val="none" w:sz="0" w:space="0" w:color="auto"/>
            <w:left w:val="none" w:sz="0" w:space="0" w:color="auto"/>
            <w:bottom w:val="none" w:sz="0" w:space="0" w:color="auto"/>
            <w:right w:val="none" w:sz="0" w:space="0" w:color="auto"/>
          </w:divBdr>
        </w:div>
        <w:div w:id="344357734">
          <w:marLeft w:val="547"/>
          <w:marRight w:val="0"/>
          <w:marTop w:val="240"/>
          <w:marBottom w:val="0"/>
          <w:divBdr>
            <w:top w:val="none" w:sz="0" w:space="0" w:color="auto"/>
            <w:left w:val="none" w:sz="0" w:space="0" w:color="auto"/>
            <w:bottom w:val="none" w:sz="0" w:space="0" w:color="auto"/>
            <w:right w:val="none" w:sz="0" w:space="0" w:color="auto"/>
          </w:divBdr>
        </w:div>
        <w:div w:id="430395897">
          <w:marLeft w:val="547"/>
          <w:marRight w:val="0"/>
          <w:marTop w:val="240"/>
          <w:marBottom w:val="0"/>
          <w:divBdr>
            <w:top w:val="none" w:sz="0" w:space="0" w:color="auto"/>
            <w:left w:val="none" w:sz="0" w:space="0" w:color="auto"/>
            <w:bottom w:val="none" w:sz="0" w:space="0" w:color="auto"/>
            <w:right w:val="none" w:sz="0" w:space="0" w:color="auto"/>
          </w:divBdr>
        </w:div>
        <w:div w:id="1016889001">
          <w:marLeft w:val="547"/>
          <w:marRight w:val="0"/>
          <w:marTop w:val="240"/>
          <w:marBottom w:val="0"/>
          <w:divBdr>
            <w:top w:val="none" w:sz="0" w:space="0" w:color="auto"/>
            <w:left w:val="none" w:sz="0" w:space="0" w:color="auto"/>
            <w:bottom w:val="none" w:sz="0" w:space="0" w:color="auto"/>
            <w:right w:val="none" w:sz="0" w:space="0" w:color="auto"/>
          </w:divBdr>
        </w:div>
        <w:div w:id="1313825599">
          <w:marLeft w:val="547"/>
          <w:marRight w:val="0"/>
          <w:marTop w:val="240"/>
          <w:marBottom w:val="0"/>
          <w:divBdr>
            <w:top w:val="none" w:sz="0" w:space="0" w:color="auto"/>
            <w:left w:val="none" w:sz="0" w:space="0" w:color="auto"/>
            <w:bottom w:val="none" w:sz="0" w:space="0" w:color="auto"/>
            <w:right w:val="none" w:sz="0" w:space="0" w:color="auto"/>
          </w:divBdr>
        </w:div>
        <w:div w:id="1517965308">
          <w:marLeft w:val="547"/>
          <w:marRight w:val="0"/>
          <w:marTop w:val="240"/>
          <w:marBottom w:val="0"/>
          <w:divBdr>
            <w:top w:val="none" w:sz="0" w:space="0" w:color="auto"/>
            <w:left w:val="none" w:sz="0" w:space="0" w:color="auto"/>
            <w:bottom w:val="none" w:sz="0" w:space="0" w:color="auto"/>
            <w:right w:val="none" w:sz="0" w:space="0" w:color="auto"/>
          </w:divBdr>
        </w:div>
        <w:div w:id="1619989855">
          <w:marLeft w:val="547"/>
          <w:marRight w:val="0"/>
          <w:marTop w:val="240"/>
          <w:marBottom w:val="0"/>
          <w:divBdr>
            <w:top w:val="none" w:sz="0" w:space="0" w:color="auto"/>
            <w:left w:val="none" w:sz="0" w:space="0" w:color="auto"/>
            <w:bottom w:val="none" w:sz="0" w:space="0" w:color="auto"/>
            <w:right w:val="none" w:sz="0" w:space="0" w:color="auto"/>
          </w:divBdr>
        </w:div>
        <w:div w:id="1904442503">
          <w:marLeft w:val="547"/>
          <w:marRight w:val="0"/>
          <w:marTop w:val="240"/>
          <w:marBottom w:val="0"/>
          <w:divBdr>
            <w:top w:val="none" w:sz="0" w:space="0" w:color="auto"/>
            <w:left w:val="none" w:sz="0" w:space="0" w:color="auto"/>
            <w:bottom w:val="none" w:sz="0" w:space="0" w:color="auto"/>
            <w:right w:val="none" w:sz="0" w:space="0" w:color="auto"/>
          </w:divBdr>
        </w:div>
        <w:div w:id="2134397181">
          <w:marLeft w:val="547"/>
          <w:marRight w:val="0"/>
          <w:marTop w:val="240"/>
          <w:marBottom w:val="0"/>
          <w:divBdr>
            <w:top w:val="none" w:sz="0" w:space="0" w:color="auto"/>
            <w:left w:val="none" w:sz="0" w:space="0" w:color="auto"/>
            <w:bottom w:val="none" w:sz="0" w:space="0" w:color="auto"/>
            <w:right w:val="none" w:sz="0" w:space="0" w:color="auto"/>
          </w:divBdr>
        </w:div>
      </w:divsChild>
    </w:div>
    <w:div w:id="2098212285">
      <w:bodyDiv w:val="1"/>
      <w:marLeft w:val="0"/>
      <w:marRight w:val="0"/>
      <w:marTop w:val="0"/>
      <w:marBottom w:val="0"/>
      <w:divBdr>
        <w:top w:val="none" w:sz="0" w:space="0" w:color="auto"/>
        <w:left w:val="none" w:sz="0" w:space="0" w:color="auto"/>
        <w:bottom w:val="none" w:sz="0" w:space="0" w:color="auto"/>
        <w:right w:val="none" w:sz="0" w:space="0" w:color="auto"/>
      </w:divBdr>
      <w:divsChild>
        <w:div w:id="3215514">
          <w:marLeft w:val="1080"/>
          <w:marRight w:val="0"/>
          <w:marTop w:val="40"/>
          <w:marBottom w:val="0"/>
          <w:divBdr>
            <w:top w:val="none" w:sz="0" w:space="0" w:color="auto"/>
            <w:left w:val="none" w:sz="0" w:space="0" w:color="auto"/>
            <w:bottom w:val="none" w:sz="0" w:space="0" w:color="auto"/>
            <w:right w:val="none" w:sz="0" w:space="0" w:color="auto"/>
          </w:divBdr>
        </w:div>
        <w:div w:id="246353726">
          <w:marLeft w:val="1080"/>
          <w:marRight w:val="0"/>
          <w:marTop w:val="240"/>
          <w:marBottom w:val="0"/>
          <w:divBdr>
            <w:top w:val="none" w:sz="0" w:space="0" w:color="auto"/>
            <w:left w:val="none" w:sz="0" w:space="0" w:color="auto"/>
            <w:bottom w:val="none" w:sz="0" w:space="0" w:color="auto"/>
            <w:right w:val="none" w:sz="0" w:space="0" w:color="auto"/>
          </w:divBdr>
        </w:div>
        <w:div w:id="413430317">
          <w:marLeft w:val="547"/>
          <w:marRight w:val="0"/>
          <w:marTop w:val="60"/>
          <w:marBottom w:val="0"/>
          <w:divBdr>
            <w:top w:val="none" w:sz="0" w:space="0" w:color="auto"/>
            <w:left w:val="none" w:sz="0" w:space="0" w:color="auto"/>
            <w:bottom w:val="none" w:sz="0" w:space="0" w:color="auto"/>
            <w:right w:val="none" w:sz="0" w:space="0" w:color="auto"/>
          </w:divBdr>
        </w:div>
        <w:div w:id="607353931">
          <w:marLeft w:val="547"/>
          <w:marRight w:val="0"/>
          <w:marTop w:val="60"/>
          <w:marBottom w:val="0"/>
          <w:divBdr>
            <w:top w:val="none" w:sz="0" w:space="0" w:color="auto"/>
            <w:left w:val="none" w:sz="0" w:space="0" w:color="auto"/>
            <w:bottom w:val="none" w:sz="0" w:space="0" w:color="auto"/>
            <w:right w:val="none" w:sz="0" w:space="0" w:color="auto"/>
          </w:divBdr>
        </w:div>
        <w:div w:id="1800881740">
          <w:marLeft w:val="547"/>
          <w:marRight w:val="0"/>
          <w:marTop w:val="60"/>
          <w:marBottom w:val="0"/>
          <w:divBdr>
            <w:top w:val="none" w:sz="0" w:space="0" w:color="auto"/>
            <w:left w:val="none" w:sz="0" w:space="0" w:color="auto"/>
            <w:bottom w:val="none" w:sz="0" w:space="0" w:color="auto"/>
            <w:right w:val="none" w:sz="0" w:space="0" w:color="auto"/>
          </w:divBdr>
        </w:div>
      </w:divsChild>
    </w:div>
    <w:div w:id="2102485573">
      <w:bodyDiv w:val="1"/>
      <w:marLeft w:val="0"/>
      <w:marRight w:val="0"/>
      <w:marTop w:val="0"/>
      <w:marBottom w:val="0"/>
      <w:divBdr>
        <w:top w:val="none" w:sz="0" w:space="0" w:color="auto"/>
        <w:left w:val="none" w:sz="0" w:space="0" w:color="auto"/>
        <w:bottom w:val="none" w:sz="0" w:space="0" w:color="auto"/>
        <w:right w:val="none" w:sz="0" w:space="0" w:color="auto"/>
      </w:divBdr>
      <w:divsChild>
        <w:div w:id="149906916">
          <w:marLeft w:val="1685"/>
          <w:marRight w:val="0"/>
          <w:marTop w:val="60"/>
          <w:marBottom w:val="0"/>
          <w:divBdr>
            <w:top w:val="none" w:sz="0" w:space="0" w:color="auto"/>
            <w:left w:val="none" w:sz="0" w:space="0" w:color="auto"/>
            <w:bottom w:val="none" w:sz="0" w:space="0" w:color="auto"/>
            <w:right w:val="none" w:sz="0" w:space="0" w:color="auto"/>
          </w:divBdr>
        </w:div>
        <w:div w:id="789977217">
          <w:marLeft w:val="1426"/>
          <w:marRight w:val="0"/>
          <w:marTop w:val="60"/>
          <w:marBottom w:val="0"/>
          <w:divBdr>
            <w:top w:val="none" w:sz="0" w:space="0" w:color="auto"/>
            <w:left w:val="none" w:sz="0" w:space="0" w:color="auto"/>
            <w:bottom w:val="none" w:sz="0" w:space="0" w:color="auto"/>
            <w:right w:val="none" w:sz="0" w:space="0" w:color="auto"/>
          </w:divBdr>
        </w:div>
        <w:div w:id="1243758265">
          <w:marLeft w:val="965"/>
          <w:marRight w:val="0"/>
          <w:marTop w:val="60"/>
          <w:marBottom w:val="0"/>
          <w:divBdr>
            <w:top w:val="none" w:sz="0" w:space="0" w:color="auto"/>
            <w:left w:val="none" w:sz="0" w:space="0" w:color="auto"/>
            <w:bottom w:val="none" w:sz="0" w:space="0" w:color="auto"/>
            <w:right w:val="none" w:sz="0" w:space="0" w:color="auto"/>
          </w:divBdr>
        </w:div>
        <w:div w:id="1254047634">
          <w:marLeft w:val="850"/>
          <w:marRight w:val="0"/>
          <w:marTop w:val="60"/>
          <w:marBottom w:val="0"/>
          <w:divBdr>
            <w:top w:val="none" w:sz="0" w:space="0" w:color="auto"/>
            <w:left w:val="none" w:sz="0" w:space="0" w:color="auto"/>
            <w:bottom w:val="none" w:sz="0" w:space="0" w:color="auto"/>
            <w:right w:val="none" w:sz="0" w:space="0" w:color="auto"/>
          </w:divBdr>
        </w:div>
        <w:div w:id="1264652106">
          <w:marLeft w:val="1426"/>
          <w:marRight w:val="0"/>
          <w:marTop w:val="60"/>
          <w:marBottom w:val="0"/>
          <w:divBdr>
            <w:top w:val="none" w:sz="0" w:space="0" w:color="auto"/>
            <w:left w:val="none" w:sz="0" w:space="0" w:color="auto"/>
            <w:bottom w:val="none" w:sz="0" w:space="0" w:color="auto"/>
            <w:right w:val="none" w:sz="0" w:space="0" w:color="auto"/>
          </w:divBdr>
        </w:div>
        <w:div w:id="1406682723">
          <w:marLeft w:val="1426"/>
          <w:marRight w:val="0"/>
          <w:marTop w:val="60"/>
          <w:marBottom w:val="0"/>
          <w:divBdr>
            <w:top w:val="none" w:sz="0" w:space="0" w:color="auto"/>
            <w:left w:val="none" w:sz="0" w:space="0" w:color="auto"/>
            <w:bottom w:val="none" w:sz="0" w:space="0" w:color="auto"/>
            <w:right w:val="none" w:sz="0" w:space="0" w:color="auto"/>
          </w:divBdr>
        </w:div>
        <w:div w:id="1483690112">
          <w:marLeft w:val="965"/>
          <w:marRight w:val="0"/>
          <w:marTop w:val="60"/>
          <w:marBottom w:val="0"/>
          <w:divBdr>
            <w:top w:val="none" w:sz="0" w:space="0" w:color="auto"/>
            <w:left w:val="none" w:sz="0" w:space="0" w:color="auto"/>
            <w:bottom w:val="none" w:sz="0" w:space="0" w:color="auto"/>
            <w:right w:val="none" w:sz="0" w:space="0" w:color="auto"/>
          </w:divBdr>
        </w:div>
        <w:div w:id="1679191288">
          <w:marLeft w:val="1426"/>
          <w:marRight w:val="0"/>
          <w:marTop w:val="60"/>
          <w:marBottom w:val="0"/>
          <w:divBdr>
            <w:top w:val="none" w:sz="0" w:space="0" w:color="auto"/>
            <w:left w:val="none" w:sz="0" w:space="0" w:color="auto"/>
            <w:bottom w:val="none" w:sz="0" w:space="0" w:color="auto"/>
            <w:right w:val="none" w:sz="0" w:space="0" w:color="auto"/>
          </w:divBdr>
        </w:div>
        <w:div w:id="1706253329">
          <w:marLeft w:val="1426"/>
          <w:marRight w:val="0"/>
          <w:marTop w:val="60"/>
          <w:marBottom w:val="0"/>
          <w:divBdr>
            <w:top w:val="none" w:sz="0" w:space="0" w:color="auto"/>
            <w:left w:val="none" w:sz="0" w:space="0" w:color="auto"/>
            <w:bottom w:val="none" w:sz="0" w:space="0" w:color="auto"/>
            <w:right w:val="none" w:sz="0" w:space="0" w:color="auto"/>
          </w:divBdr>
        </w:div>
        <w:div w:id="1886141250">
          <w:marLeft w:val="1426"/>
          <w:marRight w:val="0"/>
          <w:marTop w:val="60"/>
          <w:marBottom w:val="0"/>
          <w:divBdr>
            <w:top w:val="none" w:sz="0" w:space="0" w:color="auto"/>
            <w:left w:val="none" w:sz="0" w:space="0" w:color="auto"/>
            <w:bottom w:val="none" w:sz="0" w:space="0" w:color="auto"/>
            <w:right w:val="none" w:sz="0" w:space="0" w:color="auto"/>
          </w:divBdr>
        </w:div>
        <w:div w:id="1955476479">
          <w:marLeft w:val="1426"/>
          <w:marRight w:val="0"/>
          <w:marTop w:val="60"/>
          <w:marBottom w:val="0"/>
          <w:divBdr>
            <w:top w:val="none" w:sz="0" w:space="0" w:color="auto"/>
            <w:left w:val="none" w:sz="0" w:space="0" w:color="auto"/>
            <w:bottom w:val="none" w:sz="0" w:space="0" w:color="auto"/>
            <w:right w:val="none" w:sz="0" w:space="0" w:color="auto"/>
          </w:divBdr>
        </w:div>
      </w:divsChild>
    </w:div>
    <w:div w:id="2125464295">
      <w:bodyDiv w:val="1"/>
      <w:marLeft w:val="0"/>
      <w:marRight w:val="0"/>
      <w:marTop w:val="0"/>
      <w:marBottom w:val="0"/>
      <w:divBdr>
        <w:top w:val="none" w:sz="0" w:space="0" w:color="auto"/>
        <w:left w:val="none" w:sz="0" w:space="0" w:color="auto"/>
        <w:bottom w:val="none" w:sz="0" w:space="0" w:color="auto"/>
        <w:right w:val="none" w:sz="0" w:space="0" w:color="auto"/>
      </w:divBdr>
    </w:div>
    <w:div w:id="2139253575">
      <w:bodyDiv w:val="1"/>
      <w:marLeft w:val="0"/>
      <w:marRight w:val="0"/>
      <w:marTop w:val="0"/>
      <w:marBottom w:val="0"/>
      <w:divBdr>
        <w:top w:val="none" w:sz="0" w:space="0" w:color="auto"/>
        <w:left w:val="none" w:sz="0" w:space="0" w:color="auto"/>
        <w:bottom w:val="none" w:sz="0" w:space="0" w:color="auto"/>
        <w:right w:val="none" w:sz="0" w:space="0" w:color="auto"/>
      </w:divBdr>
      <w:divsChild>
        <w:div w:id="71897911">
          <w:marLeft w:val="2405"/>
          <w:marRight w:val="0"/>
          <w:marTop w:val="0"/>
          <w:marBottom w:val="0"/>
          <w:divBdr>
            <w:top w:val="none" w:sz="0" w:space="0" w:color="auto"/>
            <w:left w:val="none" w:sz="0" w:space="0" w:color="auto"/>
            <w:bottom w:val="none" w:sz="0" w:space="0" w:color="auto"/>
            <w:right w:val="none" w:sz="0" w:space="0" w:color="auto"/>
          </w:divBdr>
        </w:div>
        <w:div w:id="213473643">
          <w:marLeft w:val="1426"/>
          <w:marRight w:val="0"/>
          <w:marTop w:val="255"/>
          <w:marBottom w:val="0"/>
          <w:divBdr>
            <w:top w:val="none" w:sz="0" w:space="0" w:color="auto"/>
            <w:left w:val="none" w:sz="0" w:space="0" w:color="auto"/>
            <w:bottom w:val="none" w:sz="0" w:space="0" w:color="auto"/>
            <w:right w:val="none" w:sz="0" w:space="0" w:color="auto"/>
          </w:divBdr>
        </w:div>
        <w:div w:id="373500869">
          <w:marLeft w:val="2146"/>
          <w:marRight w:val="0"/>
          <w:marTop w:val="0"/>
          <w:marBottom w:val="0"/>
          <w:divBdr>
            <w:top w:val="none" w:sz="0" w:space="0" w:color="auto"/>
            <w:left w:val="none" w:sz="0" w:space="0" w:color="auto"/>
            <w:bottom w:val="none" w:sz="0" w:space="0" w:color="auto"/>
            <w:right w:val="none" w:sz="0" w:space="0" w:color="auto"/>
          </w:divBdr>
        </w:div>
        <w:div w:id="528252319">
          <w:marLeft w:val="2146"/>
          <w:marRight w:val="0"/>
          <w:marTop w:val="0"/>
          <w:marBottom w:val="0"/>
          <w:divBdr>
            <w:top w:val="none" w:sz="0" w:space="0" w:color="auto"/>
            <w:left w:val="none" w:sz="0" w:space="0" w:color="auto"/>
            <w:bottom w:val="none" w:sz="0" w:space="0" w:color="auto"/>
            <w:right w:val="none" w:sz="0" w:space="0" w:color="auto"/>
          </w:divBdr>
        </w:div>
        <w:div w:id="699009999">
          <w:marLeft w:val="2146"/>
          <w:marRight w:val="0"/>
          <w:marTop w:val="0"/>
          <w:marBottom w:val="0"/>
          <w:divBdr>
            <w:top w:val="none" w:sz="0" w:space="0" w:color="auto"/>
            <w:left w:val="none" w:sz="0" w:space="0" w:color="auto"/>
            <w:bottom w:val="none" w:sz="0" w:space="0" w:color="auto"/>
            <w:right w:val="none" w:sz="0" w:space="0" w:color="auto"/>
          </w:divBdr>
        </w:div>
        <w:div w:id="809205171">
          <w:marLeft w:val="2146"/>
          <w:marRight w:val="0"/>
          <w:marTop w:val="0"/>
          <w:marBottom w:val="0"/>
          <w:divBdr>
            <w:top w:val="none" w:sz="0" w:space="0" w:color="auto"/>
            <w:left w:val="none" w:sz="0" w:space="0" w:color="auto"/>
            <w:bottom w:val="none" w:sz="0" w:space="0" w:color="auto"/>
            <w:right w:val="none" w:sz="0" w:space="0" w:color="auto"/>
          </w:divBdr>
        </w:div>
        <w:div w:id="858658934">
          <w:marLeft w:val="1426"/>
          <w:marRight w:val="0"/>
          <w:marTop w:val="255"/>
          <w:marBottom w:val="0"/>
          <w:divBdr>
            <w:top w:val="none" w:sz="0" w:space="0" w:color="auto"/>
            <w:left w:val="none" w:sz="0" w:space="0" w:color="auto"/>
            <w:bottom w:val="none" w:sz="0" w:space="0" w:color="auto"/>
            <w:right w:val="none" w:sz="0" w:space="0" w:color="auto"/>
          </w:divBdr>
        </w:div>
        <w:div w:id="976184237">
          <w:marLeft w:val="2146"/>
          <w:marRight w:val="0"/>
          <w:marTop w:val="0"/>
          <w:marBottom w:val="0"/>
          <w:divBdr>
            <w:top w:val="none" w:sz="0" w:space="0" w:color="auto"/>
            <w:left w:val="none" w:sz="0" w:space="0" w:color="auto"/>
            <w:bottom w:val="none" w:sz="0" w:space="0" w:color="auto"/>
            <w:right w:val="none" w:sz="0" w:space="0" w:color="auto"/>
          </w:divBdr>
        </w:div>
        <w:div w:id="1297686707">
          <w:marLeft w:val="2405"/>
          <w:marRight w:val="0"/>
          <w:marTop w:val="0"/>
          <w:marBottom w:val="0"/>
          <w:divBdr>
            <w:top w:val="none" w:sz="0" w:space="0" w:color="auto"/>
            <w:left w:val="none" w:sz="0" w:space="0" w:color="auto"/>
            <w:bottom w:val="none" w:sz="0" w:space="0" w:color="auto"/>
            <w:right w:val="none" w:sz="0" w:space="0" w:color="auto"/>
          </w:divBdr>
        </w:div>
        <w:div w:id="1478836227">
          <w:marLeft w:val="1426"/>
          <w:marRight w:val="0"/>
          <w:marTop w:val="255"/>
          <w:marBottom w:val="0"/>
          <w:divBdr>
            <w:top w:val="none" w:sz="0" w:space="0" w:color="auto"/>
            <w:left w:val="none" w:sz="0" w:space="0" w:color="auto"/>
            <w:bottom w:val="none" w:sz="0" w:space="0" w:color="auto"/>
            <w:right w:val="none" w:sz="0" w:space="0" w:color="auto"/>
          </w:divBdr>
        </w:div>
        <w:div w:id="1530022876">
          <w:marLeft w:val="1426"/>
          <w:marRight w:val="0"/>
          <w:marTop w:val="255"/>
          <w:marBottom w:val="0"/>
          <w:divBdr>
            <w:top w:val="none" w:sz="0" w:space="0" w:color="auto"/>
            <w:left w:val="none" w:sz="0" w:space="0" w:color="auto"/>
            <w:bottom w:val="none" w:sz="0" w:space="0" w:color="auto"/>
            <w:right w:val="none" w:sz="0" w:space="0" w:color="auto"/>
          </w:divBdr>
        </w:div>
        <w:div w:id="1731077974">
          <w:marLeft w:val="2146"/>
          <w:marRight w:val="0"/>
          <w:marTop w:val="0"/>
          <w:marBottom w:val="0"/>
          <w:divBdr>
            <w:top w:val="none" w:sz="0" w:space="0" w:color="auto"/>
            <w:left w:val="none" w:sz="0" w:space="0" w:color="auto"/>
            <w:bottom w:val="none" w:sz="0" w:space="0" w:color="auto"/>
            <w:right w:val="none" w:sz="0" w:space="0" w:color="auto"/>
          </w:divBdr>
        </w:div>
        <w:div w:id="1921984832">
          <w:marLeft w:val="2146"/>
          <w:marRight w:val="0"/>
          <w:marTop w:val="0"/>
          <w:marBottom w:val="0"/>
          <w:divBdr>
            <w:top w:val="none" w:sz="0" w:space="0" w:color="auto"/>
            <w:left w:val="none" w:sz="0" w:space="0" w:color="auto"/>
            <w:bottom w:val="none" w:sz="0" w:space="0" w:color="auto"/>
            <w:right w:val="none" w:sz="0" w:space="0" w:color="auto"/>
          </w:divBdr>
        </w:div>
        <w:div w:id="1980452810">
          <w:marLeft w:val="2146"/>
          <w:marRight w:val="0"/>
          <w:marTop w:val="0"/>
          <w:marBottom w:val="0"/>
          <w:divBdr>
            <w:top w:val="none" w:sz="0" w:space="0" w:color="auto"/>
            <w:left w:val="none" w:sz="0" w:space="0" w:color="auto"/>
            <w:bottom w:val="none" w:sz="0" w:space="0" w:color="auto"/>
            <w:right w:val="none" w:sz="0" w:space="0" w:color="auto"/>
          </w:divBdr>
        </w:div>
        <w:div w:id="2024168793">
          <w:marLeft w:val="2146"/>
          <w:marRight w:val="0"/>
          <w:marTop w:val="0"/>
          <w:marBottom w:val="0"/>
          <w:divBdr>
            <w:top w:val="none" w:sz="0" w:space="0" w:color="auto"/>
            <w:left w:val="none" w:sz="0" w:space="0" w:color="auto"/>
            <w:bottom w:val="none" w:sz="0" w:space="0" w:color="auto"/>
            <w:right w:val="none" w:sz="0" w:space="0" w:color="auto"/>
          </w:divBdr>
        </w:div>
        <w:div w:id="2133359133">
          <w:marLeft w:val="21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mailto:diellor.gashi@rks-gov.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file:///\\192.168.0.250\HSIK%20Data\DEMOS\&#8226;DEMOS%20-%202018-2021\2%20-%20POLICY%20SUPPORT\2.2%20PBGS%20implementation\1%20-%20MPG%20assessment\Cycle%204%20Summer%202020\1%20-%20MPG%20Rules\1.%20Reassessment%20-%20New%20Rules\trim.berisha@rks-gov.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C6FC4-2A7C-43BE-A22D-6048EF1F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14826</Words>
  <Characters>84509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Evaluation of the District Rural Development Programme (DRDP)</vt:lpstr>
    </vt:vector>
  </TitlesOfParts>
  <Company>ETC East Africa</Company>
  <LinksUpToDate>false</LinksUpToDate>
  <CharactersWithSpaces>99137</CharactersWithSpaces>
  <SharedDoc>false</SharedDoc>
  <HLinks>
    <vt:vector size="18" baseType="variant">
      <vt:variant>
        <vt:i4>655397</vt:i4>
      </vt:variant>
      <vt:variant>
        <vt:i4>126</vt:i4>
      </vt:variant>
      <vt:variant>
        <vt:i4>0</vt:i4>
      </vt:variant>
      <vt:variant>
        <vt:i4>5</vt:i4>
      </vt:variant>
      <vt:variant>
        <vt:lpwstr>mailto:diellor.gashi@rks-gov.net</vt:lpwstr>
      </vt:variant>
      <vt:variant>
        <vt:lpwstr/>
      </vt:variant>
      <vt:variant>
        <vt:i4>4792372</vt:i4>
      </vt:variant>
      <vt:variant>
        <vt:i4>123</vt:i4>
      </vt:variant>
      <vt:variant>
        <vt:i4>0</vt:i4>
      </vt:variant>
      <vt:variant>
        <vt:i4>5</vt:i4>
      </vt:variant>
      <vt:variant>
        <vt:lpwstr>\\192.168.0.250\HSIK Data\DEMOS\•DEMOS - 2018-2021\2 - POLICY SUPPORT\2.2 PBGS implementation\1 - MPG assessment\Cycle 4 Summer 2020\1 - MPG Rules\1. Reassessment - New Rules\trim.berisha@rks-gov.net</vt:lpwstr>
      </vt:variant>
      <vt:variant>
        <vt:lpwstr/>
      </vt:variant>
      <vt:variant>
        <vt:i4>4456564</vt:i4>
      </vt:variant>
      <vt:variant>
        <vt:i4>120</vt:i4>
      </vt:variant>
      <vt:variant>
        <vt:i4>0</vt:i4>
      </vt:variant>
      <vt:variant>
        <vt:i4>5</vt:i4>
      </vt:variant>
      <vt:variant>
        <vt:lpwstr>mailto:info.mapl@rks-gov.net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District Rural Development Programme (DRDP)</dc:title>
  <dc:subject/>
  <dc:creator>Gerhard  van 't Land</dc:creator>
  <cp:keywords/>
  <dc:description/>
  <cp:lastModifiedBy>Majlinda Jupolli</cp:lastModifiedBy>
  <cp:revision>3</cp:revision>
  <cp:lastPrinted>2022-07-29T09:11:00Z</cp:lastPrinted>
  <dcterms:created xsi:type="dcterms:W3CDTF">2022-08-11T07:17:00Z</dcterms:created>
  <dcterms:modified xsi:type="dcterms:W3CDTF">2022-08-11T14:21:00Z</dcterms:modified>
</cp:coreProperties>
</file>