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4BE7B" w14:textId="57A93318" w:rsidR="004D4457" w:rsidRDefault="004D4457" w:rsidP="004D4457">
      <w:pPr>
        <w:pBdr>
          <w:bottom w:val="single" w:sz="12" w:space="1" w:color="auto"/>
        </w:pBdr>
        <w:tabs>
          <w:tab w:val="left" w:pos="3773"/>
        </w:tabs>
        <w:spacing w:before="120"/>
        <w:rPr>
          <w:rFonts w:ascii="Arial" w:hAnsi="Arial"/>
          <w:bCs/>
          <w:color w:val="FF0000"/>
          <w:sz w:val="22"/>
          <w:szCs w:val="22"/>
          <w:lang w:val="en-GB"/>
        </w:rPr>
      </w:pPr>
    </w:p>
    <w:p w14:paraId="111A09D2" w14:textId="77777777" w:rsidR="00FD4A7E" w:rsidRPr="001E5747" w:rsidRDefault="00FD4A7E" w:rsidP="004D4457">
      <w:pPr>
        <w:pBdr>
          <w:bottom w:val="single" w:sz="12" w:space="1" w:color="auto"/>
        </w:pBdr>
        <w:tabs>
          <w:tab w:val="left" w:pos="3773"/>
        </w:tabs>
        <w:spacing w:before="120"/>
        <w:rPr>
          <w:rFonts w:ascii="Arial" w:hAnsi="Arial"/>
          <w:bCs/>
          <w:color w:val="FF0000"/>
          <w:sz w:val="22"/>
          <w:szCs w:val="22"/>
          <w:lang w:val="en-GB"/>
        </w:rPr>
      </w:pPr>
    </w:p>
    <w:p w14:paraId="348C45C2" w14:textId="77777777" w:rsidR="004D4457" w:rsidRPr="001E5747" w:rsidRDefault="004D4457" w:rsidP="004D4457">
      <w:pPr>
        <w:tabs>
          <w:tab w:val="left" w:pos="3773"/>
        </w:tabs>
        <w:spacing w:before="120"/>
        <w:rPr>
          <w:rFonts w:ascii="Arial" w:hAnsi="Arial"/>
          <w:bCs/>
          <w:color w:val="FF0000"/>
          <w:sz w:val="22"/>
          <w:szCs w:val="22"/>
          <w:lang w:val="en-GB"/>
        </w:rPr>
      </w:pPr>
    </w:p>
    <w:p w14:paraId="045CEB7D" w14:textId="77777777" w:rsidR="004D4457" w:rsidRPr="001E5747" w:rsidRDefault="004D4457" w:rsidP="004D4457">
      <w:pPr>
        <w:tabs>
          <w:tab w:val="left" w:pos="3773"/>
        </w:tabs>
        <w:spacing w:before="120"/>
        <w:rPr>
          <w:rFonts w:ascii="Arial" w:hAnsi="Arial"/>
          <w:bCs/>
          <w:color w:val="FF0000"/>
          <w:sz w:val="22"/>
          <w:szCs w:val="22"/>
          <w:lang w:val="en-GB"/>
        </w:rPr>
      </w:pPr>
    </w:p>
    <w:p w14:paraId="7BC2BCE0" w14:textId="77777777" w:rsidR="00B739C3" w:rsidRPr="001E5747" w:rsidRDefault="00B739C3" w:rsidP="00B739C3">
      <w:pPr>
        <w:tabs>
          <w:tab w:val="left" w:pos="3773"/>
        </w:tabs>
        <w:spacing w:before="120"/>
        <w:jc w:val="center"/>
        <w:rPr>
          <w:rFonts w:ascii="Arial" w:hAnsi="Arial"/>
          <w:bCs/>
          <w:color w:val="FF0000"/>
          <w:sz w:val="28"/>
          <w:szCs w:val="28"/>
          <w:lang w:val="en-GB"/>
        </w:rPr>
      </w:pPr>
      <w:bookmarkStart w:id="0" w:name="_Toc161855240"/>
      <w:bookmarkStart w:id="1" w:name="_Toc165912540"/>
      <w:bookmarkStart w:id="2" w:name="_Toc170004036"/>
      <w:bookmarkStart w:id="3" w:name="_Toc100390159"/>
      <w:r w:rsidRPr="001E5747">
        <w:rPr>
          <w:rFonts w:ascii="Arial" w:hAnsi="Arial"/>
          <w:bCs/>
          <w:color w:val="FF0000"/>
          <w:sz w:val="28"/>
          <w:szCs w:val="28"/>
          <w:lang w:val="en-GB"/>
        </w:rPr>
        <w:t>Rules of the</w:t>
      </w:r>
    </w:p>
    <w:p w14:paraId="78D4CC7E" w14:textId="77777777" w:rsidR="00B739C3" w:rsidRPr="001E5747" w:rsidRDefault="00B739C3" w:rsidP="00B739C3">
      <w:pPr>
        <w:tabs>
          <w:tab w:val="left" w:pos="3773"/>
        </w:tabs>
        <w:spacing w:before="120"/>
        <w:jc w:val="center"/>
        <w:rPr>
          <w:rFonts w:ascii="Arial" w:hAnsi="Arial"/>
          <w:bCs/>
          <w:color w:val="FF0000"/>
          <w:sz w:val="28"/>
          <w:szCs w:val="28"/>
          <w:lang w:val="en-GB"/>
        </w:rPr>
      </w:pPr>
    </w:p>
    <w:p w14:paraId="16B5E600" w14:textId="77777777" w:rsidR="00B739C3" w:rsidRPr="001E5747" w:rsidRDefault="00B739C3" w:rsidP="00B739C3">
      <w:pPr>
        <w:tabs>
          <w:tab w:val="left" w:pos="3773"/>
        </w:tabs>
        <w:spacing w:before="120"/>
        <w:jc w:val="center"/>
        <w:rPr>
          <w:rFonts w:ascii="Arial" w:hAnsi="Arial"/>
          <w:b/>
          <w:bCs/>
          <w:caps/>
          <w:color w:val="FF0000"/>
          <w:sz w:val="52"/>
          <w:szCs w:val="52"/>
          <w:lang w:val="en-GB"/>
        </w:rPr>
      </w:pPr>
      <w:r w:rsidRPr="001E5747">
        <w:rPr>
          <w:rFonts w:ascii="Arial" w:hAnsi="Arial"/>
          <w:b/>
          <w:bCs/>
          <w:caps/>
          <w:color w:val="FF0000"/>
          <w:sz w:val="52"/>
          <w:szCs w:val="52"/>
          <w:lang w:val="en-GB"/>
        </w:rPr>
        <w:t>MUNICIPAL PERFORMANCE GRANT</w:t>
      </w:r>
    </w:p>
    <w:p w14:paraId="5B455AF3" w14:textId="77777777" w:rsidR="00B739C3" w:rsidRPr="001E5747" w:rsidRDefault="00B739C3" w:rsidP="00B739C3">
      <w:pPr>
        <w:tabs>
          <w:tab w:val="left" w:pos="3773"/>
        </w:tabs>
        <w:spacing w:before="120"/>
        <w:jc w:val="center"/>
        <w:rPr>
          <w:rFonts w:ascii="Arial" w:hAnsi="Arial"/>
          <w:b/>
          <w:bCs/>
          <w:color w:val="FF0000"/>
          <w:sz w:val="28"/>
          <w:szCs w:val="28"/>
          <w:lang w:val="en-GB"/>
        </w:rPr>
      </w:pPr>
    </w:p>
    <w:p w14:paraId="0EBF0B06" w14:textId="2BD8AE03" w:rsidR="00B739C3" w:rsidRDefault="00B739C3" w:rsidP="00B739C3">
      <w:pPr>
        <w:tabs>
          <w:tab w:val="left" w:pos="3773"/>
        </w:tabs>
        <w:spacing w:before="120"/>
        <w:jc w:val="center"/>
        <w:rPr>
          <w:rFonts w:ascii="Arial" w:hAnsi="Arial"/>
          <w:bCs/>
          <w:color w:val="FF0000"/>
          <w:sz w:val="28"/>
          <w:szCs w:val="28"/>
          <w:lang w:val="en-GB"/>
        </w:rPr>
      </w:pPr>
      <w:r w:rsidRPr="001E5747">
        <w:rPr>
          <w:rFonts w:ascii="Arial" w:hAnsi="Arial"/>
          <w:bCs/>
          <w:color w:val="FF0000"/>
          <w:sz w:val="28"/>
          <w:szCs w:val="28"/>
          <w:lang w:val="en-GB"/>
        </w:rPr>
        <w:t xml:space="preserve"> for the fiscal year 202</w:t>
      </w:r>
      <w:r w:rsidR="00682BF2">
        <w:rPr>
          <w:rFonts w:ascii="Arial" w:hAnsi="Arial"/>
          <w:bCs/>
          <w:color w:val="FF0000"/>
          <w:sz w:val="28"/>
          <w:szCs w:val="28"/>
          <w:lang w:val="en-GB"/>
        </w:rPr>
        <w:t>3</w:t>
      </w:r>
    </w:p>
    <w:p w14:paraId="0DD75DF2" w14:textId="32987093" w:rsidR="00E537E1" w:rsidRPr="001E5747" w:rsidRDefault="00E537E1" w:rsidP="00B739C3">
      <w:pPr>
        <w:tabs>
          <w:tab w:val="left" w:pos="3773"/>
        </w:tabs>
        <w:spacing w:before="120"/>
        <w:jc w:val="center"/>
        <w:rPr>
          <w:rFonts w:ascii="Arial" w:hAnsi="Arial"/>
          <w:bCs/>
          <w:color w:val="FF0000"/>
          <w:sz w:val="28"/>
          <w:szCs w:val="28"/>
          <w:lang w:val="en-GB"/>
        </w:rPr>
      </w:pPr>
      <w:r>
        <w:rPr>
          <w:rFonts w:ascii="Arial" w:hAnsi="Arial"/>
          <w:bCs/>
          <w:color w:val="FF0000"/>
          <w:sz w:val="28"/>
          <w:szCs w:val="28"/>
          <w:lang w:val="en-GB"/>
        </w:rPr>
        <w:t>based on the performance assessment of fiscal year 202</w:t>
      </w:r>
      <w:r w:rsidR="00682BF2">
        <w:rPr>
          <w:rFonts w:ascii="Arial" w:hAnsi="Arial"/>
          <w:bCs/>
          <w:color w:val="FF0000"/>
          <w:sz w:val="28"/>
          <w:szCs w:val="28"/>
          <w:lang w:val="en-GB"/>
        </w:rPr>
        <w:t>1</w:t>
      </w:r>
    </w:p>
    <w:p w14:paraId="5216AA7D" w14:textId="77777777" w:rsidR="00B739C3" w:rsidRPr="001E5747" w:rsidRDefault="00B739C3" w:rsidP="00B739C3">
      <w:pPr>
        <w:spacing w:before="120" w:line="264" w:lineRule="auto"/>
        <w:jc w:val="center"/>
        <w:rPr>
          <w:rFonts w:ascii="Arial" w:hAnsi="Arial"/>
          <w:bCs/>
          <w:color w:val="FF0000"/>
          <w:sz w:val="28"/>
          <w:szCs w:val="28"/>
          <w:lang w:val="en-GB"/>
        </w:rPr>
      </w:pPr>
    </w:p>
    <w:p w14:paraId="4A9757EC" w14:textId="77777777" w:rsidR="00B739C3" w:rsidRPr="001E5747" w:rsidRDefault="00B739C3" w:rsidP="00B739C3">
      <w:pPr>
        <w:tabs>
          <w:tab w:val="left" w:pos="1655"/>
        </w:tabs>
        <w:spacing w:before="120" w:line="264" w:lineRule="auto"/>
        <w:jc w:val="both"/>
        <w:rPr>
          <w:rFonts w:ascii="Arial" w:hAnsi="Arial"/>
          <w:bCs/>
          <w:color w:val="FF0000"/>
          <w:sz w:val="22"/>
          <w:szCs w:val="32"/>
          <w:lang w:val="en-GB"/>
        </w:rPr>
      </w:pPr>
      <w:r w:rsidRPr="001E5747">
        <w:rPr>
          <w:rFonts w:ascii="Arial" w:hAnsi="Arial"/>
          <w:bCs/>
          <w:color w:val="FF0000"/>
          <w:sz w:val="22"/>
          <w:szCs w:val="32"/>
          <w:lang w:val="en-GB"/>
        </w:rPr>
        <w:tab/>
      </w:r>
    </w:p>
    <w:p w14:paraId="2B14E2C2" w14:textId="77777777" w:rsidR="00B739C3" w:rsidRPr="001E5747" w:rsidRDefault="00B739C3" w:rsidP="00B739C3">
      <w:pPr>
        <w:tabs>
          <w:tab w:val="left" w:pos="1655"/>
        </w:tabs>
        <w:spacing w:before="120" w:line="264" w:lineRule="auto"/>
        <w:jc w:val="both"/>
        <w:rPr>
          <w:rFonts w:ascii="Arial" w:hAnsi="Arial"/>
          <w:bCs/>
          <w:color w:val="FF0000"/>
          <w:sz w:val="22"/>
          <w:szCs w:val="32"/>
          <w:lang w:val="en-GB"/>
        </w:rPr>
      </w:pPr>
    </w:p>
    <w:p w14:paraId="5B4C0723" w14:textId="77777777" w:rsidR="00B739C3" w:rsidRPr="001E5747" w:rsidRDefault="00B739C3" w:rsidP="00B739C3">
      <w:pPr>
        <w:tabs>
          <w:tab w:val="left" w:pos="1655"/>
        </w:tabs>
        <w:spacing w:before="120" w:line="264" w:lineRule="auto"/>
        <w:jc w:val="both"/>
        <w:rPr>
          <w:rFonts w:ascii="Arial" w:hAnsi="Arial"/>
          <w:bCs/>
          <w:color w:val="FF0000"/>
          <w:sz w:val="22"/>
          <w:szCs w:val="32"/>
          <w:lang w:val="en-GB"/>
        </w:rPr>
      </w:pPr>
    </w:p>
    <w:p w14:paraId="0EBAC1AE" w14:textId="77777777" w:rsidR="00B739C3" w:rsidRPr="001E5747" w:rsidRDefault="00B739C3" w:rsidP="00B739C3">
      <w:pPr>
        <w:tabs>
          <w:tab w:val="left" w:pos="1655"/>
        </w:tabs>
        <w:spacing w:before="120" w:line="264" w:lineRule="auto"/>
        <w:jc w:val="both"/>
        <w:rPr>
          <w:rFonts w:ascii="Arial" w:hAnsi="Arial"/>
          <w:bCs/>
          <w:color w:val="FF0000"/>
          <w:sz w:val="22"/>
          <w:szCs w:val="32"/>
          <w:lang w:val="en-GB"/>
        </w:rPr>
      </w:pPr>
    </w:p>
    <w:p w14:paraId="2DA4DC45" w14:textId="77777777" w:rsidR="00B739C3" w:rsidRPr="001E5747" w:rsidRDefault="00B739C3" w:rsidP="00B739C3">
      <w:pPr>
        <w:tabs>
          <w:tab w:val="left" w:pos="1655"/>
        </w:tabs>
        <w:spacing w:before="120" w:line="264" w:lineRule="auto"/>
        <w:jc w:val="right"/>
        <w:rPr>
          <w:rFonts w:ascii="Arial" w:hAnsi="Arial"/>
          <w:bCs/>
          <w:color w:val="FF0000"/>
          <w:sz w:val="22"/>
          <w:szCs w:val="32"/>
          <w:lang w:val="en-GB"/>
        </w:rPr>
      </w:pPr>
    </w:p>
    <w:p w14:paraId="28A3156A" w14:textId="1D2375D2" w:rsidR="00B739C3" w:rsidRPr="001E5747" w:rsidRDefault="00682BF2" w:rsidP="00A75321">
      <w:pPr>
        <w:tabs>
          <w:tab w:val="left" w:pos="1655"/>
        </w:tabs>
        <w:spacing w:before="120" w:line="264" w:lineRule="auto"/>
        <w:jc w:val="center"/>
        <w:rPr>
          <w:rFonts w:ascii="Arial" w:hAnsi="Arial"/>
          <w:bCs/>
          <w:color w:val="FF0000"/>
          <w:sz w:val="22"/>
          <w:szCs w:val="32"/>
          <w:lang w:val="en-GB"/>
        </w:rPr>
      </w:pPr>
      <w:r>
        <w:rPr>
          <w:rFonts w:ascii="Arial" w:hAnsi="Arial"/>
          <w:bCs/>
          <w:color w:val="FF0000"/>
          <w:sz w:val="22"/>
          <w:szCs w:val="32"/>
          <w:lang w:val="en-GB"/>
        </w:rPr>
        <w:t>Gusht</w:t>
      </w:r>
      <w:r w:rsidR="00B739C3" w:rsidRPr="001E5747">
        <w:rPr>
          <w:rFonts w:ascii="Arial" w:hAnsi="Arial"/>
          <w:bCs/>
          <w:color w:val="FF0000"/>
          <w:sz w:val="22"/>
          <w:szCs w:val="32"/>
          <w:lang w:val="en-GB"/>
        </w:rPr>
        <w:t>, 202</w:t>
      </w:r>
      <w:r w:rsidR="00710329">
        <w:rPr>
          <w:rFonts w:ascii="Arial" w:hAnsi="Arial"/>
          <w:bCs/>
          <w:color w:val="FF0000"/>
          <w:sz w:val="22"/>
          <w:szCs w:val="32"/>
          <w:lang w:val="en-GB"/>
        </w:rPr>
        <w:t>2</w:t>
      </w:r>
    </w:p>
    <w:p w14:paraId="13794EE4" w14:textId="77777777" w:rsidR="00B739C3" w:rsidRPr="001E5747" w:rsidRDefault="00B739C3" w:rsidP="00B739C3">
      <w:pPr>
        <w:tabs>
          <w:tab w:val="left" w:pos="1655"/>
        </w:tabs>
        <w:spacing w:before="120" w:line="264" w:lineRule="auto"/>
        <w:jc w:val="both"/>
        <w:rPr>
          <w:rFonts w:ascii="Arial" w:hAnsi="Arial"/>
          <w:bCs/>
          <w:color w:val="000000" w:themeColor="text1"/>
          <w:sz w:val="22"/>
          <w:szCs w:val="32"/>
          <w:lang w:val="en-GB"/>
        </w:rPr>
      </w:pPr>
    </w:p>
    <w:p w14:paraId="2FD429F7" w14:textId="0BC2F6A5" w:rsidR="00B739C3" w:rsidRPr="001E5747" w:rsidRDefault="00B739C3" w:rsidP="00B739C3">
      <w:pPr>
        <w:jc w:val="right"/>
        <w:rPr>
          <w:rFonts w:asciiTheme="majorHAnsi" w:hAnsiTheme="majorHAnsi"/>
          <w:color w:val="000000" w:themeColor="text1"/>
          <w:sz w:val="18"/>
          <w:szCs w:val="18"/>
          <w:lang w:val="en-GB"/>
        </w:rPr>
      </w:pPr>
      <w:r w:rsidRPr="001E5747">
        <w:rPr>
          <w:rFonts w:asciiTheme="majorHAnsi" w:hAnsiTheme="majorHAnsi"/>
          <w:color w:val="000000" w:themeColor="text1"/>
          <w:sz w:val="18"/>
          <w:szCs w:val="18"/>
          <w:lang w:val="en-GB"/>
        </w:rPr>
        <w:t xml:space="preserve">With technical and financial support of: </w:t>
      </w:r>
    </w:p>
    <w:p w14:paraId="795AB7DA" w14:textId="517CD276" w:rsidR="00B739C3" w:rsidRPr="001E5747" w:rsidRDefault="00B64DC9" w:rsidP="00B739C3">
      <w:pPr>
        <w:jc w:val="right"/>
        <w:rPr>
          <w:rFonts w:asciiTheme="majorHAnsi" w:hAnsiTheme="majorHAnsi"/>
          <w:color w:val="000000" w:themeColor="text1"/>
          <w:sz w:val="18"/>
          <w:szCs w:val="18"/>
          <w:lang w:val="en-GB"/>
        </w:rPr>
      </w:pPr>
      <w:r>
        <w:rPr>
          <w:rFonts w:asciiTheme="majorHAnsi" w:hAnsiTheme="majorHAnsi"/>
          <w:noProof/>
          <w:sz w:val="21"/>
          <w:szCs w:val="21"/>
          <w:lang w:val="en-US"/>
        </w:rPr>
        <w:drawing>
          <wp:anchor distT="0" distB="0" distL="114300" distR="114300" simplePos="0" relativeHeight="251673600" behindDoc="0" locked="0" layoutInCell="1" allowOverlap="1" wp14:anchorId="2AF59076" wp14:editId="191AD4F9">
            <wp:simplePos x="0" y="0"/>
            <wp:positionH relativeFrom="column">
              <wp:posOffset>-526415</wp:posOffset>
            </wp:positionH>
            <wp:positionV relativeFrom="paragraph">
              <wp:posOffset>349885</wp:posOffset>
            </wp:positionV>
            <wp:extent cx="1619250" cy="402590"/>
            <wp:effectExtent l="0" t="0" r="0" b="0"/>
            <wp:wrapSquare wrapText="bothSides"/>
            <wp:docPr id="15" name="Picture 1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402590"/>
                    </a:xfrm>
                    <a:prstGeom prst="rect">
                      <a:avLst/>
                    </a:prstGeom>
                    <a:noFill/>
                  </pic:spPr>
                </pic:pic>
              </a:graphicData>
            </a:graphic>
          </wp:anchor>
        </w:drawing>
      </w:r>
      <w:r w:rsidRPr="0069038E">
        <w:rPr>
          <w:noProof/>
          <w:lang w:val="en-US"/>
        </w:rPr>
        <w:drawing>
          <wp:anchor distT="0" distB="0" distL="114300" distR="114300" simplePos="0" relativeHeight="251660288" behindDoc="0" locked="0" layoutInCell="1" allowOverlap="1" wp14:anchorId="3A981225" wp14:editId="64928D1D">
            <wp:simplePos x="0" y="0"/>
            <wp:positionH relativeFrom="column">
              <wp:posOffset>1188085</wp:posOffset>
            </wp:positionH>
            <wp:positionV relativeFrom="paragraph">
              <wp:posOffset>146050</wp:posOffset>
            </wp:positionV>
            <wp:extent cx="1695450" cy="89662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5450" cy="896620"/>
                    </a:xfrm>
                    <a:prstGeom prst="rect">
                      <a:avLst/>
                    </a:prstGeom>
                    <a:noFill/>
                  </pic:spPr>
                </pic:pic>
              </a:graphicData>
            </a:graphic>
            <wp14:sizeRelH relativeFrom="page">
              <wp14:pctWidth>0</wp14:pctWidth>
            </wp14:sizeRelH>
            <wp14:sizeRelV relativeFrom="page">
              <wp14:pctHeight>0</wp14:pctHeight>
            </wp14:sizeRelV>
          </wp:anchor>
        </w:drawing>
      </w:r>
      <w:r w:rsidRPr="0069038E">
        <w:rPr>
          <w:noProof/>
          <w:lang w:val="en-US"/>
        </w:rPr>
        <w:drawing>
          <wp:anchor distT="0" distB="0" distL="114300" distR="114300" simplePos="0" relativeHeight="251661312" behindDoc="0" locked="0" layoutInCell="1" allowOverlap="1" wp14:anchorId="5D5272E9" wp14:editId="6A50BBC5">
            <wp:simplePos x="0" y="0"/>
            <wp:positionH relativeFrom="margin">
              <wp:posOffset>3064510</wp:posOffset>
            </wp:positionH>
            <wp:positionV relativeFrom="paragraph">
              <wp:posOffset>271145</wp:posOffset>
            </wp:positionV>
            <wp:extent cx="1229360" cy="481330"/>
            <wp:effectExtent l="0" t="0" r="889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9360" cy="481330"/>
                    </a:xfrm>
                    <a:prstGeom prst="rect">
                      <a:avLst/>
                    </a:prstGeom>
                    <a:noFill/>
                  </pic:spPr>
                </pic:pic>
              </a:graphicData>
            </a:graphic>
            <wp14:sizeRelH relativeFrom="page">
              <wp14:pctWidth>0</wp14:pctWidth>
            </wp14:sizeRelH>
            <wp14:sizeRelV relativeFrom="page">
              <wp14:pctHeight>0</wp14:pctHeight>
            </wp14:sizeRelV>
          </wp:anchor>
        </w:drawing>
      </w:r>
      <w:r w:rsidRPr="0069038E">
        <w:rPr>
          <w:noProof/>
          <w:lang w:val="en-US"/>
        </w:rPr>
        <w:drawing>
          <wp:anchor distT="0" distB="0" distL="114300" distR="114300" simplePos="0" relativeHeight="251662336" behindDoc="0" locked="0" layoutInCell="1" allowOverlap="1" wp14:anchorId="443D9F4E" wp14:editId="4313154C">
            <wp:simplePos x="0" y="0"/>
            <wp:positionH relativeFrom="column">
              <wp:posOffset>4436110</wp:posOffset>
            </wp:positionH>
            <wp:positionV relativeFrom="paragraph">
              <wp:posOffset>299720</wp:posOffset>
            </wp:positionV>
            <wp:extent cx="1431290" cy="511810"/>
            <wp:effectExtent l="0" t="0" r="0" b="254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1290" cy="511810"/>
                    </a:xfrm>
                    <a:prstGeom prst="rect">
                      <a:avLst/>
                    </a:prstGeom>
                    <a:noFill/>
                  </pic:spPr>
                </pic:pic>
              </a:graphicData>
            </a:graphic>
            <wp14:sizeRelH relativeFrom="page">
              <wp14:pctWidth>0</wp14:pctWidth>
            </wp14:sizeRelH>
            <wp14:sizeRelV relativeFrom="page">
              <wp14:pctHeight>0</wp14:pctHeight>
            </wp14:sizeRelV>
          </wp:anchor>
        </w:drawing>
      </w:r>
    </w:p>
    <w:p w14:paraId="284C1F35" w14:textId="77777777" w:rsidR="00B739C3" w:rsidRPr="001E5747" w:rsidRDefault="00B739C3" w:rsidP="00B739C3">
      <w:pPr>
        <w:rPr>
          <w:rFonts w:ascii="Arial" w:hAnsi="Arial"/>
          <w:b/>
          <w:bCs/>
          <w:color w:val="000000" w:themeColor="text1"/>
          <w:sz w:val="28"/>
          <w:szCs w:val="28"/>
          <w:lang w:val="en-GB"/>
        </w:rPr>
        <w:sectPr w:rsidR="00B739C3" w:rsidRPr="001E5747" w:rsidSect="00B739C3">
          <w:headerReference w:type="default" r:id="rId12"/>
          <w:type w:val="continuous"/>
          <w:pgSz w:w="11909" w:h="16834"/>
          <w:pgMar w:top="709" w:right="1440" w:bottom="1729" w:left="1729" w:header="0" w:footer="0" w:gutter="0"/>
          <w:pgNumType w:start="0"/>
          <w:cols w:space="720"/>
        </w:sectPr>
      </w:pPr>
    </w:p>
    <w:p w14:paraId="0B55F538" w14:textId="1B702584" w:rsidR="00B739C3" w:rsidRPr="001E5747" w:rsidRDefault="00B739C3" w:rsidP="00B739C3">
      <w:pPr>
        <w:rPr>
          <w:rFonts w:asciiTheme="majorHAnsi" w:hAnsiTheme="majorHAnsi"/>
          <w:sz w:val="21"/>
          <w:szCs w:val="21"/>
          <w:lang w:val="en-GB"/>
        </w:rPr>
      </w:pPr>
    </w:p>
    <w:p w14:paraId="7BAD2B53" w14:textId="77777777" w:rsidR="00B739C3" w:rsidRPr="001E5747" w:rsidRDefault="00B739C3" w:rsidP="00B739C3">
      <w:pPr>
        <w:rPr>
          <w:rFonts w:asciiTheme="majorHAnsi" w:hAnsiTheme="majorHAnsi"/>
          <w:sz w:val="21"/>
          <w:szCs w:val="21"/>
          <w:lang w:val="en-GB"/>
        </w:rPr>
      </w:pPr>
    </w:p>
    <w:p w14:paraId="3D640205" w14:textId="77777777" w:rsidR="00B739C3" w:rsidRPr="001E5747" w:rsidRDefault="00B739C3" w:rsidP="00B739C3">
      <w:pPr>
        <w:rPr>
          <w:rFonts w:asciiTheme="majorHAnsi" w:hAnsiTheme="majorHAnsi"/>
          <w:sz w:val="21"/>
          <w:szCs w:val="21"/>
          <w:lang w:val="en-GB"/>
        </w:rPr>
      </w:pPr>
    </w:p>
    <w:p w14:paraId="40AE3ED3" w14:textId="77777777" w:rsidR="00B739C3" w:rsidRPr="001E5747" w:rsidRDefault="00B739C3" w:rsidP="00B739C3">
      <w:pPr>
        <w:rPr>
          <w:rFonts w:asciiTheme="majorHAnsi" w:hAnsiTheme="majorHAnsi"/>
          <w:sz w:val="21"/>
          <w:szCs w:val="21"/>
          <w:lang w:val="en-GB"/>
        </w:rPr>
      </w:pPr>
    </w:p>
    <w:p w14:paraId="77AD09A7" w14:textId="77777777" w:rsidR="00B739C3" w:rsidRPr="001E5747" w:rsidRDefault="00B739C3" w:rsidP="00B739C3">
      <w:pPr>
        <w:rPr>
          <w:rFonts w:asciiTheme="majorHAnsi" w:hAnsiTheme="majorHAnsi"/>
          <w:sz w:val="21"/>
          <w:szCs w:val="21"/>
          <w:lang w:val="en-GB"/>
        </w:rPr>
      </w:pPr>
    </w:p>
    <w:p w14:paraId="09890597" w14:textId="77777777" w:rsidR="00B739C3" w:rsidRPr="001E5747" w:rsidRDefault="00A75321" w:rsidP="00B34556">
      <w:pPr>
        <w:rPr>
          <w:lang w:val="en-GB"/>
        </w:rPr>
      </w:pPr>
      <w:r w:rsidRPr="001E5747">
        <w:rPr>
          <w:rFonts w:asciiTheme="majorHAnsi" w:hAnsiTheme="majorHAnsi"/>
          <w:sz w:val="21"/>
          <w:szCs w:val="21"/>
          <w:lang w:val="en-GB"/>
        </w:rPr>
        <w:br w:type="page"/>
      </w:r>
      <w:r w:rsidR="00B739C3" w:rsidRPr="001E5747">
        <w:rPr>
          <w:lang w:val="en-GB"/>
        </w:rPr>
        <w:lastRenderedPageBreak/>
        <w:t>Table of contents</w:t>
      </w:r>
    </w:p>
    <w:p w14:paraId="68A83224" w14:textId="77777777" w:rsidR="00B739C3" w:rsidRPr="001E5747" w:rsidRDefault="00B739C3" w:rsidP="00B739C3">
      <w:pPr>
        <w:pStyle w:val="TOC1"/>
        <w:rPr>
          <w:noProof w:val="0"/>
          <w:lang w:val="en-GB"/>
        </w:rPr>
      </w:pPr>
    </w:p>
    <w:p w14:paraId="17988970" w14:textId="77777777" w:rsidR="00A0644E" w:rsidRPr="001E5747" w:rsidRDefault="00A0644E" w:rsidP="00A0644E">
      <w:pPr>
        <w:pBdr>
          <w:bottom w:val="single" w:sz="6" w:space="0" w:color="auto"/>
        </w:pBdr>
        <w:tabs>
          <w:tab w:val="left" w:pos="574"/>
          <w:tab w:val="right" w:leader="dot" w:pos="8751"/>
        </w:tabs>
        <w:spacing w:before="40"/>
        <w:ind w:left="992" w:hanging="425"/>
        <w:rPr>
          <w:rFonts w:ascii="Calibri" w:eastAsia="Times New Roman" w:hAnsi="Calibri"/>
          <w:bCs/>
          <w:color w:val="000000"/>
          <w:sz w:val="21"/>
          <w:szCs w:val="21"/>
          <w:lang w:val="en-GB"/>
        </w:rPr>
      </w:pPr>
      <w:r w:rsidRPr="001E5747">
        <w:rPr>
          <w:rFonts w:ascii="Cambria" w:eastAsia="Times New Roman" w:hAnsi="Cambria"/>
          <w:bCs/>
          <w:color w:val="000000"/>
          <w:sz w:val="21"/>
          <w:szCs w:val="21"/>
          <w:lang w:val="en-GB"/>
        </w:rPr>
        <w:t>Foreword</w:t>
      </w:r>
      <w:r w:rsidRPr="001E5747">
        <w:rPr>
          <w:rFonts w:ascii="Cambria" w:eastAsia="Times New Roman" w:hAnsi="Cambria"/>
          <w:bCs/>
          <w:color w:val="000000"/>
          <w:sz w:val="21"/>
          <w:szCs w:val="21"/>
          <w:lang w:val="en-GB"/>
        </w:rPr>
        <w:tab/>
      </w:r>
    </w:p>
    <w:p w14:paraId="51DD58EA" w14:textId="06BC4D5C" w:rsidR="00A0644E" w:rsidRPr="001E5747" w:rsidRDefault="00A0644E" w:rsidP="00A0644E">
      <w:pPr>
        <w:pBdr>
          <w:bottom w:val="single" w:sz="6" w:space="0" w:color="auto"/>
        </w:pBdr>
        <w:tabs>
          <w:tab w:val="left" w:pos="574"/>
          <w:tab w:val="left" w:pos="992"/>
          <w:tab w:val="right" w:leader="dot" w:pos="8751"/>
        </w:tabs>
        <w:spacing w:before="40"/>
        <w:ind w:left="992" w:hanging="425"/>
        <w:rPr>
          <w:rFonts w:ascii="Calibri" w:eastAsia="Times New Roman" w:hAnsi="Calibri"/>
          <w:bCs/>
          <w:color w:val="000000"/>
          <w:sz w:val="21"/>
          <w:szCs w:val="21"/>
          <w:lang w:val="en-GB"/>
        </w:rPr>
      </w:pPr>
      <w:r w:rsidRPr="001E5747">
        <w:rPr>
          <w:rFonts w:ascii="Cambria" w:eastAsia="Times New Roman" w:hAnsi="Cambria"/>
          <w:bCs/>
          <w:color w:val="000000"/>
          <w:sz w:val="21"/>
          <w:szCs w:val="21"/>
          <w:lang w:val="en-GB"/>
        </w:rPr>
        <w:t>1.</w:t>
      </w:r>
      <w:r w:rsidRPr="001E5747">
        <w:rPr>
          <w:rFonts w:ascii="Calibri" w:eastAsia="Times New Roman" w:hAnsi="Calibri"/>
          <w:bCs/>
          <w:color w:val="000000"/>
          <w:sz w:val="21"/>
          <w:szCs w:val="21"/>
          <w:lang w:val="en-GB"/>
        </w:rPr>
        <w:tab/>
      </w:r>
      <w:r w:rsidRPr="001E5747">
        <w:rPr>
          <w:rFonts w:ascii="Cambria" w:eastAsia="Times New Roman" w:hAnsi="Cambria"/>
          <w:bCs/>
          <w:color w:val="000000"/>
          <w:sz w:val="21"/>
          <w:szCs w:val="21"/>
          <w:lang w:val="en-GB"/>
        </w:rPr>
        <w:t>Municipal Performance Grant - Introduction</w:t>
      </w:r>
      <w:r w:rsidRPr="001E5747">
        <w:rPr>
          <w:rFonts w:ascii="Cambria" w:eastAsia="Times New Roman" w:hAnsi="Cambria"/>
          <w:bCs/>
          <w:color w:val="000000"/>
          <w:sz w:val="21"/>
          <w:szCs w:val="21"/>
          <w:lang w:val="en-GB"/>
        </w:rPr>
        <w:tab/>
      </w:r>
      <w:r w:rsidRPr="001E5747">
        <w:rPr>
          <w:rFonts w:ascii="Cambria" w:eastAsia="Times New Roman" w:hAnsi="Cambria"/>
          <w:bCs/>
          <w:color w:val="000000"/>
          <w:sz w:val="21"/>
          <w:szCs w:val="21"/>
          <w:lang w:val="en-GB"/>
        </w:rPr>
        <w:fldChar w:fldCharType="begin"/>
      </w:r>
      <w:r w:rsidRPr="001E5747">
        <w:rPr>
          <w:rFonts w:ascii="Cambria" w:eastAsia="Times New Roman" w:hAnsi="Cambria"/>
          <w:bCs/>
          <w:color w:val="000000"/>
          <w:sz w:val="21"/>
          <w:szCs w:val="21"/>
          <w:lang w:val="en-GB"/>
        </w:rPr>
        <w:instrText xml:space="preserve"> PAGEREF _Toc61062510 \h </w:instrText>
      </w:r>
      <w:r w:rsidRPr="001E5747">
        <w:rPr>
          <w:rFonts w:ascii="Cambria" w:eastAsia="Times New Roman" w:hAnsi="Cambria"/>
          <w:bCs/>
          <w:color w:val="000000"/>
          <w:sz w:val="21"/>
          <w:szCs w:val="21"/>
          <w:lang w:val="en-GB"/>
        </w:rPr>
      </w:r>
      <w:r w:rsidRPr="001E5747">
        <w:rPr>
          <w:rFonts w:ascii="Cambria" w:eastAsia="Times New Roman" w:hAnsi="Cambria"/>
          <w:bCs/>
          <w:color w:val="000000"/>
          <w:sz w:val="21"/>
          <w:szCs w:val="21"/>
          <w:lang w:val="en-GB"/>
        </w:rPr>
        <w:fldChar w:fldCharType="separate"/>
      </w:r>
      <w:r w:rsidR="00A25A8C">
        <w:rPr>
          <w:rFonts w:ascii="Cambria" w:eastAsia="Times New Roman" w:hAnsi="Cambria"/>
          <w:bCs/>
          <w:noProof/>
          <w:color w:val="000000"/>
          <w:sz w:val="21"/>
          <w:szCs w:val="21"/>
          <w:lang w:val="en-GB"/>
        </w:rPr>
        <w:t>7</w:t>
      </w:r>
      <w:r w:rsidRPr="001E5747">
        <w:rPr>
          <w:rFonts w:ascii="Cambria" w:eastAsia="Times New Roman" w:hAnsi="Cambria"/>
          <w:bCs/>
          <w:color w:val="000000"/>
          <w:sz w:val="21"/>
          <w:szCs w:val="21"/>
          <w:lang w:val="en-GB"/>
        </w:rPr>
        <w:fldChar w:fldCharType="end"/>
      </w:r>
    </w:p>
    <w:p w14:paraId="33A8F0EF" w14:textId="77777777" w:rsidR="00A0644E" w:rsidRPr="001E5747" w:rsidRDefault="00A0644E" w:rsidP="00A0644E">
      <w:pPr>
        <w:pBdr>
          <w:bottom w:val="single" w:sz="6" w:space="0" w:color="auto"/>
        </w:pBdr>
        <w:tabs>
          <w:tab w:val="left" w:pos="574"/>
          <w:tab w:val="left" w:pos="1200"/>
          <w:tab w:val="right" w:leader="dot" w:pos="8751"/>
        </w:tabs>
        <w:spacing w:before="40"/>
        <w:ind w:left="992" w:hanging="425"/>
        <w:rPr>
          <w:rFonts w:ascii="Calibri" w:eastAsia="Times New Roman" w:hAnsi="Calibri"/>
          <w:bCs/>
          <w:color w:val="000000"/>
          <w:sz w:val="21"/>
          <w:szCs w:val="21"/>
          <w:lang w:val="en-GB"/>
        </w:rPr>
      </w:pPr>
      <w:r w:rsidRPr="001E5747">
        <w:rPr>
          <w:rFonts w:ascii="Cambria" w:eastAsia="Times New Roman" w:hAnsi="Cambria"/>
          <w:bCs/>
          <w:color w:val="000000"/>
          <w:sz w:val="21"/>
          <w:szCs w:val="21"/>
          <w:lang w:val="en-GB"/>
        </w:rPr>
        <w:t>1.1</w:t>
      </w:r>
      <w:r w:rsidRPr="001E5747">
        <w:rPr>
          <w:rFonts w:ascii="Calibri" w:eastAsia="Times New Roman" w:hAnsi="Calibri"/>
          <w:bCs/>
          <w:color w:val="000000"/>
          <w:sz w:val="21"/>
          <w:szCs w:val="21"/>
          <w:lang w:val="en-GB"/>
        </w:rPr>
        <w:tab/>
      </w:r>
      <w:r w:rsidRPr="001E5747">
        <w:rPr>
          <w:rFonts w:ascii="Cambria" w:eastAsia="Times New Roman" w:hAnsi="Cambria"/>
          <w:bCs/>
          <w:color w:val="000000"/>
          <w:sz w:val="21"/>
          <w:szCs w:val="21"/>
          <w:lang w:val="en-GB"/>
        </w:rPr>
        <w:t>Introduction</w:t>
      </w:r>
      <w:r w:rsidRPr="001E5747">
        <w:rPr>
          <w:rFonts w:ascii="Cambria" w:eastAsia="Times New Roman" w:hAnsi="Cambria"/>
          <w:bCs/>
          <w:color w:val="000000"/>
          <w:sz w:val="21"/>
          <w:szCs w:val="21"/>
          <w:lang w:val="en-GB"/>
        </w:rPr>
        <w:tab/>
      </w:r>
    </w:p>
    <w:p w14:paraId="732FD830" w14:textId="2163E733" w:rsidR="00A0644E" w:rsidRPr="001E5747" w:rsidRDefault="00A0644E" w:rsidP="00A0644E">
      <w:pPr>
        <w:pBdr>
          <w:bottom w:val="single" w:sz="6" w:space="0" w:color="auto"/>
        </w:pBdr>
        <w:tabs>
          <w:tab w:val="left" w:pos="574"/>
          <w:tab w:val="left" w:pos="1200"/>
          <w:tab w:val="right" w:leader="dot" w:pos="8751"/>
        </w:tabs>
        <w:spacing w:before="40"/>
        <w:ind w:left="992" w:hanging="425"/>
        <w:rPr>
          <w:rFonts w:ascii="Calibri" w:eastAsia="Times New Roman" w:hAnsi="Calibri"/>
          <w:bCs/>
          <w:color w:val="000000"/>
          <w:sz w:val="21"/>
          <w:szCs w:val="21"/>
          <w:lang w:val="en-GB"/>
        </w:rPr>
      </w:pPr>
      <w:r w:rsidRPr="001E5747">
        <w:rPr>
          <w:rFonts w:ascii="Cambria" w:eastAsia="Times New Roman" w:hAnsi="Cambria"/>
          <w:bCs/>
          <w:color w:val="000000"/>
          <w:sz w:val="21"/>
          <w:szCs w:val="21"/>
          <w:lang w:val="en-GB"/>
        </w:rPr>
        <w:t>1.2</w:t>
      </w:r>
      <w:r w:rsidRPr="001E5747">
        <w:rPr>
          <w:rFonts w:ascii="Calibri" w:eastAsia="Times New Roman" w:hAnsi="Calibri"/>
          <w:bCs/>
          <w:color w:val="000000"/>
          <w:sz w:val="21"/>
          <w:szCs w:val="21"/>
          <w:lang w:val="en-GB"/>
        </w:rPr>
        <w:tab/>
      </w:r>
      <w:r w:rsidRPr="001E5747">
        <w:rPr>
          <w:rFonts w:ascii="Cambria" w:eastAsia="Times New Roman" w:hAnsi="Cambria"/>
          <w:bCs/>
          <w:color w:val="000000"/>
          <w:sz w:val="21"/>
          <w:szCs w:val="21"/>
          <w:lang w:val="en-GB"/>
        </w:rPr>
        <w:t>Legal basis</w:t>
      </w:r>
      <w:r w:rsidRPr="001E5747">
        <w:rPr>
          <w:rFonts w:ascii="Cambria" w:eastAsia="Times New Roman" w:hAnsi="Cambria"/>
          <w:bCs/>
          <w:color w:val="000000"/>
          <w:sz w:val="21"/>
          <w:szCs w:val="21"/>
          <w:lang w:val="en-GB"/>
        </w:rPr>
        <w:tab/>
      </w:r>
      <w:r w:rsidRPr="001E5747">
        <w:rPr>
          <w:rFonts w:ascii="Cambria" w:eastAsia="Times New Roman" w:hAnsi="Cambria"/>
          <w:bCs/>
          <w:color w:val="000000"/>
          <w:sz w:val="21"/>
          <w:szCs w:val="21"/>
          <w:lang w:val="en-GB"/>
        </w:rPr>
        <w:fldChar w:fldCharType="begin"/>
      </w:r>
      <w:r w:rsidRPr="001E5747">
        <w:rPr>
          <w:rFonts w:ascii="Cambria" w:eastAsia="Times New Roman" w:hAnsi="Cambria"/>
          <w:bCs/>
          <w:color w:val="000000"/>
          <w:sz w:val="21"/>
          <w:szCs w:val="21"/>
          <w:lang w:val="en-GB"/>
        </w:rPr>
        <w:instrText xml:space="preserve"> PAGEREF _Toc61062512 \h </w:instrText>
      </w:r>
      <w:r w:rsidRPr="001E5747">
        <w:rPr>
          <w:rFonts w:ascii="Cambria" w:eastAsia="Times New Roman" w:hAnsi="Cambria"/>
          <w:bCs/>
          <w:color w:val="000000"/>
          <w:sz w:val="21"/>
          <w:szCs w:val="21"/>
          <w:lang w:val="en-GB"/>
        </w:rPr>
      </w:r>
      <w:r w:rsidRPr="001E5747">
        <w:rPr>
          <w:rFonts w:ascii="Cambria" w:eastAsia="Times New Roman" w:hAnsi="Cambria"/>
          <w:bCs/>
          <w:color w:val="000000"/>
          <w:sz w:val="21"/>
          <w:szCs w:val="21"/>
          <w:lang w:val="en-GB"/>
        </w:rPr>
        <w:fldChar w:fldCharType="separate"/>
      </w:r>
      <w:r w:rsidR="00A25A8C">
        <w:rPr>
          <w:rFonts w:ascii="Cambria" w:eastAsia="Times New Roman" w:hAnsi="Cambria"/>
          <w:bCs/>
          <w:noProof/>
          <w:color w:val="000000"/>
          <w:sz w:val="21"/>
          <w:szCs w:val="21"/>
          <w:lang w:val="en-GB"/>
        </w:rPr>
        <w:t>7</w:t>
      </w:r>
      <w:r w:rsidRPr="001E5747">
        <w:rPr>
          <w:rFonts w:ascii="Cambria" w:eastAsia="Times New Roman" w:hAnsi="Cambria"/>
          <w:bCs/>
          <w:color w:val="000000"/>
          <w:sz w:val="21"/>
          <w:szCs w:val="21"/>
          <w:lang w:val="en-GB"/>
        </w:rPr>
        <w:fldChar w:fldCharType="end"/>
      </w:r>
    </w:p>
    <w:p w14:paraId="0D85A1B3" w14:textId="48C7172D" w:rsidR="00A0644E" w:rsidRPr="001E5747" w:rsidRDefault="00A0644E" w:rsidP="00A0644E">
      <w:pPr>
        <w:pBdr>
          <w:bottom w:val="single" w:sz="6" w:space="0" w:color="auto"/>
        </w:pBdr>
        <w:tabs>
          <w:tab w:val="left" w:pos="574"/>
          <w:tab w:val="left" w:pos="1200"/>
          <w:tab w:val="right" w:leader="dot" w:pos="8751"/>
        </w:tabs>
        <w:spacing w:before="40"/>
        <w:ind w:left="992" w:hanging="425"/>
        <w:rPr>
          <w:rFonts w:ascii="Calibri" w:eastAsia="Times New Roman" w:hAnsi="Calibri"/>
          <w:bCs/>
          <w:color w:val="000000"/>
          <w:sz w:val="21"/>
          <w:szCs w:val="21"/>
          <w:lang w:val="en-GB"/>
        </w:rPr>
      </w:pPr>
      <w:r w:rsidRPr="001E5747">
        <w:rPr>
          <w:rFonts w:ascii="Cambria" w:eastAsia="Times New Roman" w:hAnsi="Cambria"/>
          <w:bCs/>
          <w:color w:val="000000"/>
          <w:sz w:val="21"/>
          <w:szCs w:val="21"/>
          <w:lang w:val="en-GB"/>
        </w:rPr>
        <w:t>1.3</w:t>
      </w:r>
      <w:r w:rsidRPr="001E5747">
        <w:rPr>
          <w:rFonts w:ascii="Calibri" w:eastAsia="Times New Roman" w:hAnsi="Calibri"/>
          <w:bCs/>
          <w:color w:val="000000"/>
          <w:sz w:val="21"/>
          <w:szCs w:val="21"/>
          <w:lang w:val="en-GB"/>
        </w:rPr>
        <w:tab/>
      </w:r>
      <w:r w:rsidRPr="001E5747">
        <w:rPr>
          <w:rFonts w:ascii="Cambria" w:eastAsia="Times New Roman" w:hAnsi="Cambria"/>
          <w:bCs/>
          <w:color w:val="000000"/>
          <w:sz w:val="21"/>
          <w:szCs w:val="21"/>
          <w:lang w:val="en-GB"/>
        </w:rPr>
        <w:t>Purpose</w:t>
      </w:r>
      <w:r w:rsidRPr="001E5747">
        <w:rPr>
          <w:rFonts w:ascii="Cambria" w:eastAsia="Times New Roman" w:hAnsi="Cambria"/>
          <w:bCs/>
          <w:color w:val="000000"/>
          <w:sz w:val="21"/>
          <w:szCs w:val="21"/>
          <w:lang w:val="en-GB"/>
        </w:rPr>
        <w:tab/>
      </w:r>
      <w:r w:rsidRPr="001E5747">
        <w:rPr>
          <w:rFonts w:ascii="Cambria" w:eastAsia="Times New Roman" w:hAnsi="Cambria"/>
          <w:bCs/>
          <w:color w:val="000000"/>
          <w:sz w:val="21"/>
          <w:szCs w:val="21"/>
          <w:lang w:val="en-GB"/>
        </w:rPr>
        <w:fldChar w:fldCharType="begin"/>
      </w:r>
      <w:r w:rsidRPr="001E5747">
        <w:rPr>
          <w:rFonts w:ascii="Cambria" w:eastAsia="Times New Roman" w:hAnsi="Cambria"/>
          <w:bCs/>
          <w:color w:val="000000"/>
          <w:sz w:val="21"/>
          <w:szCs w:val="21"/>
          <w:lang w:val="en-GB"/>
        </w:rPr>
        <w:instrText xml:space="preserve"> PAGEREF _Toc61062514 \h </w:instrText>
      </w:r>
      <w:r w:rsidRPr="001E5747">
        <w:rPr>
          <w:rFonts w:ascii="Cambria" w:eastAsia="Times New Roman" w:hAnsi="Cambria"/>
          <w:bCs/>
          <w:color w:val="000000"/>
          <w:sz w:val="21"/>
          <w:szCs w:val="21"/>
          <w:lang w:val="en-GB"/>
        </w:rPr>
      </w:r>
      <w:r w:rsidRPr="001E5747">
        <w:rPr>
          <w:rFonts w:ascii="Cambria" w:eastAsia="Times New Roman" w:hAnsi="Cambria"/>
          <w:bCs/>
          <w:color w:val="000000"/>
          <w:sz w:val="21"/>
          <w:szCs w:val="21"/>
          <w:lang w:val="en-GB"/>
        </w:rPr>
        <w:fldChar w:fldCharType="separate"/>
      </w:r>
      <w:r w:rsidR="00A25A8C">
        <w:rPr>
          <w:rFonts w:ascii="Cambria" w:eastAsia="Times New Roman" w:hAnsi="Cambria"/>
          <w:bCs/>
          <w:noProof/>
          <w:color w:val="000000"/>
          <w:sz w:val="21"/>
          <w:szCs w:val="21"/>
          <w:lang w:val="en-GB"/>
        </w:rPr>
        <w:t>8</w:t>
      </w:r>
      <w:r w:rsidRPr="001E5747">
        <w:rPr>
          <w:rFonts w:ascii="Cambria" w:eastAsia="Times New Roman" w:hAnsi="Cambria"/>
          <w:bCs/>
          <w:color w:val="000000"/>
          <w:sz w:val="21"/>
          <w:szCs w:val="21"/>
          <w:lang w:val="en-GB"/>
        </w:rPr>
        <w:fldChar w:fldCharType="end"/>
      </w:r>
    </w:p>
    <w:p w14:paraId="5A991808" w14:textId="209FF626" w:rsidR="00A0644E" w:rsidRPr="001E5747" w:rsidRDefault="00A0644E" w:rsidP="00A0644E">
      <w:pPr>
        <w:pBdr>
          <w:bottom w:val="single" w:sz="6" w:space="0" w:color="auto"/>
        </w:pBdr>
        <w:tabs>
          <w:tab w:val="left" w:pos="574"/>
          <w:tab w:val="left" w:pos="1200"/>
          <w:tab w:val="right" w:leader="dot" w:pos="8751"/>
        </w:tabs>
        <w:spacing w:before="40"/>
        <w:ind w:left="992" w:hanging="425"/>
        <w:rPr>
          <w:rFonts w:ascii="Calibri" w:eastAsia="Times New Roman" w:hAnsi="Calibri"/>
          <w:bCs/>
          <w:color w:val="000000"/>
          <w:sz w:val="21"/>
          <w:szCs w:val="21"/>
          <w:lang w:val="en-GB"/>
        </w:rPr>
      </w:pPr>
      <w:r w:rsidRPr="001E5747">
        <w:rPr>
          <w:rFonts w:ascii="Cambria" w:eastAsia="Times New Roman" w:hAnsi="Cambria"/>
          <w:bCs/>
          <w:color w:val="000000"/>
          <w:sz w:val="21"/>
          <w:szCs w:val="21"/>
          <w:lang w:val="en-GB"/>
        </w:rPr>
        <w:t>1.4</w:t>
      </w:r>
      <w:r w:rsidRPr="001E5747">
        <w:rPr>
          <w:rFonts w:ascii="Calibri" w:eastAsia="Times New Roman" w:hAnsi="Calibri"/>
          <w:bCs/>
          <w:color w:val="000000"/>
          <w:sz w:val="21"/>
          <w:szCs w:val="21"/>
          <w:lang w:val="en-GB"/>
        </w:rPr>
        <w:tab/>
      </w:r>
      <w:r w:rsidRPr="001E5747">
        <w:rPr>
          <w:rFonts w:ascii="Cambria" w:eastAsia="Times New Roman" w:hAnsi="Cambria"/>
          <w:bCs/>
          <w:color w:val="000000"/>
          <w:sz w:val="21"/>
          <w:szCs w:val="21"/>
          <w:lang w:val="en-GB"/>
        </w:rPr>
        <w:t>Key topics</w:t>
      </w:r>
      <w:r w:rsidRPr="001E5747">
        <w:rPr>
          <w:rFonts w:ascii="Cambria" w:eastAsia="Times New Roman" w:hAnsi="Cambria"/>
          <w:bCs/>
          <w:color w:val="000000"/>
          <w:sz w:val="21"/>
          <w:szCs w:val="21"/>
          <w:lang w:val="en-GB"/>
        </w:rPr>
        <w:tab/>
      </w:r>
      <w:r w:rsidRPr="001E5747">
        <w:rPr>
          <w:rFonts w:ascii="Cambria" w:eastAsia="Times New Roman" w:hAnsi="Cambria"/>
          <w:bCs/>
          <w:color w:val="000000"/>
          <w:sz w:val="21"/>
          <w:szCs w:val="21"/>
          <w:lang w:val="en-GB"/>
        </w:rPr>
        <w:fldChar w:fldCharType="begin"/>
      </w:r>
      <w:r w:rsidRPr="001E5747">
        <w:rPr>
          <w:rFonts w:ascii="Cambria" w:eastAsia="Times New Roman" w:hAnsi="Cambria"/>
          <w:bCs/>
          <w:color w:val="000000"/>
          <w:sz w:val="21"/>
          <w:szCs w:val="21"/>
          <w:lang w:val="en-GB"/>
        </w:rPr>
        <w:instrText xml:space="preserve"> PAGEREF _Toc61062515 \h </w:instrText>
      </w:r>
      <w:r w:rsidRPr="001E5747">
        <w:rPr>
          <w:rFonts w:ascii="Cambria" w:eastAsia="Times New Roman" w:hAnsi="Cambria"/>
          <w:bCs/>
          <w:color w:val="000000"/>
          <w:sz w:val="21"/>
          <w:szCs w:val="21"/>
          <w:lang w:val="en-GB"/>
        </w:rPr>
      </w:r>
      <w:r w:rsidRPr="001E5747">
        <w:rPr>
          <w:rFonts w:ascii="Cambria" w:eastAsia="Times New Roman" w:hAnsi="Cambria"/>
          <w:bCs/>
          <w:color w:val="000000"/>
          <w:sz w:val="21"/>
          <w:szCs w:val="21"/>
          <w:lang w:val="en-GB"/>
        </w:rPr>
        <w:fldChar w:fldCharType="separate"/>
      </w:r>
      <w:r w:rsidR="00A25A8C">
        <w:rPr>
          <w:rFonts w:ascii="Cambria" w:eastAsia="Times New Roman" w:hAnsi="Cambria"/>
          <w:bCs/>
          <w:noProof/>
          <w:color w:val="000000"/>
          <w:sz w:val="21"/>
          <w:szCs w:val="21"/>
          <w:lang w:val="en-GB"/>
        </w:rPr>
        <w:t>8</w:t>
      </w:r>
      <w:r w:rsidRPr="001E5747">
        <w:rPr>
          <w:rFonts w:ascii="Cambria" w:eastAsia="Times New Roman" w:hAnsi="Cambria"/>
          <w:bCs/>
          <w:color w:val="000000"/>
          <w:sz w:val="21"/>
          <w:szCs w:val="21"/>
          <w:lang w:val="en-GB"/>
        </w:rPr>
        <w:fldChar w:fldCharType="end"/>
      </w:r>
    </w:p>
    <w:p w14:paraId="3E3BDA1A" w14:textId="6DE8DC95" w:rsidR="00A0644E" w:rsidRPr="001E5747" w:rsidRDefault="00A0644E" w:rsidP="00A0644E">
      <w:pPr>
        <w:pBdr>
          <w:bottom w:val="single" w:sz="6" w:space="0" w:color="auto"/>
        </w:pBdr>
        <w:tabs>
          <w:tab w:val="left" w:pos="574"/>
          <w:tab w:val="left" w:pos="1200"/>
          <w:tab w:val="right" w:leader="dot" w:pos="8751"/>
        </w:tabs>
        <w:spacing w:before="40"/>
        <w:ind w:left="992" w:hanging="425"/>
        <w:rPr>
          <w:rFonts w:ascii="Calibri" w:eastAsia="Times New Roman" w:hAnsi="Calibri"/>
          <w:bCs/>
          <w:color w:val="000000"/>
          <w:sz w:val="21"/>
          <w:szCs w:val="21"/>
          <w:lang w:val="en-GB"/>
        </w:rPr>
      </w:pPr>
      <w:r w:rsidRPr="001E5747">
        <w:rPr>
          <w:rFonts w:ascii="Cambria" w:eastAsia="Times New Roman" w:hAnsi="Cambria"/>
          <w:bCs/>
          <w:color w:val="000000"/>
          <w:sz w:val="21"/>
          <w:szCs w:val="21"/>
          <w:lang w:val="en-GB"/>
        </w:rPr>
        <w:t>1.5</w:t>
      </w:r>
      <w:r w:rsidRPr="001E5747">
        <w:rPr>
          <w:rFonts w:ascii="Calibri" w:eastAsia="Times New Roman" w:hAnsi="Calibri"/>
          <w:bCs/>
          <w:color w:val="000000"/>
          <w:sz w:val="21"/>
          <w:szCs w:val="21"/>
          <w:lang w:val="en-GB"/>
        </w:rPr>
        <w:tab/>
      </w:r>
      <w:r w:rsidRPr="001E5747">
        <w:rPr>
          <w:rFonts w:ascii="Cambria" w:eastAsia="Times New Roman" w:hAnsi="Cambria"/>
          <w:bCs/>
          <w:color w:val="000000"/>
          <w:sz w:val="21"/>
          <w:szCs w:val="21"/>
          <w:lang w:val="en-GB"/>
        </w:rPr>
        <w:t>Geographical coverage</w:t>
      </w:r>
      <w:r w:rsidRPr="001E5747">
        <w:rPr>
          <w:rFonts w:ascii="Cambria" w:eastAsia="Times New Roman" w:hAnsi="Cambria"/>
          <w:bCs/>
          <w:color w:val="000000"/>
          <w:sz w:val="21"/>
          <w:szCs w:val="21"/>
          <w:lang w:val="en-GB"/>
        </w:rPr>
        <w:tab/>
      </w:r>
      <w:r w:rsidRPr="001E5747">
        <w:rPr>
          <w:rFonts w:ascii="Cambria" w:eastAsia="Times New Roman" w:hAnsi="Cambria"/>
          <w:bCs/>
          <w:color w:val="000000"/>
          <w:sz w:val="21"/>
          <w:szCs w:val="21"/>
          <w:lang w:val="en-GB"/>
        </w:rPr>
        <w:fldChar w:fldCharType="begin"/>
      </w:r>
      <w:r w:rsidRPr="001E5747">
        <w:rPr>
          <w:rFonts w:ascii="Cambria" w:eastAsia="Times New Roman" w:hAnsi="Cambria"/>
          <w:bCs/>
          <w:color w:val="000000"/>
          <w:sz w:val="21"/>
          <w:szCs w:val="21"/>
          <w:lang w:val="en-GB"/>
        </w:rPr>
        <w:instrText xml:space="preserve"> PAGEREF _Toc61062516 \h </w:instrText>
      </w:r>
      <w:r w:rsidRPr="001E5747">
        <w:rPr>
          <w:rFonts w:ascii="Cambria" w:eastAsia="Times New Roman" w:hAnsi="Cambria"/>
          <w:bCs/>
          <w:color w:val="000000"/>
          <w:sz w:val="21"/>
          <w:szCs w:val="21"/>
          <w:lang w:val="en-GB"/>
        </w:rPr>
      </w:r>
      <w:r w:rsidRPr="001E5747">
        <w:rPr>
          <w:rFonts w:ascii="Cambria" w:eastAsia="Times New Roman" w:hAnsi="Cambria"/>
          <w:bCs/>
          <w:color w:val="000000"/>
          <w:sz w:val="21"/>
          <w:szCs w:val="21"/>
          <w:lang w:val="en-GB"/>
        </w:rPr>
        <w:fldChar w:fldCharType="separate"/>
      </w:r>
      <w:r w:rsidR="00A25A8C">
        <w:rPr>
          <w:rFonts w:ascii="Cambria" w:eastAsia="Times New Roman" w:hAnsi="Cambria"/>
          <w:bCs/>
          <w:noProof/>
          <w:color w:val="000000"/>
          <w:sz w:val="21"/>
          <w:szCs w:val="21"/>
          <w:lang w:val="en-GB"/>
        </w:rPr>
        <w:t>8</w:t>
      </w:r>
      <w:r w:rsidRPr="001E5747">
        <w:rPr>
          <w:rFonts w:ascii="Cambria" w:eastAsia="Times New Roman" w:hAnsi="Cambria"/>
          <w:bCs/>
          <w:color w:val="000000"/>
          <w:sz w:val="21"/>
          <w:szCs w:val="21"/>
          <w:lang w:val="en-GB"/>
        </w:rPr>
        <w:fldChar w:fldCharType="end"/>
      </w:r>
    </w:p>
    <w:p w14:paraId="192AE034" w14:textId="0CD92EF6" w:rsidR="00A0644E" w:rsidRPr="001E5747" w:rsidRDefault="00A0644E" w:rsidP="00A0644E">
      <w:pPr>
        <w:pBdr>
          <w:bottom w:val="single" w:sz="6" w:space="0" w:color="auto"/>
        </w:pBdr>
        <w:tabs>
          <w:tab w:val="left" w:pos="574"/>
          <w:tab w:val="left" w:pos="1200"/>
          <w:tab w:val="right" w:leader="dot" w:pos="8751"/>
        </w:tabs>
        <w:spacing w:before="40"/>
        <w:ind w:left="992" w:hanging="425"/>
        <w:rPr>
          <w:rFonts w:ascii="Calibri" w:eastAsia="Times New Roman" w:hAnsi="Calibri"/>
          <w:bCs/>
          <w:color w:val="000000"/>
          <w:sz w:val="21"/>
          <w:szCs w:val="21"/>
          <w:lang w:val="en-GB"/>
        </w:rPr>
      </w:pPr>
      <w:r w:rsidRPr="001E5747">
        <w:rPr>
          <w:rFonts w:ascii="Cambria" w:eastAsia="Times New Roman" w:hAnsi="Cambria"/>
          <w:bCs/>
          <w:color w:val="000000"/>
          <w:sz w:val="21"/>
          <w:szCs w:val="21"/>
          <w:lang w:val="en-GB"/>
        </w:rPr>
        <w:t>1.6</w:t>
      </w:r>
      <w:r w:rsidRPr="001E5747">
        <w:rPr>
          <w:rFonts w:ascii="Calibri" w:eastAsia="Times New Roman" w:hAnsi="Calibri"/>
          <w:bCs/>
          <w:color w:val="000000"/>
          <w:sz w:val="21"/>
          <w:szCs w:val="21"/>
          <w:lang w:val="en-GB"/>
        </w:rPr>
        <w:tab/>
      </w:r>
      <w:r w:rsidRPr="001E5747">
        <w:rPr>
          <w:rFonts w:ascii="Cambria" w:eastAsia="Times New Roman" w:hAnsi="Cambria"/>
          <w:bCs/>
          <w:color w:val="000000"/>
          <w:sz w:val="21"/>
          <w:szCs w:val="21"/>
          <w:lang w:val="en-GB"/>
        </w:rPr>
        <w:t>Strategic orientation</w:t>
      </w:r>
      <w:r w:rsidRPr="001E5747">
        <w:rPr>
          <w:rFonts w:ascii="Cambria" w:eastAsia="Times New Roman" w:hAnsi="Cambria"/>
          <w:bCs/>
          <w:color w:val="000000"/>
          <w:sz w:val="21"/>
          <w:szCs w:val="21"/>
          <w:lang w:val="en-GB"/>
        </w:rPr>
        <w:tab/>
      </w:r>
      <w:r w:rsidRPr="001E5747">
        <w:rPr>
          <w:rFonts w:ascii="Cambria" w:eastAsia="Times New Roman" w:hAnsi="Cambria"/>
          <w:bCs/>
          <w:color w:val="000000"/>
          <w:sz w:val="21"/>
          <w:szCs w:val="21"/>
          <w:lang w:val="en-GB"/>
        </w:rPr>
        <w:fldChar w:fldCharType="begin"/>
      </w:r>
      <w:r w:rsidRPr="001E5747">
        <w:rPr>
          <w:rFonts w:ascii="Cambria" w:eastAsia="Times New Roman" w:hAnsi="Cambria"/>
          <w:bCs/>
          <w:color w:val="000000"/>
          <w:sz w:val="21"/>
          <w:szCs w:val="21"/>
          <w:lang w:val="en-GB"/>
        </w:rPr>
        <w:instrText xml:space="preserve"> PAGEREF _Toc61062517 \h </w:instrText>
      </w:r>
      <w:r w:rsidRPr="001E5747">
        <w:rPr>
          <w:rFonts w:ascii="Cambria" w:eastAsia="Times New Roman" w:hAnsi="Cambria"/>
          <w:bCs/>
          <w:color w:val="000000"/>
          <w:sz w:val="21"/>
          <w:szCs w:val="21"/>
          <w:lang w:val="en-GB"/>
        </w:rPr>
      </w:r>
      <w:r w:rsidRPr="001E5747">
        <w:rPr>
          <w:rFonts w:ascii="Cambria" w:eastAsia="Times New Roman" w:hAnsi="Cambria"/>
          <w:bCs/>
          <w:color w:val="000000"/>
          <w:sz w:val="21"/>
          <w:szCs w:val="21"/>
          <w:lang w:val="en-GB"/>
        </w:rPr>
        <w:fldChar w:fldCharType="separate"/>
      </w:r>
      <w:r w:rsidR="00A25A8C">
        <w:rPr>
          <w:rFonts w:ascii="Cambria" w:eastAsia="Times New Roman" w:hAnsi="Cambria"/>
          <w:bCs/>
          <w:noProof/>
          <w:color w:val="000000"/>
          <w:sz w:val="21"/>
          <w:szCs w:val="21"/>
          <w:lang w:val="en-GB"/>
        </w:rPr>
        <w:t>8</w:t>
      </w:r>
      <w:r w:rsidRPr="001E5747">
        <w:rPr>
          <w:rFonts w:ascii="Cambria" w:eastAsia="Times New Roman" w:hAnsi="Cambria"/>
          <w:bCs/>
          <w:color w:val="000000"/>
          <w:sz w:val="21"/>
          <w:szCs w:val="21"/>
          <w:lang w:val="en-GB"/>
        </w:rPr>
        <w:fldChar w:fldCharType="end"/>
      </w:r>
    </w:p>
    <w:p w14:paraId="1CE7ECAE" w14:textId="172EFC76" w:rsidR="00A0644E" w:rsidRPr="001E5747" w:rsidRDefault="00A0644E" w:rsidP="00A0644E">
      <w:pPr>
        <w:pBdr>
          <w:bottom w:val="single" w:sz="6" w:space="0" w:color="auto"/>
        </w:pBdr>
        <w:tabs>
          <w:tab w:val="left" w:pos="574"/>
          <w:tab w:val="left" w:pos="1200"/>
          <w:tab w:val="right" w:leader="dot" w:pos="8751"/>
        </w:tabs>
        <w:spacing w:before="40"/>
        <w:ind w:left="992" w:hanging="425"/>
        <w:rPr>
          <w:rFonts w:ascii="Calibri" w:eastAsia="Times New Roman" w:hAnsi="Calibri"/>
          <w:bCs/>
          <w:color w:val="000000"/>
          <w:sz w:val="21"/>
          <w:szCs w:val="21"/>
          <w:lang w:val="en-GB"/>
        </w:rPr>
      </w:pPr>
      <w:r w:rsidRPr="001E5747">
        <w:rPr>
          <w:rFonts w:ascii="Cambria" w:eastAsia="Times New Roman" w:hAnsi="Cambria"/>
          <w:bCs/>
          <w:color w:val="000000"/>
          <w:sz w:val="21"/>
          <w:szCs w:val="21"/>
          <w:lang w:val="en-GB"/>
        </w:rPr>
        <w:t>1.7</w:t>
      </w:r>
      <w:r w:rsidRPr="001E5747">
        <w:rPr>
          <w:rFonts w:ascii="Calibri" w:eastAsia="Times New Roman" w:hAnsi="Calibri"/>
          <w:bCs/>
          <w:color w:val="000000"/>
          <w:sz w:val="21"/>
          <w:szCs w:val="21"/>
          <w:lang w:val="en-GB"/>
        </w:rPr>
        <w:tab/>
      </w:r>
      <w:r w:rsidRPr="001E5747">
        <w:rPr>
          <w:rFonts w:ascii="Cambria" w:eastAsia="Times New Roman" w:hAnsi="Cambria"/>
          <w:bCs/>
          <w:color w:val="000000"/>
          <w:sz w:val="21"/>
          <w:szCs w:val="21"/>
          <w:lang w:val="en-GB"/>
        </w:rPr>
        <w:t>Structure and targeted audience</w:t>
      </w:r>
      <w:r w:rsidRPr="001E5747">
        <w:rPr>
          <w:rFonts w:ascii="Cambria" w:eastAsia="Times New Roman" w:hAnsi="Cambria"/>
          <w:bCs/>
          <w:color w:val="000000"/>
          <w:sz w:val="21"/>
          <w:szCs w:val="21"/>
          <w:lang w:val="en-GB"/>
        </w:rPr>
        <w:tab/>
      </w:r>
      <w:r w:rsidRPr="001E5747">
        <w:rPr>
          <w:rFonts w:ascii="Cambria" w:eastAsia="Times New Roman" w:hAnsi="Cambria"/>
          <w:bCs/>
          <w:color w:val="000000"/>
          <w:sz w:val="21"/>
          <w:szCs w:val="21"/>
          <w:lang w:val="en-GB"/>
        </w:rPr>
        <w:fldChar w:fldCharType="begin"/>
      </w:r>
      <w:r w:rsidRPr="001E5747">
        <w:rPr>
          <w:rFonts w:ascii="Cambria" w:eastAsia="Times New Roman" w:hAnsi="Cambria"/>
          <w:bCs/>
          <w:color w:val="000000"/>
          <w:sz w:val="21"/>
          <w:szCs w:val="21"/>
          <w:lang w:val="en-GB"/>
        </w:rPr>
        <w:instrText xml:space="preserve"> PAGEREF _Toc61062518 \h </w:instrText>
      </w:r>
      <w:r w:rsidRPr="001E5747">
        <w:rPr>
          <w:rFonts w:ascii="Cambria" w:eastAsia="Times New Roman" w:hAnsi="Cambria"/>
          <w:bCs/>
          <w:color w:val="000000"/>
          <w:sz w:val="21"/>
          <w:szCs w:val="21"/>
          <w:lang w:val="en-GB"/>
        </w:rPr>
      </w:r>
      <w:r w:rsidRPr="001E5747">
        <w:rPr>
          <w:rFonts w:ascii="Cambria" w:eastAsia="Times New Roman" w:hAnsi="Cambria"/>
          <w:bCs/>
          <w:color w:val="000000"/>
          <w:sz w:val="21"/>
          <w:szCs w:val="21"/>
          <w:lang w:val="en-GB"/>
        </w:rPr>
        <w:fldChar w:fldCharType="separate"/>
      </w:r>
      <w:r w:rsidR="00A25A8C">
        <w:rPr>
          <w:rFonts w:ascii="Cambria" w:eastAsia="Times New Roman" w:hAnsi="Cambria"/>
          <w:bCs/>
          <w:noProof/>
          <w:color w:val="000000"/>
          <w:sz w:val="21"/>
          <w:szCs w:val="21"/>
          <w:lang w:val="en-GB"/>
        </w:rPr>
        <w:t>9</w:t>
      </w:r>
      <w:r w:rsidRPr="001E5747">
        <w:rPr>
          <w:rFonts w:ascii="Cambria" w:eastAsia="Times New Roman" w:hAnsi="Cambria"/>
          <w:bCs/>
          <w:color w:val="000000"/>
          <w:sz w:val="21"/>
          <w:szCs w:val="21"/>
          <w:lang w:val="en-GB"/>
        </w:rPr>
        <w:fldChar w:fldCharType="end"/>
      </w:r>
    </w:p>
    <w:p w14:paraId="086F951F" w14:textId="63068775" w:rsidR="00A0644E" w:rsidRPr="001E5747" w:rsidRDefault="00A0644E" w:rsidP="00A0644E">
      <w:pPr>
        <w:pBdr>
          <w:bottom w:val="single" w:sz="6" w:space="0" w:color="auto"/>
        </w:pBdr>
        <w:tabs>
          <w:tab w:val="left" w:pos="574"/>
          <w:tab w:val="left" w:pos="992"/>
          <w:tab w:val="right" w:leader="dot" w:pos="8751"/>
        </w:tabs>
        <w:spacing w:before="40"/>
        <w:ind w:left="992" w:hanging="425"/>
        <w:rPr>
          <w:rFonts w:ascii="Calibri" w:eastAsia="Times New Roman" w:hAnsi="Calibri"/>
          <w:bCs/>
          <w:color w:val="000000"/>
          <w:sz w:val="21"/>
          <w:szCs w:val="21"/>
          <w:lang w:val="en-GB"/>
        </w:rPr>
      </w:pPr>
      <w:r w:rsidRPr="001E5747">
        <w:rPr>
          <w:rFonts w:ascii="Cambria" w:eastAsia="Times New Roman" w:hAnsi="Cambria"/>
          <w:bCs/>
          <w:color w:val="000000"/>
          <w:sz w:val="21"/>
          <w:szCs w:val="21"/>
          <w:lang w:val="en-GB"/>
        </w:rPr>
        <w:t>2.</w:t>
      </w:r>
      <w:r w:rsidRPr="001E5747">
        <w:rPr>
          <w:rFonts w:ascii="Calibri" w:eastAsia="Times New Roman" w:hAnsi="Calibri"/>
          <w:bCs/>
          <w:color w:val="000000"/>
          <w:sz w:val="21"/>
          <w:szCs w:val="21"/>
          <w:lang w:val="en-GB"/>
        </w:rPr>
        <w:tab/>
      </w:r>
      <w:r w:rsidRPr="001E5747">
        <w:rPr>
          <w:rFonts w:ascii="Cambria" w:eastAsia="Times New Roman" w:hAnsi="Cambria"/>
          <w:bCs/>
          <w:color w:val="000000"/>
          <w:sz w:val="21"/>
          <w:szCs w:val="21"/>
          <w:lang w:val="en-GB"/>
        </w:rPr>
        <w:t>Municipal Performance Grant - Design Parameters</w:t>
      </w:r>
      <w:r w:rsidRPr="001E5747">
        <w:rPr>
          <w:rFonts w:ascii="Cambria" w:eastAsia="Times New Roman" w:hAnsi="Cambria"/>
          <w:bCs/>
          <w:color w:val="000000"/>
          <w:sz w:val="21"/>
          <w:szCs w:val="21"/>
          <w:lang w:val="en-GB"/>
        </w:rPr>
        <w:tab/>
      </w:r>
      <w:r w:rsidRPr="001E5747">
        <w:rPr>
          <w:rFonts w:ascii="Cambria" w:eastAsia="Times New Roman" w:hAnsi="Cambria"/>
          <w:bCs/>
          <w:color w:val="000000"/>
          <w:sz w:val="21"/>
          <w:szCs w:val="21"/>
          <w:lang w:val="en-GB"/>
        </w:rPr>
        <w:fldChar w:fldCharType="begin"/>
      </w:r>
      <w:r w:rsidRPr="001E5747">
        <w:rPr>
          <w:rFonts w:ascii="Cambria" w:eastAsia="Times New Roman" w:hAnsi="Cambria"/>
          <w:bCs/>
          <w:color w:val="000000"/>
          <w:sz w:val="21"/>
          <w:szCs w:val="21"/>
          <w:lang w:val="en-GB"/>
        </w:rPr>
        <w:instrText xml:space="preserve"> PAGEREF _Toc61062519 \h </w:instrText>
      </w:r>
      <w:r w:rsidRPr="001E5747">
        <w:rPr>
          <w:rFonts w:ascii="Cambria" w:eastAsia="Times New Roman" w:hAnsi="Cambria"/>
          <w:bCs/>
          <w:color w:val="000000"/>
          <w:sz w:val="21"/>
          <w:szCs w:val="21"/>
          <w:lang w:val="en-GB"/>
        </w:rPr>
      </w:r>
      <w:r w:rsidRPr="001E5747">
        <w:rPr>
          <w:rFonts w:ascii="Cambria" w:eastAsia="Times New Roman" w:hAnsi="Cambria"/>
          <w:bCs/>
          <w:color w:val="000000"/>
          <w:sz w:val="21"/>
          <w:szCs w:val="21"/>
          <w:lang w:val="en-GB"/>
        </w:rPr>
        <w:fldChar w:fldCharType="separate"/>
      </w:r>
      <w:r w:rsidR="00A25A8C">
        <w:rPr>
          <w:rFonts w:ascii="Cambria" w:eastAsia="Times New Roman" w:hAnsi="Cambria"/>
          <w:bCs/>
          <w:noProof/>
          <w:color w:val="000000"/>
          <w:sz w:val="21"/>
          <w:szCs w:val="21"/>
          <w:lang w:val="en-GB"/>
        </w:rPr>
        <w:t>11</w:t>
      </w:r>
      <w:r w:rsidRPr="001E5747">
        <w:rPr>
          <w:rFonts w:ascii="Cambria" w:eastAsia="Times New Roman" w:hAnsi="Cambria"/>
          <w:bCs/>
          <w:color w:val="000000"/>
          <w:sz w:val="21"/>
          <w:szCs w:val="21"/>
          <w:lang w:val="en-GB"/>
        </w:rPr>
        <w:fldChar w:fldCharType="end"/>
      </w:r>
    </w:p>
    <w:p w14:paraId="3BB88BCC" w14:textId="43A598A8" w:rsidR="00A0644E" w:rsidRPr="001E5747" w:rsidRDefault="00A0644E" w:rsidP="00A0644E">
      <w:pPr>
        <w:pBdr>
          <w:bottom w:val="single" w:sz="6" w:space="0" w:color="auto"/>
        </w:pBdr>
        <w:tabs>
          <w:tab w:val="left" w:pos="574"/>
          <w:tab w:val="left" w:pos="1200"/>
          <w:tab w:val="right" w:leader="dot" w:pos="8751"/>
        </w:tabs>
        <w:spacing w:before="40"/>
        <w:ind w:left="992" w:hanging="425"/>
        <w:rPr>
          <w:rFonts w:ascii="Calibri" w:eastAsia="Times New Roman" w:hAnsi="Calibri"/>
          <w:bCs/>
          <w:color w:val="000000"/>
          <w:sz w:val="21"/>
          <w:szCs w:val="21"/>
          <w:lang w:val="en-GB"/>
        </w:rPr>
      </w:pPr>
      <w:r w:rsidRPr="001E5747">
        <w:rPr>
          <w:rFonts w:ascii="Cambria" w:eastAsia="Times New Roman" w:hAnsi="Cambria"/>
          <w:bCs/>
          <w:color w:val="000000"/>
          <w:sz w:val="21"/>
          <w:szCs w:val="21"/>
          <w:lang w:val="en-GB"/>
        </w:rPr>
        <w:t>2.1</w:t>
      </w:r>
      <w:r w:rsidRPr="001E5747">
        <w:rPr>
          <w:rFonts w:ascii="Calibri" w:eastAsia="Times New Roman" w:hAnsi="Calibri"/>
          <w:bCs/>
          <w:color w:val="000000"/>
          <w:sz w:val="21"/>
          <w:szCs w:val="21"/>
          <w:lang w:val="en-GB"/>
        </w:rPr>
        <w:tab/>
      </w:r>
      <w:r w:rsidRPr="001E5747">
        <w:rPr>
          <w:rFonts w:ascii="Cambria" w:eastAsia="Times New Roman" w:hAnsi="Cambria"/>
          <w:bCs/>
          <w:color w:val="000000"/>
          <w:sz w:val="21"/>
          <w:szCs w:val="21"/>
          <w:lang w:val="en-GB"/>
        </w:rPr>
        <w:t>Basic principles</w:t>
      </w:r>
      <w:r w:rsidRPr="001E5747">
        <w:rPr>
          <w:rFonts w:ascii="Cambria" w:eastAsia="Times New Roman" w:hAnsi="Cambria"/>
          <w:bCs/>
          <w:color w:val="000000"/>
          <w:sz w:val="21"/>
          <w:szCs w:val="21"/>
          <w:lang w:val="en-GB"/>
        </w:rPr>
        <w:tab/>
      </w:r>
      <w:r w:rsidRPr="001E5747">
        <w:rPr>
          <w:rFonts w:ascii="Cambria" w:eastAsia="Times New Roman" w:hAnsi="Cambria"/>
          <w:bCs/>
          <w:color w:val="000000"/>
          <w:sz w:val="21"/>
          <w:szCs w:val="21"/>
          <w:lang w:val="en-GB"/>
        </w:rPr>
        <w:fldChar w:fldCharType="begin"/>
      </w:r>
      <w:r w:rsidRPr="001E5747">
        <w:rPr>
          <w:rFonts w:ascii="Cambria" w:eastAsia="Times New Roman" w:hAnsi="Cambria"/>
          <w:bCs/>
          <w:color w:val="000000"/>
          <w:sz w:val="21"/>
          <w:szCs w:val="21"/>
          <w:lang w:val="en-GB"/>
        </w:rPr>
        <w:instrText xml:space="preserve"> PAGEREF _Toc61062520 \h </w:instrText>
      </w:r>
      <w:r w:rsidRPr="001E5747">
        <w:rPr>
          <w:rFonts w:ascii="Cambria" w:eastAsia="Times New Roman" w:hAnsi="Cambria"/>
          <w:bCs/>
          <w:color w:val="000000"/>
          <w:sz w:val="21"/>
          <w:szCs w:val="21"/>
          <w:lang w:val="en-GB"/>
        </w:rPr>
      </w:r>
      <w:r w:rsidRPr="001E5747">
        <w:rPr>
          <w:rFonts w:ascii="Cambria" w:eastAsia="Times New Roman" w:hAnsi="Cambria"/>
          <w:bCs/>
          <w:color w:val="000000"/>
          <w:sz w:val="21"/>
          <w:szCs w:val="21"/>
          <w:lang w:val="en-GB"/>
        </w:rPr>
        <w:fldChar w:fldCharType="separate"/>
      </w:r>
      <w:r w:rsidR="00A25A8C">
        <w:rPr>
          <w:rFonts w:ascii="Cambria" w:eastAsia="Times New Roman" w:hAnsi="Cambria"/>
          <w:bCs/>
          <w:noProof/>
          <w:color w:val="000000"/>
          <w:sz w:val="21"/>
          <w:szCs w:val="21"/>
          <w:lang w:val="en-GB"/>
        </w:rPr>
        <w:t>11</w:t>
      </w:r>
      <w:r w:rsidRPr="001E5747">
        <w:rPr>
          <w:rFonts w:ascii="Cambria" w:eastAsia="Times New Roman" w:hAnsi="Cambria"/>
          <w:bCs/>
          <w:color w:val="000000"/>
          <w:sz w:val="21"/>
          <w:szCs w:val="21"/>
          <w:lang w:val="en-GB"/>
        </w:rPr>
        <w:fldChar w:fldCharType="end"/>
      </w:r>
    </w:p>
    <w:p w14:paraId="31D7DA2A" w14:textId="60DCFCAD" w:rsidR="00A0644E" w:rsidRPr="001E5747" w:rsidRDefault="00A0644E" w:rsidP="00A0644E">
      <w:pPr>
        <w:pBdr>
          <w:bottom w:val="single" w:sz="6" w:space="0" w:color="auto"/>
        </w:pBdr>
        <w:tabs>
          <w:tab w:val="left" w:pos="574"/>
          <w:tab w:val="left" w:pos="1200"/>
          <w:tab w:val="right" w:leader="dot" w:pos="8751"/>
        </w:tabs>
        <w:spacing w:before="40"/>
        <w:ind w:left="992" w:hanging="425"/>
        <w:rPr>
          <w:rFonts w:ascii="Calibri" w:eastAsia="Times New Roman" w:hAnsi="Calibri"/>
          <w:bCs/>
          <w:color w:val="000000"/>
          <w:sz w:val="21"/>
          <w:szCs w:val="21"/>
          <w:lang w:val="en-GB"/>
        </w:rPr>
      </w:pPr>
      <w:r w:rsidRPr="001E5747">
        <w:rPr>
          <w:rFonts w:ascii="Cambria" w:eastAsia="Times New Roman" w:hAnsi="Cambria"/>
          <w:bCs/>
          <w:color w:val="000000"/>
          <w:sz w:val="21"/>
          <w:szCs w:val="21"/>
          <w:lang w:val="en-GB"/>
        </w:rPr>
        <w:t>2.2</w:t>
      </w:r>
      <w:r w:rsidRPr="001E5747">
        <w:rPr>
          <w:rFonts w:ascii="Calibri" w:eastAsia="Times New Roman" w:hAnsi="Calibri"/>
          <w:bCs/>
          <w:color w:val="000000"/>
          <w:sz w:val="21"/>
          <w:szCs w:val="21"/>
          <w:lang w:val="en-GB"/>
        </w:rPr>
        <w:tab/>
      </w:r>
      <w:r w:rsidRPr="001E5747">
        <w:rPr>
          <w:rFonts w:ascii="Cambria" w:eastAsia="Times New Roman" w:hAnsi="Cambria"/>
          <w:bCs/>
          <w:color w:val="000000"/>
          <w:sz w:val="21"/>
          <w:szCs w:val="21"/>
          <w:lang w:val="en-GB"/>
        </w:rPr>
        <w:t>Minimum conditions</w:t>
      </w:r>
      <w:r w:rsidRPr="001E5747">
        <w:rPr>
          <w:rFonts w:ascii="Cambria" w:eastAsia="Times New Roman" w:hAnsi="Cambria"/>
          <w:bCs/>
          <w:color w:val="000000"/>
          <w:sz w:val="21"/>
          <w:szCs w:val="21"/>
          <w:lang w:val="en-GB"/>
        </w:rPr>
        <w:tab/>
      </w:r>
      <w:r w:rsidRPr="001E5747">
        <w:rPr>
          <w:rFonts w:ascii="Cambria" w:eastAsia="Times New Roman" w:hAnsi="Cambria"/>
          <w:bCs/>
          <w:color w:val="000000"/>
          <w:sz w:val="21"/>
          <w:szCs w:val="21"/>
          <w:lang w:val="en-GB"/>
        </w:rPr>
        <w:fldChar w:fldCharType="begin"/>
      </w:r>
      <w:r w:rsidRPr="001E5747">
        <w:rPr>
          <w:rFonts w:ascii="Cambria" w:eastAsia="Times New Roman" w:hAnsi="Cambria"/>
          <w:bCs/>
          <w:color w:val="000000"/>
          <w:sz w:val="21"/>
          <w:szCs w:val="21"/>
          <w:lang w:val="en-GB"/>
        </w:rPr>
        <w:instrText xml:space="preserve"> PAGEREF _Toc61062521 \h </w:instrText>
      </w:r>
      <w:r w:rsidRPr="001E5747">
        <w:rPr>
          <w:rFonts w:ascii="Cambria" w:eastAsia="Times New Roman" w:hAnsi="Cambria"/>
          <w:bCs/>
          <w:color w:val="000000"/>
          <w:sz w:val="21"/>
          <w:szCs w:val="21"/>
          <w:lang w:val="en-GB"/>
        </w:rPr>
      </w:r>
      <w:r w:rsidRPr="001E5747">
        <w:rPr>
          <w:rFonts w:ascii="Cambria" w:eastAsia="Times New Roman" w:hAnsi="Cambria"/>
          <w:bCs/>
          <w:color w:val="000000"/>
          <w:sz w:val="21"/>
          <w:szCs w:val="21"/>
          <w:lang w:val="en-GB"/>
        </w:rPr>
        <w:fldChar w:fldCharType="separate"/>
      </w:r>
      <w:r w:rsidR="00A25A8C">
        <w:rPr>
          <w:rFonts w:ascii="Cambria" w:eastAsia="Times New Roman" w:hAnsi="Cambria"/>
          <w:bCs/>
          <w:noProof/>
          <w:color w:val="000000"/>
          <w:sz w:val="21"/>
          <w:szCs w:val="21"/>
          <w:lang w:val="en-GB"/>
        </w:rPr>
        <w:t>11</w:t>
      </w:r>
      <w:r w:rsidRPr="001E5747">
        <w:rPr>
          <w:rFonts w:ascii="Cambria" w:eastAsia="Times New Roman" w:hAnsi="Cambria"/>
          <w:bCs/>
          <w:color w:val="000000"/>
          <w:sz w:val="21"/>
          <w:szCs w:val="21"/>
          <w:lang w:val="en-GB"/>
        </w:rPr>
        <w:fldChar w:fldCharType="end"/>
      </w:r>
    </w:p>
    <w:p w14:paraId="40D95AEB" w14:textId="7484B532" w:rsidR="00A0644E" w:rsidRPr="001E5747" w:rsidRDefault="00A0644E" w:rsidP="00A0644E">
      <w:pPr>
        <w:pBdr>
          <w:bottom w:val="single" w:sz="6" w:space="0" w:color="auto"/>
        </w:pBdr>
        <w:tabs>
          <w:tab w:val="left" w:pos="574"/>
          <w:tab w:val="left" w:pos="1200"/>
          <w:tab w:val="right" w:leader="dot" w:pos="8751"/>
        </w:tabs>
        <w:spacing w:before="40"/>
        <w:ind w:left="992" w:hanging="425"/>
        <w:rPr>
          <w:rFonts w:ascii="Calibri" w:eastAsia="Times New Roman" w:hAnsi="Calibri"/>
          <w:bCs/>
          <w:color w:val="000000"/>
          <w:sz w:val="21"/>
          <w:szCs w:val="21"/>
          <w:lang w:val="en-GB"/>
        </w:rPr>
      </w:pPr>
      <w:r w:rsidRPr="001E5747">
        <w:rPr>
          <w:rFonts w:ascii="Cambria" w:eastAsia="Times New Roman" w:hAnsi="Cambria"/>
          <w:bCs/>
          <w:color w:val="000000"/>
          <w:sz w:val="21"/>
          <w:szCs w:val="21"/>
          <w:lang w:val="en-GB"/>
        </w:rPr>
        <w:t>2.3</w:t>
      </w:r>
      <w:r w:rsidRPr="001E5747">
        <w:rPr>
          <w:rFonts w:ascii="Calibri" w:eastAsia="Times New Roman" w:hAnsi="Calibri"/>
          <w:bCs/>
          <w:color w:val="000000"/>
          <w:sz w:val="21"/>
          <w:szCs w:val="21"/>
          <w:lang w:val="en-GB"/>
        </w:rPr>
        <w:tab/>
      </w:r>
      <w:r w:rsidRPr="001E5747">
        <w:rPr>
          <w:rFonts w:ascii="Cambria" w:eastAsia="Times New Roman" w:hAnsi="Cambria"/>
          <w:bCs/>
          <w:color w:val="000000"/>
          <w:sz w:val="21"/>
          <w:szCs w:val="21"/>
          <w:lang w:val="en-GB"/>
        </w:rPr>
        <w:t>Municipal performance indicators</w:t>
      </w:r>
      <w:r w:rsidRPr="001E5747">
        <w:rPr>
          <w:rFonts w:ascii="Cambria" w:eastAsia="Times New Roman" w:hAnsi="Cambria"/>
          <w:bCs/>
          <w:color w:val="000000"/>
          <w:sz w:val="21"/>
          <w:szCs w:val="21"/>
          <w:lang w:val="en-GB"/>
        </w:rPr>
        <w:tab/>
      </w:r>
      <w:r w:rsidRPr="001E5747">
        <w:rPr>
          <w:rFonts w:ascii="Cambria" w:eastAsia="Times New Roman" w:hAnsi="Cambria"/>
          <w:bCs/>
          <w:color w:val="000000"/>
          <w:sz w:val="21"/>
          <w:szCs w:val="21"/>
          <w:lang w:val="en-GB"/>
        </w:rPr>
        <w:fldChar w:fldCharType="begin"/>
      </w:r>
      <w:r w:rsidRPr="001E5747">
        <w:rPr>
          <w:rFonts w:ascii="Cambria" w:eastAsia="Times New Roman" w:hAnsi="Cambria"/>
          <w:bCs/>
          <w:color w:val="000000"/>
          <w:sz w:val="21"/>
          <w:szCs w:val="21"/>
          <w:lang w:val="en-GB"/>
        </w:rPr>
        <w:instrText xml:space="preserve"> PAGEREF _Toc61062522 \h </w:instrText>
      </w:r>
      <w:r w:rsidRPr="001E5747">
        <w:rPr>
          <w:rFonts w:ascii="Cambria" w:eastAsia="Times New Roman" w:hAnsi="Cambria"/>
          <w:bCs/>
          <w:color w:val="000000"/>
          <w:sz w:val="21"/>
          <w:szCs w:val="21"/>
          <w:lang w:val="en-GB"/>
        </w:rPr>
      </w:r>
      <w:r w:rsidRPr="001E5747">
        <w:rPr>
          <w:rFonts w:ascii="Cambria" w:eastAsia="Times New Roman" w:hAnsi="Cambria"/>
          <w:bCs/>
          <w:color w:val="000000"/>
          <w:sz w:val="21"/>
          <w:szCs w:val="21"/>
          <w:lang w:val="en-GB"/>
        </w:rPr>
        <w:fldChar w:fldCharType="separate"/>
      </w:r>
      <w:r w:rsidR="00A25A8C">
        <w:rPr>
          <w:rFonts w:ascii="Cambria" w:eastAsia="Times New Roman" w:hAnsi="Cambria"/>
          <w:bCs/>
          <w:noProof/>
          <w:color w:val="000000"/>
          <w:sz w:val="21"/>
          <w:szCs w:val="21"/>
          <w:lang w:val="en-GB"/>
        </w:rPr>
        <w:t>12</w:t>
      </w:r>
      <w:r w:rsidRPr="001E5747">
        <w:rPr>
          <w:rFonts w:ascii="Cambria" w:eastAsia="Times New Roman" w:hAnsi="Cambria"/>
          <w:bCs/>
          <w:color w:val="000000"/>
          <w:sz w:val="21"/>
          <w:szCs w:val="21"/>
          <w:lang w:val="en-GB"/>
        </w:rPr>
        <w:fldChar w:fldCharType="end"/>
      </w:r>
    </w:p>
    <w:p w14:paraId="6D81C528" w14:textId="7D8F6568" w:rsidR="00A0644E" w:rsidRPr="001E5747" w:rsidRDefault="00A0644E" w:rsidP="00A0644E">
      <w:pPr>
        <w:pBdr>
          <w:bottom w:val="single" w:sz="6" w:space="0" w:color="auto"/>
        </w:pBdr>
        <w:tabs>
          <w:tab w:val="left" w:pos="574"/>
          <w:tab w:val="left" w:pos="1200"/>
          <w:tab w:val="right" w:leader="dot" w:pos="8751"/>
        </w:tabs>
        <w:spacing w:before="40"/>
        <w:ind w:left="992" w:hanging="425"/>
        <w:rPr>
          <w:rFonts w:ascii="Calibri" w:eastAsia="Times New Roman" w:hAnsi="Calibri"/>
          <w:bCs/>
          <w:color w:val="000000"/>
          <w:sz w:val="21"/>
          <w:szCs w:val="21"/>
          <w:lang w:val="en-GB"/>
        </w:rPr>
      </w:pPr>
      <w:r w:rsidRPr="001E5747">
        <w:rPr>
          <w:rFonts w:ascii="Cambria" w:eastAsia="Times New Roman" w:hAnsi="Cambria"/>
          <w:bCs/>
          <w:color w:val="000000"/>
          <w:sz w:val="21"/>
          <w:szCs w:val="21"/>
          <w:lang w:val="en-GB"/>
        </w:rPr>
        <w:t>2.4</w:t>
      </w:r>
      <w:r w:rsidRPr="001E5747">
        <w:rPr>
          <w:rFonts w:ascii="Calibri" w:eastAsia="Times New Roman" w:hAnsi="Calibri"/>
          <w:bCs/>
          <w:color w:val="000000"/>
          <w:sz w:val="21"/>
          <w:szCs w:val="21"/>
          <w:lang w:val="en-GB"/>
        </w:rPr>
        <w:tab/>
      </w:r>
      <w:r w:rsidRPr="001E5747">
        <w:rPr>
          <w:rFonts w:ascii="Cambria" w:eastAsia="Times New Roman" w:hAnsi="Cambria"/>
          <w:bCs/>
          <w:color w:val="000000"/>
          <w:sz w:val="21"/>
          <w:szCs w:val="21"/>
          <w:lang w:val="en-GB"/>
        </w:rPr>
        <w:t>Sources of funding for the municipal performance grant</w:t>
      </w:r>
      <w:r w:rsidRPr="001E5747">
        <w:rPr>
          <w:rFonts w:ascii="Cambria" w:eastAsia="Times New Roman" w:hAnsi="Cambria"/>
          <w:bCs/>
          <w:color w:val="000000"/>
          <w:sz w:val="21"/>
          <w:szCs w:val="21"/>
          <w:lang w:val="en-GB"/>
        </w:rPr>
        <w:tab/>
      </w:r>
      <w:r w:rsidRPr="001E5747">
        <w:rPr>
          <w:rFonts w:ascii="Cambria" w:eastAsia="Times New Roman" w:hAnsi="Cambria"/>
          <w:bCs/>
          <w:color w:val="000000"/>
          <w:sz w:val="21"/>
          <w:szCs w:val="21"/>
          <w:lang w:val="en-GB"/>
        </w:rPr>
        <w:fldChar w:fldCharType="begin"/>
      </w:r>
      <w:r w:rsidRPr="001E5747">
        <w:rPr>
          <w:rFonts w:ascii="Cambria" w:eastAsia="Times New Roman" w:hAnsi="Cambria"/>
          <w:bCs/>
          <w:color w:val="000000"/>
          <w:sz w:val="21"/>
          <w:szCs w:val="21"/>
          <w:lang w:val="en-GB"/>
        </w:rPr>
        <w:instrText xml:space="preserve"> PAGEREF _Toc61062523 \h </w:instrText>
      </w:r>
      <w:r w:rsidRPr="001E5747">
        <w:rPr>
          <w:rFonts w:ascii="Cambria" w:eastAsia="Times New Roman" w:hAnsi="Cambria"/>
          <w:bCs/>
          <w:color w:val="000000"/>
          <w:sz w:val="21"/>
          <w:szCs w:val="21"/>
          <w:lang w:val="en-GB"/>
        </w:rPr>
      </w:r>
      <w:r w:rsidRPr="001E5747">
        <w:rPr>
          <w:rFonts w:ascii="Cambria" w:eastAsia="Times New Roman" w:hAnsi="Cambria"/>
          <w:bCs/>
          <w:color w:val="000000"/>
          <w:sz w:val="21"/>
          <w:szCs w:val="21"/>
          <w:lang w:val="en-GB"/>
        </w:rPr>
        <w:fldChar w:fldCharType="separate"/>
      </w:r>
      <w:r w:rsidR="00A25A8C">
        <w:rPr>
          <w:rFonts w:ascii="Cambria" w:eastAsia="Times New Roman" w:hAnsi="Cambria"/>
          <w:bCs/>
          <w:noProof/>
          <w:color w:val="000000"/>
          <w:sz w:val="21"/>
          <w:szCs w:val="21"/>
          <w:lang w:val="en-GB"/>
        </w:rPr>
        <w:t>14</w:t>
      </w:r>
      <w:r w:rsidRPr="001E5747">
        <w:rPr>
          <w:rFonts w:ascii="Cambria" w:eastAsia="Times New Roman" w:hAnsi="Cambria"/>
          <w:bCs/>
          <w:color w:val="000000"/>
          <w:sz w:val="21"/>
          <w:szCs w:val="21"/>
          <w:lang w:val="en-GB"/>
        </w:rPr>
        <w:fldChar w:fldCharType="end"/>
      </w:r>
    </w:p>
    <w:p w14:paraId="26757CEE" w14:textId="7F503515" w:rsidR="00A0644E" w:rsidRPr="001E5747" w:rsidRDefault="00A0644E" w:rsidP="00A0644E">
      <w:pPr>
        <w:pBdr>
          <w:bottom w:val="single" w:sz="6" w:space="0" w:color="auto"/>
        </w:pBdr>
        <w:tabs>
          <w:tab w:val="left" w:pos="574"/>
          <w:tab w:val="left" w:pos="1200"/>
          <w:tab w:val="right" w:leader="dot" w:pos="8751"/>
        </w:tabs>
        <w:spacing w:before="40"/>
        <w:ind w:left="992" w:hanging="425"/>
        <w:rPr>
          <w:rFonts w:ascii="Calibri" w:eastAsia="Times New Roman" w:hAnsi="Calibri"/>
          <w:bCs/>
          <w:color w:val="000000"/>
          <w:sz w:val="21"/>
          <w:szCs w:val="21"/>
          <w:lang w:val="en-GB"/>
        </w:rPr>
      </w:pPr>
      <w:r w:rsidRPr="001E5747">
        <w:rPr>
          <w:rFonts w:ascii="Cambria" w:eastAsia="Times New Roman" w:hAnsi="Cambria"/>
          <w:bCs/>
          <w:color w:val="000000"/>
          <w:sz w:val="21"/>
          <w:szCs w:val="21"/>
          <w:lang w:val="en-GB"/>
        </w:rPr>
        <w:t>2.5</w:t>
      </w:r>
      <w:r w:rsidRPr="001E5747">
        <w:rPr>
          <w:rFonts w:ascii="Calibri" w:eastAsia="Times New Roman" w:hAnsi="Calibri"/>
          <w:bCs/>
          <w:color w:val="000000"/>
          <w:sz w:val="21"/>
          <w:szCs w:val="21"/>
          <w:lang w:val="en-GB"/>
        </w:rPr>
        <w:tab/>
      </w:r>
      <w:r w:rsidRPr="001E5747">
        <w:rPr>
          <w:rFonts w:ascii="Cambria" w:eastAsia="Times New Roman" w:hAnsi="Cambria"/>
          <w:bCs/>
          <w:color w:val="000000"/>
          <w:sz w:val="21"/>
          <w:szCs w:val="21"/>
          <w:lang w:val="en-GB"/>
        </w:rPr>
        <w:t>Calculation of the amount of the municipal performance grant</w:t>
      </w:r>
      <w:r w:rsidRPr="001E5747">
        <w:rPr>
          <w:rFonts w:ascii="Cambria" w:eastAsia="Times New Roman" w:hAnsi="Cambria"/>
          <w:bCs/>
          <w:color w:val="000000"/>
          <w:sz w:val="21"/>
          <w:szCs w:val="21"/>
          <w:lang w:val="en-GB"/>
        </w:rPr>
        <w:tab/>
      </w:r>
      <w:r w:rsidRPr="001E5747">
        <w:rPr>
          <w:rFonts w:ascii="Cambria" w:eastAsia="Times New Roman" w:hAnsi="Cambria"/>
          <w:bCs/>
          <w:color w:val="000000"/>
          <w:sz w:val="21"/>
          <w:szCs w:val="21"/>
          <w:lang w:val="en-GB"/>
        </w:rPr>
        <w:fldChar w:fldCharType="begin"/>
      </w:r>
      <w:r w:rsidRPr="001E5747">
        <w:rPr>
          <w:rFonts w:ascii="Cambria" w:eastAsia="Times New Roman" w:hAnsi="Cambria"/>
          <w:bCs/>
          <w:color w:val="000000"/>
          <w:sz w:val="21"/>
          <w:szCs w:val="21"/>
          <w:lang w:val="en-GB"/>
        </w:rPr>
        <w:instrText xml:space="preserve"> PAGEREF _Toc61062524 \h </w:instrText>
      </w:r>
      <w:r w:rsidRPr="001E5747">
        <w:rPr>
          <w:rFonts w:ascii="Cambria" w:eastAsia="Times New Roman" w:hAnsi="Cambria"/>
          <w:bCs/>
          <w:color w:val="000000"/>
          <w:sz w:val="21"/>
          <w:szCs w:val="21"/>
          <w:lang w:val="en-GB"/>
        </w:rPr>
      </w:r>
      <w:r w:rsidRPr="001E5747">
        <w:rPr>
          <w:rFonts w:ascii="Cambria" w:eastAsia="Times New Roman" w:hAnsi="Cambria"/>
          <w:bCs/>
          <w:color w:val="000000"/>
          <w:sz w:val="21"/>
          <w:szCs w:val="21"/>
          <w:lang w:val="en-GB"/>
        </w:rPr>
        <w:fldChar w:fldCharType="separate"/>
      </w:r>
      <w:r w:rsidR="00A25A8C">
        <w:rPr>
          <w:rFonts w:ascii="Cambria" w:eastAsia="Times New Roman" w:hAnsi="Cambria"/>
          <w:bCs/>
          <w:noProof/>
          <w:color w:val="000000"/>
          <w:sz w:val="21"/>
          <w:szCs w:val="21"/>
          <w:lang w:val="en-GB"/>
        </w:rPr>
        <w:t>14</w:t>
      </w:r>
      <w:r w:rsidRPr="001E5747">
        <w:rPr>
          <w:rFonts w:ascii="Cambria" w:eastAsia="Times New Roman" w:hAnsi="Cambria"/>
          <w:bCs/>
          <w:color w:val="000000"/>
          <w:sz w:val="21"/>
          <w:szCs w:val="21"/>
          <w:lang w:val="en-GB"/>
        </w:rPr>
        <w:fldChar w:fldCharType="end"/>
      </w:r>
    </w:p>
    <w:p w14:paraId="0446716F" w14:textId="0E077211" w:rsidR="00A0644E" w:rsidRPr="001E5747" w:rsidRDefault="00A0644E" w:rsidP="00A0644E">
      <w:pPr>
        <w:pBdr>
          <w:bottom w:val="single" w:sz="6" w:space="0" w:color="auto"/>
        </w:pBdr>
        <w:tabs>
          <w:tab w:val="left" w:pos="574"/>
          <w:tab w:val="left" w:pos="1200"/>
          <w:tab w:val="right" w:leader="dot" w:pos="8751"/>
        </w:tabs>
        <w:spacing w:before="40"/>
        <w:ind w:left="992" w:hanging="425"/>
        <w:rPr>
          <w:rFonts w:ascii="Calibri" w:eastAsia="Times New Roman" w:hAnsi="Calibri"/>
          <w:bCs/>
          <w:color w:val="000000"/>
          <w:sz w:val="21"/>
          <w:szCs w:val="21"/>
          <w:lang w:val="en-GB"/>
        </w:rPr>
      </w:pPr>
      <w:r w:rsidRPr="001E5747">
        <w:rPr>
          <w:rFonts w:ascii="Cambria" w:eastAsia="Times New Roman" w:hAnsi="Cambria"/>
          <w:bCs/>
          <w:color w:val="000000"/>
          <w:sz w:val="21"/>
          <w:szCs w:val="21"/>
          <w:lang w:val="en-GB"/>
        </w:rPr>
        <w:t>2.6</w:t>
      </w:r>
      <w:r w:rsidRPr="001E5747">
        <w:rPr>
          <w:rFonts w:ascii="Calibri" w:eastAsia="Times New Roman" w:hAnsi="Calibri"/>
          <w:bCs/>
          <w:color w:val="000000"/>
          <w:sz w:val="21"/>
          <w:szCs w:val="21"/>
          <w:lang w:val="en-GB"/>
        </w:rPr>
        <w:tab/>
      </w:r>
      <w:r w:rsidRPr="001E5747">
        <w:rPr>
          <w:rFonts w:ascii="Cambria" w:eastAsia="Times New Roman" w:hAnsi="Cambria"/>
          <w:bCs/>
          <w:color w:val="000000"/>
          <w:sz w:val="21"/>
          <w:szCs w:val="21"/>
          <w:lang w:val="en-GB"/>
        </w:rPr>
        <w:t>Criteria for using the municipal performance grant</w:t>
      </w:r>
      <w:r w:rsidRPr="001E5747">
        <w:rPr>
          <w:rFonts w:ascii="Cambria" w:eastAsia="Times New Roman" w:hAnsi="Cambria"/>
          <w:bCs/>
          <w:color w:val="000000"/>
          <w:sz w:val="21"/>
          <w:szCs w:val="21"/>
          <w:lang w:val="en-GB"/>
        </w:rPr>
        <w:tab/>
      </w:r>
      <w:r w:rsidRPr="001E5747">
        <w:rPr>
          <w:rFonts w:ascii="Cambria" w:eastAsia="Times New Roman" w:hAnsi="Cambria"/>
          <w:bCs/>
          <w:color w:val="000000"/>
          <w:sz w:val="21"/>
          <w:szCs w:val="21"/>
          <w:lang w:val="en-GB"/>
        </w:rPr>
        <w:fldChar w:fldCharType="begin"/>
      </w:r>
      <w:r w:rsidRPr="001E5747">
        <w:rPr>
          <w:rFonts w:ascii="Cambria" w:eastAsia="Times New Roman" w:hAnsi="Cambria"/>
          <w:bCs/>
          <w:color w:val="000000"/>
          <w:sz w:val="21"/>
          <w:szCs w:val="21"/>
          <w:lang w:val="en-GB"/>
        </w:rPr>
        <w:instrText xml:space="preserve"> PAGEREF _Toc61062525 \h </w:instrText>
      </w:r>
      <w:r w:rsidRPr="001E5747">
        <w:rPr>
          <w:rFonts w:ascii="Cambria" w:eastAsia="Times New Roman" w:hAnsi="Cambria"/>
          <w:bCs/>
          <w:color w:val="000000"/>
          <w:sz w:val="21"/>
          <w:szCs w:val="21"/>
          <w:lang w:val="en-GB"/>
        </w:rPr>
      </w:r>
      <w:r w:rsidRPr="001E5747">
        <w:rPr>
          <w:rFonts w:ascii="Cambria" w:eastAsia="Times New Roman" w:hAnsi="Cambria"/>
          <w:bCs/>
          <w:color w:val="000000"/>
          <w:sz w:val="21"/>
          <w:szCs w:val="21"/>
          <w:lang w:val="en-GB"/>
        </w:rPr>
        <w:fldChar w:fldCharType="separate"/>
      </w:r>
      <w:r w:rsidR="00A25A8C">
        <w:rPr>
          <w:rFonts w:ascii="Cambria" w:eastAsia="Times New Roman" w:hAnsi="Cambria"/>
          <w:bCs/>
          <w:noProof/>
          <w:color w:val="000000"/>
          <w:sz w:val="21"/>
          <w:szCs w:val="21"/>
          <w:lang w:val="en-GB"/>
        </w:rPr>
        <w:t>15</w:t>
      </w:r>
      <w:r w:rsidRPr="001E5747">
        <w:rPr>
          <w:rFonts w:ascii="Cambria" w:eastAsia="Times New Roman" w:hAnsi="Cambria"/>
          <w:bCs/>
          <w:color w:val="000000"/>
          <w:sz w:val="21"/>
          <w:szCs w:val="21"/>
          <w:lang w:val="en-GB"/>
        </w:rPr>
        <w:fldChar w:fldCharType="end"/>
      </w:r>
    </w:p>
    <w:p w14:paraId="1D7A60EE" w14:textId="45345005" w:rsidR="00A0644E" w:rsidRPr="001E5747" w:rsidRDefault="00A0644E" w:rsidP="00A0644E">
      <w:pPr>
        <w:pBdr>
          <w:bottom w:val="single" w:sz="6" w:space="0" w:color="auto"/>
        </w:pBdr>
        <w:tabs>
          <w:tab w:val="left" w:pos="574"/>
          <w:tab w:val="left" w:pos="1200"/>
          <w:tab w:val="right" w:leader="dot" w:pos="8751"/>
        </w:tabs>
        <w:spacing w:before="40"/>
        <w:ind w:left="992" w:hanging="425"/>
        <w:rPr>
          <w:rFonts w:ascii="Calibri" w:eastAsia="Times New Roman" w:hAnsi="Calibri"/>
          <w:bCs/>
          <w:color w:val="000000"/>
          <w:sz w:val="21"/>
          <w:szCs w:val="21"/>
          <w:lang w:val="en-GB"/>
        </w:rPr>
      </w:pPr>
      <w:r w:rsidRPr="001E5747">
        <w:rPr>
          <w:rFonts w:ascii="Cambria" w:eastAsia="Times New Roman" w:hAnsi="Cambria"/>
          <w:bCs/>
          <w:color w:val="000000"/>
          <w:sz w:val="21"/>
          <w:szCs w:val="21"/>
          <w:lang w:val="en-GB"/>
        </w:rPr>
        <w:t>2.7</w:t>
      </w:r>
      <w:r w:rsidRPr="001E5747">
        <w:rPr>
          <w:rFonts w:ascii="Calibri" w:eastAsia="Times New Roman" w:hAnsi="Calibri"/>
          <w:bCs/>
          <w:color w:val="000000"/>
          <w:sz w:val="21"/>
          <w:szCs w:val="21"/>
          <w:lang w:val="en-GB"/>
        </w:rPr>
        <w:tab/>
      </w:r>
      <w:r w:rsidRPr="001E5747">
        <w:rPr>
          <w:rFonts w:ascii="Cambria" w:eastAsia="Times New Roman" w:hAnsi="Cambria"/>
          <w:bCs/>
          <w:color w:val="000000"/>
          <w:sz w:val="21"/>
          <w:szCs w:val="21"/>
          <w:lang w:val="en-GB"/>
        </w:rPr>
        <w:t>Municipal performance grant audit</w:t>
      </w:r>
      <w:r w:rsidRPr="001E5747">
        <w:rPr>
          <w:rFonts w:ascii="Cambria" w:eastAsia="Times New Roman" w:hAnsi="Cambria"/>
          <w:bCs/>
          <w:color w:val="000000"/>
          <w:sz w:val="21"/>
          <w:szCs w:val="21"/>
          <w:lang w:val="en-GB"/>
        </w:rPr>
        <w:tab/>
      </w:r>
      <w:r w:rsidRPr="001E5747">
        <w:rPr>
          <w:rFonts w:ascii="Cambria" w:eastAsia="Times New Roman" w:hAnsi="Cambria"/>
          <w:bCs/>
          <w:color w:val="000000"/>
          <w:sz w:val="21"/>
          <w:szCs w:val="21"/>
          <w:lang w:val="en-GB"/>
        </w:rPr>
        <w:fldChar w:fldCharType="begin"/>
      </w:r>
      <w:r w:rsidRPr="001E5747">
        <w:rPr>
          <w:rFonts w:ascii="Cambria" w:eastAsia="Times New Roman" w:hAnsi="Cambria"/>
          <w:bCs/>
          <w:color w:val="000000"/>
          <w:sz w:val="21"/>
          <w:szCs w:val="21"/>
          <w:lang w:val="en-GB"/>
        </w:rPr>
        <w:instrText xml:space="preserve"> PAGEREF _Toc61062526 \h </w:instrText>
      </w:r>
      <w:r w:rsidRPr="001E5747">
        <w:rPr>
          <w:rFonts w:ascii="Cambria" w:eastAsia="Times New Roman" w:hAnsi="Cambria"/>
          <w:bCs/>
          <w:color w:val="000000"/>
          <w:sz w:val="21"/>
          <w:szCs w:val="21"/>
          <w:lang w:val="en-GB"/>
        </w:rPr>
      </w:r>
      <w:r w:rsidRPr="001E5747">
        <w:rPr>
          <w:rFonts w:ascii="Cambria" w:eastAsia="Times New Roman" w:hAnsi="Cambria"/>
          <w:bCs/>
          <w:color w:val="000000"/>
          <w:sz w:val="21"/>
          <w:szCs w:val="21"/>
          <w:lang w:val="en-GB"/>
        </w:rPr>
        <w:fldChar w:fldCharType="separate"/>
      </w:r>
      <w:r w:rsidR="00A25A8C">
        <w:rPr>
          <w:rFonts w:ascii="Cambria" w:eastAsia="Times New Roman" w:hAnsi="Cambria"/>
          <w:bCs/>
          <w:noProof/>
          <w:color w:val="000000"/>
          <w:sz w:val="21"/>
          <w:szCs w:val="21"/>
          <w:lang w:val="en-GB"/>
        </w:rPr>
        <w:t>15</w:t>
      </w:r>
      <w:r w:rsidRPr="001E5747">
        <w:rPr>
          <w:rFonts w:ascii="Cambria" w:eastAsia="Times New Roman" w:hAnsi="Cambria"/>
          <w:bCs/>
          <w:color w:val="000000"/>
          <w:sz w:val="21"/>
          <w:szCs w:val="21"/>
          <w:lang w:val="en-GB"/>
        </w:rPr>
        <w:fldChar w:fldCharType="end"/>
      </w:r>
    </w:p>
    <w:p w14:paraId="7AE54760" w14:textId="187F48C0" w:rsidR="00A0644E" w:rsidRPr="001E5747" w:rsidRDefault="00A0644E" w:rsidP="00A0644E">
      <w:pPr>
        <w:pBdr>
          <w:bottom w:val="single" w:sz="6" w:space="0" w:color="auto"/>
        </w:pBdr>
        <w:tabs>
          <w:tab w:val="left" w:pos="574"/>
          <w:tab w:val="left" w:pos="992"/>
          <w:tab w:val="right" w:leader="dot" w:pos="8751"/>
        </w:tabs>
        <w:spacing w:before="40"/>
        <w:ind w:left="992" w:hanging="425"/>
        <w:rPr>
          <w:rFonts w:ascii="Calibri" w:eastAsia="Times New Roman" w:hAnsi="Calibri"/>
          <w:bCs/>
          <w:color w:val="000000"/>
          <w:sz w:val="21"/>
          <w:szCs w:val="21"/>
          <w:lang w:val="en-GB"/>
        </w:rPr>
      </w:pPr>
      <w:r w:rsidRPr="001E5747">
        <w:rPr>
          <w:rFonts w:ascii="Cambria" w:eastAsia="Times New Roman" w:hAnsi="Cambria"/>
          <w:bCs/>
          <w:color w:val="000000"/>
          <w:sz w:val="21"/>
          <w:szCs w:val="21"/>
          <w:lang w:val="en-GB"/>
        </w:rPr>
        <w:t>3.</w:t>
      </w:r>
      <w:r w:rsidRPr="001E5747">
        <w:rPr>
          <w:rFonts w:ascii="Calibri" w:eastAsia="Times New Roman" w:hAnsi="Calibri"/>
          <w:bCs/>
          <w:color w:val="000000"/>
          <w:sz w:val="21"/>
          <w:szCs w:val="21"/>
          <w:lang w:val="en-GB"/>
        </w:rPr>
        <w:tab/>
      </w:r>
      <w:r w:rsidRPr="001E5747">
        <w:rPr>
          <w:rFonts w:ascii="Cambria" w:eastAsia="Times New Roman" w:hAnsi="Cambria"/>
          <w:bCs/>
          <w:color w:val="000000"/>
          <w:sz w:val="21"/>
          <w:szCs w:val="21"/>
          <w:lang w:val="en-GB"/>
        </w:rPr>
        <w:t>Municipal Performance Grant - Assessment process</w:t>
      </w:r>
      <w:r w:rsidRPr="001E5747">
        <w:rPr>
          <w:rFonts w:ascii="Cambria" w:eastAsia="Times New Roman" w:hAnsi="Cambria"/>
          <w:bCs/>
          <w:color w:val="000000"/>
          <w:sz w:val="21"/>
          <w:szCs w:val="21"/>
          <w:lang w:val="en-GB"/>
        </w:rPr>
        <w:tab/>
      </w:r>
      <w:r w:rsidRPr="001E5747">
        <w:rPr>
          <w:rFonts w:ascii="Cambria" w:eastAsia="Times New Roman" w:hAnsi="Cambria"/>
          <w:bCs/>
          <w:color w:val="000000"/>
          <w:sz w:val="21"/>
          <w:szCs w:val="21"/>
          <w:lang w:val="en-GB"/>
        </w:rPr>
        <w:fldChar w:fldCharType="begin"/>
      </w:r>
      <w:r w:rsidRPr="001E5747">
        <w:rPr>
          <w:rFonts w:ascii="Cambria" w:eastAsia="Times New Roman" w:hAnsi="Cambria"/>
          <w:bCs/>
          <w:color w:val="000000"/>
          <w:sz w:val="21"/>
          <w:szCs w:val="21"/>
          <w:lang w:val="en-GB"/>
        </w:rPr>
        <w:instrText xml:space="preserve"> PAGEREF _Toc61062527 \h </w:instrText>
      </w:r>
      <w:r w:rsidRPr="001E5747">
        <w:rPr>
          <w:rFonts w:ascii="Cambria" w:eastAsia="Times New Roman" w:hAnsi="Cambria"/>
          <w:bCs/>
          <w:color w:val="000000"/>
          <w:sz w:val="21"/>
          <w:szCs w:val="21"/>
          <w:lang w:val="en-GB"/>
        </w:rPr>
      </w:r>
      <w:r w:rsidRPr="001E5747">
        <w:rPr>
          <w:rFonts w:ascii="Cambria" w:eastAsia="Times New Roman" w:hAnsi="Cambria"/>
          <w:bCs/>
          <w:color w:val="000000"/>
          <w:sz w:val="21"/>
          <w:szCs w:val="21"/>
          <w:lang w:val="en-GB"/>
        </w:rPr>
        <w:fldChar w:fldCharType="separate"/>
      </w:r>
      <w:r w:rsidR="00A25A8C">
        <w:rPr>
          <w:rFonts w:ascii="Cambria" w:eastAsia="Times New Roman" w:hAnsi="Cambria"/>
          <w:bCs/>
          <w:noProof/>
          <w:color w:val="000000"/>
          <w:sz w:val="21"/>
          <w:szCs w:val="21"/>
          <w:lang w:val="en-GB"/>
        </w:rPr>
        <w:t>16</w:t>
      </w:r>
      <w:r w:rsidRPr="001E5747">
        <w:rPr>
          <w:rFonts w:ascii="Cambria" w:eastAsia="Times New Roman" w:hAnsi="Cambria"/>
          <w:bCs/>
          <w:color w:val="000000"/>
          <w:sz w:val="21"/>
          <w:szCs w:val="21"/>
          <w:lang w:val="en-GB"/>
        </w:rPr>
        <w:fldChar w:fldCharType="end"/>
      </w:r>
    </w:p>
    <w:p w14:paraId="48F02190" w14:textId="0E39AAFB" w:rsidR="00A0644E" w:rsidRPr="001E5747" w:rsidRDefault="00A0644E" w:rsidP="00A0644E">
      <w:pPr>
        <w:pBdr>
          <w:bottom w:val="single" w:sz="6" w:space="0" w:color="auto"/>
        </w:pBdr>
        <w:tabs>
          <w:tab w:val="left" w:pos="574"/>
          <w:tab w:val="left" w:pos="1200"/>
          <w:tab w:val="right" w:leader="dot" w:pos="8751"/>
        </w:tabs>
        <w:spacing w:before="40"/>
        <w:ind w:left="992" w:hanging="425"/>
        <w:rPr>
          <w:rFonts w:ascii="Calibri" w:eastAsia="Times New Roman" w:hAnsi="Calibri"/>
          <w:bCs/>
          <w:color w:val="000000"/>
          <w:sz w:val="21"/>
          <w:szCs w:val="21"/>
          <w:lang w:val="en-GB"/>
        </w:rPr>
      </w:pPr>
      <w:r w:rsidRPr="001E5747">
        <w:rPr>
          <w:rFonts w:ascii="Cambria" w:eastAsia="Times New Roman" w:hAnsi="Cambria"/>
          <w:bCs/>
          <w:color w:val="000000"/>
          <w:sz w:val="21"/>
          <w:szCs w:val="21"/>
          <w:lang w:val="en-GB"/>
        </w:rPr>
        <w:t>3.1</w:t>
      </w:r>
      <w:r w:rsidRPr="001E5747">
        <w:rPr>
          <w:rFonts w:ascii="Calibri" w:eastAsia="Times New Roman" w:hAnsi="Calibri"/>
          <w:bCs/>
          <w:color w:val="000000"/>
          <w:sz w:val="21"/>
          <w:szCs w:val="21"/>
          <w:lang w:val="en-GB"/>
        </w:rPr>
        <w:tab/>
      </w:r>
      <w:r w:rsidRPr="001E5747">
        <w:rPr>
          <w:rFonts w:ascii="Cambria" w:eastAsia="Times New Roman" w:hAnsi="Cambria"/>
          <w:bCs/>
          <w:color w:val="000000"/>
          <w:sz w:val="21"/>
          <w:szCs w:val="21"/>
          <w:lang w:val="en-GB"/>
        </w:rPr>
        <w:t>Institutional arrangements</w:t>
      </w:r>
      <w:r w:rsidRPr="001E5747">
        <w:rPr>
          <w:rFonts w:ascii="Cambria" w:eastAsia="Times New Roman" w:hAnsi="Cambria"/>
          <w:bCs/>
          <w:color w:val="000000"/>
          <w:sz w:val="21"/>
          <w:szCs w:val="21"/>
          <w:lang w:val="en-GB"/>
        </w:rPr>
        <w:tab/>
      </w:r>
      <w:r w:rsidRPr="001E5747">
        <w:rPr>
          <w:rFonts w:ascii="Cambria" w:eastAsia="Times New Roman" w:hAnsi="Cambria"/>
          <w:bCs/>
          <w:color w:val="000000"/>
          <w:sz w:val="21"/>
          <w:szCs w:val="21"/>
          <w:lang w:val="en-GB"/>
        </w:rPr>
        <w:fldChar w:fldCharType="begin"/>
      </w:r>
      <w:r w:rsidRPr="001E5747">
        <w:rPr>
          <w:rFonts w:ascii="Cambria" w:eastAsia="Times New Roman" w:hAnsi="Cambria"/>
          <w:bCs/>
          <w:color w:val="000000"/>
          <w:sz w:val="21"/>
          <w:szCs w:val="21"/>
          <w:lang w:val="en-GB"/>
        </w:rPr>
        <w:instrText xml:space="preserve"> PAGEREF _Toc61062528 \h </w:instrText>
      </w:r>
      <w:r w:rsidRPr="001E5747">
        <w:rPr>
          <w:rFonts w:ascii="Cambria" w:eastAsia="Times New Roman" w:hAnsi="Cambria"/>
          <w:bCs/>
          <w:color w:val="000000"/>
          <w:sz w:val="21"/>
          <w:szCs w:val="21"/>
          <w:lang w:val="en-GB"/>
        </w:rPr>
      </w:r>
      <w:r w:rsidRPr="001E5747">
        <w:rPr>
          <w:rFonts w:ascii="Cambria" w:eastAsia="Times New Roman" w:hAnsi="Cambria"/>
          <w:bCs/>
          <w:color w:val="000000"/>
          <w:sz w:val="21"/>
          <w:szCs w:val="21"/>
          <w:lang w:val="en-GB"/>
        </w:rPr>
        <w:fldChar w:fldCharType="separate"/>
      </w:r>
      <w:r w:rsidR="00A25A8C">
        <w:rPr>
          <w:rFonts w:ascii="Cambria" w:eastAsia="Times New Roman" w:hAnsi="Cambria"/>
          <w:bCs/>
          <w:noProof/>
          <w:color w:val="000000"/>
          <w:sz w:val="21"/>
          <w:szCs w:val="21"/>
          <w:lang w:val="en-GB"/>
        </w:rPr>
        <w:t>16</w:t>
      </w:r>
      <w:r w:rsidRPr="001E5747">
        <w:rPr>
          <w:rFonts w:ascii="Cambria" w:eastAsia="Times New Roman" w:hAnsi="Cambria"/>
          <w:bCs/>
          <w:color w:val="000000"/>
          <w:sz w:val="21"/>
          <w:szCs w:val="21"/>
          <w:lang w:val="en-GB"/>
        </w:rPr>
        <w:fldChar w:fldCharType="end"/>
      </w:r>
    </w:p>
    <w:p w14:paraId="3F447C89" w14:textId="07F3309F" w:rsidR="00A0644E" w:rsidRPr="001E5747" w:rsidRDefault="00A0644E" w:rsidP="00A0644E">
      <w:pPr>
        <w:pBdr>
          <w:bottom w:val="single" w:sz="6" w:space="0" w:color="auto"/>
        </w:pBdr>
        <w:tabs>
          <w:tab w:val="left" w:pos="574"/>
          <w:tab w:val="left" w:pos="1440"/>
          <w:tab w:val="right" w:leader="dot" w:pos="8751"/>
        </w:tabs>
        <w:spacing w:before="40"/>
        <w:ind w:left="992" w:hanging="425"/>
        <w:rPr>
          <w:rFonts w:ascii="Calibri" w:eastAsia="Times New Roman" w:hAnsi="Calibri"/>
          <w:bCs/>
          <w:color w:val="000000"/>
          <w:sz w:val="21"/>
          <w:szCs w:val="21"/>
          <w:lang w:val="en-GB"/>
        </w:rPr>
      </w:pPr>
      <w:r w:rsidRPr="001E5747">
        <w:rPr>
          <w:rFonts w:ascii="Cambria" w:eastAsia="Times New Roman" w:hAnsi="Cambria"/>
          <w:bCs/>
          <w:color w:val="000000"/>
          <w:sz w:val="21"/>
          <w:szCs w:val="21"/>
          <w:lang w:val="en-GB"/>
        </w:rPr>
        <w:t>3.1.1</w:t>
      </w:r>
      <w:r w:rsidRPr="001E5747">
        <w:rPr>
          <w:rFonts w:ascii="Calibri" w:eastAsia="Times New Roman" w:hAnsi="Calibri"/>
          <w:bCs/>
          <w:color w:val="000000"/>
          <w:sz w:val="21"/>
          <w:szCs w:val="21"/>
          <w:lang w:val="en-GB"/>
        </w:rPr>
        <w:tab/>
      </w:r>
      <w:r w:rsidRPr="001E5747">
        <w:rPr>
          <w:rFonts w:ascii="Cambria" w:eastAsia="Times New Roman" w:hAnsi="Cambria"/>
          <w:bCs/>
          <w:color w:val="000000"/>
          <w:sz w:val="21"/>
          <w:szCs w:val="21"/>
          <w:lang w:val="en-GB"/>
        </w:rPr>
        <w:t>Municipal Performance Grant Commission</w:t>
      </w:r>
      <w:r w:rsidRPr="001E5747">
        <w:rPr>
          <w:rFonts w:ascii="Cambria" w:eastAsia="Times New Roman" w:hAnsi="Cambria"/>
          <w:bCs/>
          <w:color w:val="000000"/>
          <w:sz w:val="21"/>
          <w:szCs w:val="21"/>
          <w:lang w:val="en-GB"/>
        </w:rPr>
        <w:tab/>
      </w:r>
      <w:r w:rsidRPr="001E5747">
        <w:rPr>
          <w:rFonts w:ascii="Cambria" w:eastAsia="Times New Roman" w:hAnsi="Cambria"/>
          <w:bCs/>
          <w:color w:val="000000"/>
          <w:sz w:val="21"/>
          <w:szCs w:val="21"/>
          <w:lang w:val="en-GB"/>
        </w:rPr>
        <w:fldChar w:fldCharType="begin"/>
      </w:r>
      <w:r w:rsidRPr="001E5747">
        <w:rPr>
          <w:rFonts w:ascii="Cambria" w:eastAsia="Times New Roman" w:hAnsi="Cambria"/>
          <w:bCs/>
          <w:color w:val="000000"/>
          <w:sz w:val="21"/>
          <w:szCs w:val="21"/>
          <w:lang w:val="en-GB"/>
        </w:rPr>
        <w:instrText xml:space="preserve"> PAGEREF _Toc61062529 \h </w:instrText>
      </w:r>
      <w:r w:rsidRPr="001E5747">
        <w:rPr>
          <w:rFonts w:ascii="Cambria" w:eastAsia="Times New Roman" w:hAnsi="Cambria"/>
          <w:bCs/>
          <w:color w:val="000000"/>
          <w:sz w:val="21"/>
          <w:szCs w:val="21"/>
          <w:lang w:val="en-GB"/>
        </w:rPr>
      </w:r>
      <w:r w:rsidRPr="001E5747">
        <w:rPr>
          <w:rFonts w:ascii="Cambria" w:eastAsia="Times New Roman" w:hAnsi="Cambria"/>
          <w:bCs/>
          <w:color w:val="000000"/>
          <w:sz w:val="21"/>
          <w:szCs w:val="21"/>
          <w:lang w:val="en-GB"/>
        </w:rPr>
        <w:fldChar w:fldCharType="separate"/>
      </w:r>
      <w:r w:rsidR="00A25A8C">
        <w:rPr>
          <w:rFonts w:ascii="Cambria" w:eastAsia="Times New Roman" w:hAnsi="Cambria"/>
          <w:bCs/>
          <w:noProof/>
          <w:color w:val="000000"/>
          <w:sz w:val="21"/>
          <w:szCs w:val="21"/>
          <w:lang w:val="en-GB"/>
        </w:rPr>
        <w:t>16</w:t>
      </w:r>
      <w:r w:rsidRPr="001E5747">
        <w:rPr>
          <w:rFonts w:ascii="Cambria" w:eastAsia="Times New Roman" w:hAnsi="Cambria"/>
          <w:bCs/>
          <w:color w:val="000000"/>
          <w:sz w:val="21"/>
          <w:szCs w:val="21"/>
          <w:lang w:val="en-GB"/>
        </w:rPr>
        <w:fldChar w:fldCharType="end"/>
      </w:r>
    </w:p>
    <w:p w14:paraId="416A6AD6" w14:textId="7D5DDE77" w:rsidR="00A0644E" w:rsidRPr="001E5747" w:rsidRDefault="00A0644E" w:rsidP="00A0644E">
      <w:pPr>
        <w:pBdr>
          <w:bottom w:val="single" w:sz="6" w:space="0" w:color="auto"/>
        </w:pBdr>
        <w:tabs>
          <w:tab w:val="left" w:pos="574"/>
          <w:tab w:val="left" w:pos="1440"/>
          <w:tab w:val="right" w:leader="dot" w:pos="8751"/>
        </w:tabs>
        <w:spacing w:before="40"/>
        <w:ind w:left="992" w:hanging="425"/>
        <w:rPr>
          <w:rFonts w:ascii="Calibri" w:eastAsia="Times New Roman" w:hAnsi="Calibri"/>
          <w:bCs/>
          <w:color w:val="000000"/>
          <w:sz w:val="21"/>
          <w:szCs w:val="21"/>
          <w:lang w:val="en-GB"/>
        </w:rPr>
      </w:pPr>
      <w:r w:rsidRPr="001E5747">
        <w:rPr>
          <w:rFonts w:ascii="Cambria" w:eastAsia="Times New Roman" w:hAnsi="Cambria"/>
          <w:bCs/>
          <w:color w:val="000000"/>
          <w:sz w:val="21"/>
          <w:szCs w:val="21"/>
          <w:lang w:val="en-GB"/>
        </w:rPr>
        <w:t>3.1.2</w:t>
      </w:r>
      <w:r w:rsidRPr="001E5747">
        <w:rPr>
          <w:rFonts w:ascii="Calibri" w:eastAsia="Times New Roman" w:hAnsi="Calibri"/>
          <w:bCs/>
          <w:color w:val="000000"/>
          <w:sz w:val="21"/>
          <w:szCs w:val="21"/>
          <w:lang w:val="en-GB"/>
        </w:rPr>
        <w:tab/>
      </w:r>
      <w:r w:rsidRPr="001E5747">
        <w:rPr>
          <w:rFonts w:ascii="Cambria" w:eastAsia="Times New Roman" w:hAnsi="Cambria"/>
          <w:bCs/>
          <w:color w:val="000000"/>
          <w:sz w:val="21"/>
          <w:szCs w:val="21"/>
          <w:lang w:val="en-GB"/>
        </w:rPr>
        <w:t>Technical Group</w:t>
      </w:r>
      <w:r w:rsidRPr="001E5747">
        <w:rPr>
          <w:rFonts w:ascii="Cambria" w:eastAsia="Times New Roman" w:hAnsi="Cambria"/>
          <w:bCs/>
          <w:color w:val="000000"/>
          <w:sz w:val="21"/>
          <w:szCs w:val="21"/>
          <w:lang w:val="en-GB"/>
        </w:rPr>
        <w:tab/>
      </w:r>
      <w:r w:rsidRPr="001E5747">
        <w:rPr>
          <w:rFonts w:ascii="Cambria" w:eastAsia="Times New Roman" w:hAnsi="Cambria"/>
          <w:bCs/>
          <w:color w:val="000000"/>
          <w:sz w:val="21"/>
          <w:szCs w:val="21"/>
          <w:lang w:val="en-GB"/>
        </w:rPr>
        <w:fldChar w:fldCharType="begin"/>
      </w:r>
      <w:r w:rsidRPr="001E5747">
        <w:rPr>
          <w:rFonts w:ascii="Cambria" w:eastAsia="Times New Roman" w:hAnsi="Cambria"/>
          <w:bCs/>
          <w:color w:val="000000"/>
          <w:sz w:val="21"/>
          <w:szCs w:val="21"/>
          <w:lang w:val="en-GB"/>
        </w:rPr>
        <w:instrText xml:space="preserve"> PAGEREF _Toc61062530 \h </w:instrText>
      </w:r>
      <w:r w:rsidRPr="001E5747">
        <w:rPr>
          <w:rFonts w:ascii="Cambria" w:eastAsia="Times New Roman" w:hAnsi="Cambria"/>
          <w:bCs/>
          <w:color w:val="000000"/>
          <w:sz w:val="21"/>
          <w:szCs w:val="21"/>
          <w:lang w:val="en-GB"/>
        </w:rPr>
      </w:r>
      <w:r w:rsidRPr="001E5747">
        <w:rPr>
          <w:rFonts w:ascii="Cambria" w:eastAsia="Times New Roman" w:hAnsi="Cambria"/>
          <w:bCs/>
          <w:color w:val="000000"/>
          <w:sz w:val="21"/>
          <w:szCs w:val="21"/>
          <w:lang w:val="en-GB"/>
        </w:rPr>
        <w:fldChar w:fldCharType="separate"/>
      </w:r>
      <w:r w:rsidR="00A25A8C">
        <w:rPr>
          <w:rFonts w:ascii="Cambria" w:eastAsia="Times New Roman" w:hAnsi="Cambria"/>
          <w:bCs/>
          <w:noProof/>
          <w:color w:val="000000"/>
          <w:sz w:val="21"/>
          <w:szCs w:val="21"/>
          <w:lang w:val="en-GB"/>
        </w:rPr>
        <w:t>16</w:t>
      </w:r>
      <w:r w:rsidRPr="001E5747">
        <w:rPr>
          <w:rFonts w:ascii="Cambria" w:eastAsia="Times New Roman" w:hAnsi="Cambria"/>
          <w:bCs/>
          <w:color w:val="000000"/>
          <w:sz w:val="21"/>
          <w:szCs w:val="21"/>
          <w:lang w:val="en-GB"/>
        </w:rPr>
        <w:fldChar w:fldCharType="end"/>
      </w:r>
    </w:p>
    <w:p w14:paraId="2A917021" w14:textId="77777777" w:rsidR="00A0644E" w:rsidRPr="001E5747" w:rsidRDefault="00A0644E" w:rsidP="00A0644E">
      <w:pPr>
        <w:pBdr>
          <w:bottom w:val="single" w:sz="6" w:space="0" w:color="auto"/>
        </w:pBdr>
        <w:tabs>
          <w:tab w:val="left" w:pos="574"/>
          <w:tab w:val="left" w:pos="1440"/>
          <w:tab w:val="right" w:leader="dot" w:pos="8751"/>
        </w:tabs>
        <w:spacing w:before="40"/>
        <w:ind w:left="992" w:hanging="425"/>
        <w:rPr>
          <w:rFonts w:ascii="Cambria" w:eastAsia="Times New Roman" w:hAnsi="Cambria"/>
          <w:bCs/>
          <w:color w:val="000000"/>
          <w:sz w:val="21"/>
          <w:szCs w:val="21"/>
          <w:lang w:val="en-GB"/>
        </w:rPr>
      </w:pPr>
      <w:r w:rsidRPr="001E5747">
        <w:rPr>
          <w:rFonts w:ascii="Cambria" w:eastAsia="Times New Roman" w:hAnsi="Cambria"/>
          <w:bCs/>
          <w:color w:val="000000"/>
          <w:sz w:val="21"/>
          <w:szCs w:val="21"/>
          <w:lang w:val="en-GB"/>
        </w:rPr>
        <w:t>3.1.3</w:t>
      </w:r>
      <w:r w:rsidRPr="001E5747">
        <w:rPr>
          <w:rFonts w:ascii="Calibri" w:eastAsia="Times New Roman" w:hAnsi="Calibri"/>
          <w:bCs/>
          <w:color w:val="000000"/>
          <w:sz w:val="21"/>
          <w:szCs w:val="21"/>
          <w:lang w:val="en-GB"/>
        </w:rPr>
        <w:tab/>
      </w:r>
      <w:r w:rsidR="00091613" w:rsidRPr="001E5747">
        <w:rPr>
          <w:rFonts w:ascii="Cambria" w:eastAsia="Times New Roman" w:hAnsi="Cambria"/>
          <w:bCs/>
          <w:color w:val="000000"/>
          <w:sz w:val="21"/>
          <w:szCs w:val="21"/>
          <w:lang w:val="en-GB"/>
        </w:rPr>
        <w:t>Appeals Commission</w:t>
      </w:r>
      <w:r w:rsidRPr="001E5747">
        <w:rPr>
          <w:rFonts w:ascii="Cambria" w:eastAsia="Times New Roman" w:hAnsi="Cambria"/>
          <w:bCs/>
          <w:color w:val="000000"/>
          <w:sz w:val="21"/>
          <w:szCs w:val="21"/>
          <w:lang w:val="en-GB"/>
        </w:rPr>
        <w:t>:</w:t>
      </w:r>
      <w:r w:rsidRPr="001E5747">
        <w:rPr>
          <w:rFonts w:ascii="Cambria" w:eastAsia="Times New Roman" w:hAnsi="Cambria"/>
          <w:bCs/>
          <w:color w:val="000000"/>
          <w:sz w:val="21"/>
          <w:szCs w:val="21"/>
          <w:lang w:val="en-GB"/>
        </w:rPr>
        <w:tab/>
      </w:r>
    </w:p>
    <w:p w14:paraId="28877A68" w14:textId="650134A8" w:rsidR="00A0644E" w:rsidRPr="001E5747" w:rsidRDefault="00A0644E" w:rsidP="00A0644E">
      <w:pPr>
        <w:pBdr>
          <w:bottom w:val="single" w:sz="6" w:space="0" w:color="auto"/>
        </w:pBdr>
        <w:tabs>
          <w:tab w:val="left" w:pos="574"/>
          <w:tab w:val="left" w:pos="1440"/>
          <w:tab w:val="right" w:leader="dot" w:pos="8751"/>
        </w:tabs>
        <w:spacing w:before="40"/>
        <w:ind w:left="992" w:hanging="425"/>
        <w:rPr>
          <w:rFonts w:ascii="Calibri" w:eastAsia="Times New Roman" w:hAnsi="Calibri"/>
          <w:bCs/>
          <w:color w:val="000000"/>
          <w:sz w:val="21"/>
          <w:szCs w:val="21"/>
          <w:lang w:val="en-GB"/>
        </w:rPr>
      </w:pPr>
      <w:r w:rsidRPr="001E5747">
        <w:rPr>
          <w:rFonts w:ascii="Cambria" w:eastAsia="Times New Roman" w:hAnsi="Cambria" w:cs="Cambria"/>
          <w:bCs/>
          <w:color w:val="000000"/>
          <w:sz w:val="21"/>
          <w:szCs w:val="21"/>
          <w:lang w:val="en-GB"/>
        </w:rPr>
        <w:t>3.1.4. Group Responsible for drafting MPG Rules</w:t>
      </w:r>
      <w:r w:rsidRPr="001E5747">
        <w:rPr>
          <w:rFonts w:ascii="Cambria" w:eastAsia="Times New Roman" w:hAnsi="Cambria"/>
          <w:bCs/>
          <w:color w:val="000000"/>
          <w:sz w:val="21"/>
          <w:szCs w:val="21"/>
          <w:lang w:val="en-GB"/>
        </w:rPr>
        <w:tab/>
      </w:r>
      <w:r w:rsidRPr="001E5747">
        <w:rPr>
          <w:rFonts w:ascii="Cambria" w:eastAsia="Times New Roman" w:hAnsi="Cambria"/>
          <w:bCs/>
          <w:color w:val="000000"/>
          <w:sz w:val="21"/>
          <w:szCs w:val="21"/>
          <w:lang w:val="en-GB"/>
        </w:rPr>
        <w:fldChar w:fldCharType="begin"/>
      </w:r>
      <w:r w:rsidRPr="001E5747">
        <w:rPr>
          <w:rFonts w:ascii="Cambria" w:eastAsia="Times New Roman" w:hAnsi="Cambria"/>
          <w:bCs/>
          <w:color w:val="000000"/>
          <w:sz w:val="21"/>
          <w:szCs w:val="21"/>
          <w:lang w:val="en-GB"/>
        </w:rPr>
        <w:instrText xml:space="preserve"> PAGEREF _Toc61062532 \h </w:instrText>
      </w:r>
      <w:r w:rsidRPr="001E5747">
        <w:rPr>
          <w:rFonts w:ascii="Cambria" w:eastAsia="Times New Roman" w:hAnsi="Cambria"/>
          <w:bCs/>
          <w:color w:val="000000"/>
          <w:sz w:val="21"/>
          <w:szCs w:val="21"/>
          <w:lang w:val="en-GB"/>
        </w:rPr>
      </w:r>
      <w:r w:rsidRPr="001E5747">
        <w:rPr>
          <w:rFonts w:ascii="Cambria" w:eastAsia="Times New Roman" w:hAnsi="Cambria"/>
          <w:bCs/>
          <w:color w:val="000000"/>
          <w:sz w:val="21"/>
          <w:szCs w:val="21"/>
          <w:lang w:val="en-GB"/>
        </w:rPr>
        <w:fldChar w:fldCharType="separate"/>
      </w:r>
      <w:r w:rsidR="00A25A8C">
        <w:rPr>
          <w:rFonts w:ascii="Cambria" w:eastAsia="Times New Roman" w:hAnsi="Cambria"/>
          <w:bCs/>
          <w:noProof/>
          <w:color w:val="000000"/>
          <w:sz w:val="21"/>
          <w:szCs w:val="21"/>
          <w:lang w:val="en-GB"/>
        </w:rPr>
        <w:t>17</w:t>
      </w:r>
      <w:r w:rsidRPr="001E5747">
        <w:rPr>
          <w:rFonts w:ascii="Cambria" w:eastAsia="Times New Roman" w:hAnsi="Cambria"/>
          <w:bCs/>
          <w:color w:val="000000"/>
          <w:sz w:val="21"/>
          <w:szCs w:val="21"/>
          <w:lang w:val="en-GB"/>
        </w:rPr>
        <w:fldChar w:fldCharType="end"/>
      </w:r>
    </w:p>
    <w:p w14:paraId="706FA824" w14:textId="77777777" w:rsidR="00494150" w:rsidRPr="001E5747" w:rsidRDefault="00A0644E" w:rsidP="00A0644E">
      <w:pPr>
        <w:pBdr>
          <w:bottom w:val="single" w:sz="6" w:space="0" w:color="auto"/>
        </w:pBdr>
        <w:tabs>
          <w:tab w:val="left" w:pos="574"/>
          <w:tab w:val="left" w:pos="1200"/>
          <w:tab w:val="right" w:leader="dot" w:pos="8751"/>
        </w:tabs>
        <w:spacing w:before="40"/>
        <w:ind w:left="992" w:hanging="425"/>
        <w:rPr>
          <w:rFonts w:ascii="Cambria" w:eastAsia="Times New Roman" w:hAnsi="Cambria"/>
          <w:bCs/>
          <w:color w:val="000000"/>
          <w:sz w:val="21"/>
          <w:szCs w:val="21"/>
          <w:lang w:val="en-GB"/>
        </w:rPr>
      </w:pPr>
      <w:r w:rsidRPr="001E5747">
        <w:rPr>
          <w:rFonts w:ascii="Cambria" w:eastAsia="Times New Roman" w:hAnsi="Cambria"/>
          <w:bCs/>
          <w:color w:val="000000"/>
          <w:sz w:val="21"/>
          <w:szCs w:val="21"/>
          <w:lang w:val="en-GB"/>
        </w:rPr>
        <w:t>3.2</w:t>
      </w:r>
      <w:r w:rsidRPr="001E5747">
        <w:rPr>
          <w:rFonts w:ascii="Calibri" w:eastAsia="Times New Roman" w:hAnsi="Calibri"/>
          <w:bCs/>
          <w:color w:val="000000"/>
          <w:sz w:val="21"/>
          <w:szCs w:val="21"/>
          <w:lang w:val="en-GB"/>
        </w:rPr>
        <w:tab/>
      </w:r>
      <w:r w:rsidRPr="001E5747">
        <w:rPr>
          <w:rFonts w:ascii="Cambria" w:eastAsia="Times New Roman" w:hAnsi="Cambria"/>
          <w:bCs/>
          <w:color w:val="000000"/>
          <w:sz w:val="21"/>
          <w:szCs w:val="21"/>
          <w:lang w:val="en-GB"/>
        </w:rPr>
        <w:t>Timeline</w:t>
      </w:r>
      <w:r w:rsidRPr="001E5747">
        <w:rPr>
          <w:rFonts w:ascii="Cambria" w:eastAsia="Times New Roman" w:hAnsi="Cambria"/>
          <w:bCs/>
          <w:color w:val="000000"/>
          <w:sz w:val="21"/>
          <w:szCs w:val="21"/>
          <w:lang w:val="en-GB"/>
        </w:rPr>
        <w:tab/>
      </w:r>
    </w:p>
    <w:p w14:paraId="06926E68" w14:textId="1EB32B16" w:rsidR="00A0644E" w:rsidRPr="001E5747" w:rsidRDefault="00A0644E" w:rsidP="00A0644E">
      <w:pPr>
        <w:pBdr>
          <w:bottom w:val="single" w:sz="6" w:space="0" w:color="auto"/>
        </w:pBdr>
        <w:tabs>
          <w:tab w:val="left" w:pos="574"/>
          <w:tab w:val="left" w:pos="1200"/>
          <w:tab w:val="right" w:leader="dot" w:pos="8751"/>
        </w:tabs>
        <w:spacing w:before="40"/>
        <w:ind w:left="992" w:hanging="425"/>
        <w:rPr>
          <w:rFonts w:ascii="Calibri" w:eastAsia="Times New Roman" w:hAnsi="Calibri"/>
          <w:bCs/>
          <w:color w:val="000000"/>
          <w:sz w:val="21"/>
          <w:szCs w:val="21"/>
          <w:lang w:val="en-GB"/>
        </w:rPr>
      </w:pPr>
      <w:r w:rsidRPr="001E5747">
        <w:rPr>
          <w:rFonts w:ascii="Cambria" w:eastAsia="Times New Roman" w:hAnsi="Cambria"/>
          <w:bCs/>
          <w:color w:val="000000"/>
          <w:sz w:val="21"/>
          <w:szCs w:val="21"/>
          <w:lang w:val="en-GB"/>
        </w:rPr>
        <w:t>3.3</w:t>
      </w:r>
      <w:r w:rsidRPr="001E5747">
        <w:rPr>
          <w:rFonts w:ascii="Calibri" w:eastAsia="Times New Roman" w:hAnsi="Calibri"/>
          <w:bCs/>
          <w:color w:val="000000"/>
          <w:sz w:val="21"/>
          <w:szCs w:val="21"/>
          <w:lang w:val="en-GB"/>
        </w:rPr>
        <w:tab/>
      </w:r>
      <w:r w:rsidRPr="001E5747">
        <w:rPr>
          <w:rFonts w:ascii="Cambria" w:eastAsia="Times New Roman" w:hAnsi="Cambria"/>
          <w:bCs/>
          <w:color w:val="000000"/>
          <w:sz w:val="21"/>
          <w:szCs w:val="21"/>
          <w:lang w:val="en-GB"/>
        </w:rPr>
        <w:t>Assessment procedures</w:t>
      </w:r>
      <w:r w:rsidRPr="001E5747">
        <w:rPr>
          <w:rFonts w:ascii="Cambria" w:eastAsia="Times New Roman" w:hAnsi="Cambria"/>
          <w:bCs/>
          <w:color w:val="000000"/>
          <w:sz w:val="21"/>
          <w:szCs w:val="21"/>
          <w:lang w:val="en-GB"/>
        </w:rPr>
        <w:tab/>
      </w:r>
      <w:r w:rsidRPr="001E5747">
        <w:rPr>
          <w:rFonts w:ascii="Cambria" w:eastAsia="Times New Roman" w:hAnsi="Cambria"/>
          <w:bCs/>
          <w:color w:val="000000"/>
          <w:sz w:val="21"/>
          <w:szCs w:val="21"/>
          <w:lang w:val="en-GB"/>
        </w:rPr>
        <w:fldChar w:fldCharType="begin"/>
      </w:r>
      <w:r w:rsidRPr="001E5747">
        <w:rPr>
          <w:rFonts w:ascii="Cambria" w:eastAsia="Times New Roman" w:hAnsi="Cambria"/>
          <w:bCs/>
          <w:color w:val="000000"/>
          <w:sz w:val="21"/>
          <w:szCs w:val="21"/>
          <w:lang w:val="en-GB"/>
        </w:rPr>
        <w:instrText xml:space="preserve"> PAGEREF _Toc61062535 \h </w:instrText>
      </w:r>
      <w:r w:rsidRPr="001E5747">
        <w:rPr>
          <w:rFonts w:ascii="Cambria" w:eastAsia="Times New Roman" w:hAnsi="Cambria"/>
          <w:bCs/>
          <w:color w:val="000000"/>
          <w:sz w:val="21"/>
          <w:szCs w:val="21"/>
          <w:lang w:val="en-GB"/>
        </w:rPr>
      </w:r>
      <w:r w:rsidRPr="001E5747">
        <w:rPr>
          <w:rFonts w:ascii="Cambria" w:eastAsia="Times New Roman" w:hAnsi="Cambria"/>
          <w:bCs/>
          <w:color w:val="000000"/>
          <w:sz w:val="21"/>
          <w:szCs w:val="21"/>
          <w:lang w:val="en-GB"/>
        </w:rPr>
        <w:fldChar w:fldCharType="separate"/>
      </w:r>
      <w:r w:rsidR="00A25A8C">
        <w:rPr>
          <w:rFonts w:ascii="Cambria" w:eastAsia="Times New Roman" w:hAnsi="Cambria"/>
          <w:bCs/>
          <w:noProof/>
          <w:color w:val="000000"/>
          <w:sz w:val="21"/>
          <w:szCs w:val="21"/>
          <w:lang w:val="en-GB"/>
        </w:rPr>
        <w:t>18</w:t>
      </w:r>
      <w:r w:rsidRPr="001E5747">
        <w:rPr>
          <w:rFonts w:ascii="Cambria" w:eastAsia="Times New Roman" w:hAnsi="Cambria"/>
          <w:bCs/>
          <w:color w:val="000000"/>
          <w:sz w:val="21"/>
          <w:szCs w:val="21"/>
          <w:lang w:val="en-GB"/>
        </w:rPr>
        <w:fldChar w:fldCharType="end"/>
      </w:r>
    </w:p>
    <w:p w14:paraId="3AA2530A" w14:textId="77777777" w:rsidR="00A0644E" w:rsidRPr="001E5747" w:rsidRDefault="00A0644E" w:rsidP="00A0644E">
      <w:pPr>
        <w:pBdr>
          <w:bottom w:val="single" w:sz="6" w:space="0" w:color="auto"/>
        </w:pBdr>
        <w:tabs>
          <w:tab w:val="left" w:pos="574"/>
          <w:tab w:val="left" w:pos="1440"/>
          <w:tab w:val="right" w:leader="dot" w:pos="8751"/>
        </w:tabs>
        <w:spacing w:before="40"/>
        <w:ind w:left="992" w:hanging="425"/>
        <w:rPr>
          <w:rFonts w:ascii="Calibri" w:eastAsia="Times New Roman" w:hAnsi="Calibri"/>
          <w:bCs/>
          <w:color w:val="000000"/>
          <w:sz w:val="21"/>
          <w:szCs w:val="21"/>
          <w:lang w:val="en-GB"/>
        </w:rPr>
      </w:pPr>
      <w:r w:rsidRPr="001E5747">
        <w:rPr>
          <w:rFonts w:ascii="Cambria" w:eastAsia="Times New Roman" w:hAnsi="Cambria"/>
          <w:bCs/>
          <w:color w:val="000000"/>
          <w:sz w:val="21"/>
          <w:szCs w:val="21"/>
          <w:lang w:val="en-GB"/>
        </w:rPr>
        <w:t>3.3.2.</w:t>
      </w:r>
      <w:r w:rsidRPr="001E5747">
        <w:rPr>
          <w:rFonts w:ascii="Calibri" w:eastAsia="Times New Roman" w:hAnsi="Calibri"/>
          <w:bCs/>
          <w:color w:val="000000"/>
          <w:sz w:val="21"/>
          <w:szCs w:val="21"/>
          <w:lang w:val="en-GB"/>
        </w:rPr>
        <w:tab/>
      </w:r>
      <w:r w:rsidRPr="001E5747">
        <w:rPr>
          <w:rFonts w:ascii="Cambria" w:eastAsia="Times New Roman" w:hAnsi="Cambria"/>
          <w:bCs/>
          <w:color w:val="000000"/>
          <w:sz w:val="21"/>
          <w:szCs w:val="21"/>
          <w:lang w:val="en-GB"/>
        </w:rPr>
        <w:t>Preparations for assessment of MPG</w:t>
      </w:r>
      <w:r w:rsidRPr="001E5747">
        <w:rPr>
          <w:rFonts w:ascii="Cambria" w:eastAsia="Times New Roman" w:hAnsi="Cambria"/>
          <w:bCs/>
          <w:color w:val="000000"/>
          <w:sz w:val="21"/>
          <w:szCs w:val="21"/>
          <w:lang w:val="en-GB"/>
        </w:rPr>
        <w:tab/>
      </w:r>
    </w:p>
    <w:p w14:paraId="00587683" w14:textId="77777777" w:rsidR="00A0644E" w:rsidRPr="001E5747" w:rsidRDefault="00A0644E" w:rsidP="00A0644E">
      <w:pPr>
        <w:pBdr>
          <w:bottom w:val="single" w:sz="6" w:space="0" w:color="auto"/>
        </w:pBdr>
        <w:tabs>
          <w:tab w:val="left" w:pos="574"/>
          <w:tab w:val="left" w:pos="1440"/>
          <w:tab w:val="right" w:leader="dot" w:pos="8751"/>
        </w:tabs>
        <w:spacing w:before="40"/>
        <w:ind w:left="992" w:hanging="425"/>
        <w:rPr>
          <w:rFonts w:ascii="Calibri" w:eastAsia="Times New Roman" w:hAnsi="Calibri"/>
          <w:bCs/>
          <w:color w:val="000000"/>
          <w:sz w:val="21"/>
          <w:szCs w:val="21"/>
          <w:lang w:val="en-GB"/>
        </w:rPr>
      </w:pPr>
      <w:r w:rsidRPr="001E5747">
        <w:rPr>
          <w:rFonts w:ascii="Cambria" w:eastAsia="Times New Roman" w:hAnsi="Cambria"/>
          <w:bCs/>
          <w:color w:val="000000"/>
          <w:sz w:val="21"/>
          <w:szCs w:val="21"/>
          <w:lang w:val="en-GB"/>
        </w:rPr>
        <w:t>3.3.3.</w:t>
      </w:r>
      <w:r w:rsidRPr="001E5747">
        <w:rPr>
          <w:rFonts w:ascii="Calibri" w:eastAsia="Times New Roman" w:hAnsi="Calibri"/>
          <w:bCs/>
          <w:color w:val="000000"/>
          <w:sz w:val="21"/>
          <w:szCs w:val="21"/>
          <w:lang w:val="en-GB"/>
        </w:rPr>
        <w:tab/>
      </w:r>
      <w:r w:rsidRPr="001E5747">
        <w:rPr>
          <w:rFonts w:ascii="Cambria" w:eastAsia="Times New Roman" w:hAnsi="Cambria"/>
          <w:bCs/>
          <w:color w:val="000000"/>
          <w:sz w:val="21"/>
          <w:szCs w:val="21"/>
          <w:lang w:val="en-GB"/>
        </w:rPr>
        <w:t>Data collection and assessment</w:t>
      </w:r>
      <w:r w:rsidRPr="001E5747">
        <w:rPr>
          <w:rFonts w:ascii="Cambria" w:eastAsia="Times New Roman" w:hAnsi="Cambria"/>
          <w:bCs/>
          <w:color w:val="000000"/>
          <w:sz w:val="21"/>
          <w:szCs w:val="21"/>
          <w:lang w:val="en-GB"/>
        </w:rPr>
        <w:tab/>
      </w:r>
    </w:p>
    <w:p w14:paraId="5CC724D4" w14:textId="77777777" w:rsidR="00A0644E" w:rsidRPr="001E5747" w:rsidRDefault="00A0644E" w:rsidP="00A0644E">
      <w:pPr>
        <w:pBdr>
          <w:bottom w:val="single" w:sz="6" w:space="0" w:color="auto"/>
        </w:pBdr>
        <w:tabs>
          <w:tab w:val="left" w:pos="574"/>
          <w:tab w:val="left" w:pos="1440"/>
          <w:tab w:val="right" w:leader="dot" w:pos="8751"/>
        </w:tabs>
        <w:spacing w:before="40"/>
        <w:ind w:left="992" w:hanging="425"/>
        <w:rPr>
          <w:rFonts w:ascii="Calibri" w:eastAsia="Times New Roman" w:hAnsi="Calibri"/>
          <w:bCs/>
          <w:color w:val="000000"/>
          <w:sz w:val="21"/>
          <w:szCs w:val="21"/>
          <w:lang w:val="en-GB"/>
        </w:rPr>
      </w:pPr>
      <w:r w:rsidRPr="001E5747">
        <w:rPr>
          <w:rFonts w:ascii="Cambria" w:eastAsia="Times New Roman" w:hAnsi="Cambria"/>
          <w:bCs/>
          <w:color w:val="000000"/>
          <w:sz w:val="21"/>
          <w:szCs w:val="21"/>
          <w:lang w:val="en-GB"/>
        </w:rPr>
        <w:t>3.3.4.</w:t>
      </w:r>
      <w:r w:rsidRPr="001E5747">
        <w:rPr>
          <w:rFonts w:ascii="Calibri" w:eastAsia="Times New Roman" w:hAnsi="Calibri"/>
          <w:bCs/>
          <w:color w:val="000000"/>
          <w:sz w:val="21"/>
          <w:szCs w:val="21"/>
          <w:lang w:val="en-GB"/>
        </w:rPr>
        <w:tab/>
      </w:r>
      <w:r w:rsidRPr="001E5747">
        <w:rPr>
          <w:rFonts w:ascii="Cambria" w:eastAsia="Times New Roman" w:hAnsi="Cambria"/>
          <w:bCs/>
          <w:color w:val="000000"/>
          <w:sz w:val="21"/>
          <w:szCs w:val="21"/>
          <w:lang w:val="en-GB"/>
        </w:rPr>
        <w:t>Communication of results to municipalities and the complaint procedure</w:t>
      </w:r>
      <w:r w:rsidRPr="001E5747">
        <w:rPr>
          <w:rFonts w:ascii="Cambria" w:eastAsia="Times New Roman" w:hAnsi="Cambria"/>
          <w:bCs/>
          <w:color w:val="000000"/>
          <w:sz w:val="21"/>
          <w:szCs w:val="21"/>
          <w:lang w:val="en-GB"/>
        </w:rPr>
        <w:tab/>
      </w:r>
    </w:p>
    <w:p w14:paraId="5EDCBD6B" w14:textId="77777777" w:rsidR="00494150" w:rsidRPr="001E5747" w:rsidRDefault="00A0644E" w:rsidP="00A0644E">
      <w:pPr>
        <w:pBdr>
          <w:bottom w:val="single" w:sz="6" w:space="0" w:color="auto"/>
        </w:pBdr>
        <w:tabs>
          <w:tab w:val="left" w:pos="574"/>
          <w:tab w:val="left" w:pos="1440"/>
          <w:tab w:val="right" w:leader="dot" w:pos="8751"/>
        </w:tabs>
        <w:spacing w:before="40"/>
        <w:ind w:left="992" w:hanging="425"/>
        <w:rPr>
          <w:rFonts w:ascii="Cambria" w:eastAsia="Times New Roman" w:hAnsi="Cambria"/>
          <w:bCs/>
          <w:color w:val="000000"/>
          <w:sz w:val="21"/>
          <w:szCs w:val="21"/>
          <w:lang w:val="en-GB"/>
        </w:rPr>
      </w:pPr>
      <w:r w:rsidRPr="001E5747">
        <w:rPr>
          <w:rFonts w:ascii="Cambria" w:eastAsia="Times New Roman" w:hAnsi="Cambria"/>
          <w:bCs/>
          <w:color w:val="000000"/>
          <w:sz w:val="21"/>
          <w:szCs w:val="21"/>
          <w:lang w:val="en-GB"/>
        </w:rPr>
        <w:t>3.3.5.</w:t>
      </w:r>
      <w:r w:rsidRPr="001E5747">
        <w:rPr>
          <w:rFonts w:ascii="Calibri" w:eastAsia="Times New Roman" w:hAnsi="Calibri"/>
          <w:bCs/>
          <w:color w:val="000000"/>
          <w:sz w:val="21"/>
          <w:szCs w:val="21"/>
          <w:lang w:val="en-GB"/>
        </w:rPr>
        <w:tab/>
      </w:r>
      <w:r w:rsidRPr="001E5747">
        <w:rPr>
          <w:rFonts w:ascii="Cambria" w:eastAsia="Times New Roman" w:hAnsi="Cambria"/>
          <w:bCs/>
          <w:color w:val="000000"/>
          <w:sz w:val="21"/>
          <w:szCs w:val="21"/>
          <w:lang w:val="en-GB"/>
        </w:rPr>
        <w:t>Finalising and publishing the assessment results and grant allocation</w:t>
      </w:r>
      <w:r w:rsidRPr="001E5747">
        <w:rPr>
          <w:rFonts w:ascii="Cambria" w:eastAsia="Times New Roman" w:hAnsi="Cambria"/>
          <w:bCs/>
          <w:color w:val="000000"/>
          <w:sz w:val="21"/>
          <w:szCs w:val="21"/>
          <w:lang w:val="en-GB"/>
        </w:rPr>
        <w:tab/>
      </w:r>
    </w:p>
    <w:p w14:paraId="555BA961" w14:textId="77777777" w:rsidR="00A0644E" w:rsidRPr="001E5747" w:rsidRDefault="00A0644E" w:rsidP="00A0644E">
      <w:pPr>
        <w:pBdr>
          <w:bottom w:val="single" w:sz="6" w:space="0" w:color="auto"/>
        </w:pBdr>
        <w:tabs>
          <w:tab w:val="left" w:pos="574"/>
          <w:tab w:val="left" w:pos="1440"/>
          <w:tab w:val="right" w:leader="dot" w:pos="8751"/>
        </w:tabs>
        <w:spacing w:before="40"/>
        <w:ind w:left="992" w:hanging="425"/>
        <w:rPr>
          <w:rFonts w:ascii="Calibri" w:eastAsia="Times New Roman" w:hAnsi="Calibri"/>
          <w:bCs/>
          <w:color w:val="000000"/>
          <w:sz w:val="21"/>
          <w:szCs w:val="21"/>
          <w:lang w:val="en-GB"/>
        </w:rPr>
      </w:pPr>
      <w:r w:rsidRPr="001E5747">
        <w:rPr>
          <w:rFonts w:ascii="Cambria" w:eastAsia="Times New Roman" w:hAnsi="Cambria"/>
          <w:bCs/>
          <w:color w:val="000000"/>
          <w:sz w:val="21"/>
          <w:szCs w:val="21"/>
          <w:lang w:val="en-GB"/>
        </w:rPr>
        <w:t>3.3.6.</w:t>
      </w:r>
      <w:r w:rsidRPr="001E5747">
        <w:rPr>
          <w:rFonts w:ascii="Calibri" w:eastAsia="Times New Roman" w:hAnsi="Calibri"/>
          <w:bCs/>
          <w:color w:val="000000"/>
          <w:sz w:val="21"/>
          <w:szCs w:val="21"/>
          <w:lang w:val="en-GB"/>
        </w:rPr>
        <w:tab/>
      </w:r>
      <w:r w:rsidRPr="001E5747">
        <w:rPr>
          <w:rFonts w:ascii="Cambria" w:eastAsia="Times New Roman" w:hAnsi="Cambria"/>
          <w:bCs/>
          <w:color w:val="000000"/>
          <w:sz w:val="21"/>
          <w:szCs w:val="21"/>
          <w:lang w:val="en-GB"/>
        </w:rPr>
        <w:t>Measures to ensure objective assessment</w:t>
      </w:r>
      <w:r w:rsidRPr="001E5747">
        <w:rPr>
          <w:rFonts w:ascii="Cambria" w:eastAsia="Times New Roman" w:hAnsi="Cambria"/>
          <w:bCs/>
          <w:color w:val="000000"/>
          <w:sz w:val="21"/>
          <w:szCs w:val="21"/>
          <w:lang w:val="en-GB"/>
        </w:rPr>
        <w:tab/>
      </w:r>
    </w:p>
    <w:p w14:paraId="387DE394" w14:textId="77777777" w:rsidR="00A0644E" w:rsidRPr="001E5747" w:rsidRDefault="00A0644E" w:rsidP="00A0644E">
      <w:pPr>
        <w:pBdr>
          <w:bottom w:val="single" w:sz="6" w:space="0" w:color="auto"/>
        </w:pBdr>
        <w:tabs>
          <w:tab w:val="left" w:pos="574"/>
          <w:tab w:val="left" w:pos="992"/>
          <w:tab w:val="right" w:leader="dot" w:pos="8751"/>
        </w:tabs>
        <w:spacing w:before="40"/>
        <w:ind w:left="992" w:hanging="425"/>
        <w:rPr>
          <w:rFonts w:ascii="Calibri" w:eastAsia="Times New Roman" w:hAnsi="Calibri"/>
          <w:bCs/>
          <w:color w:val="000000"/>
          <w:sz w:val="21"/>
          <w:szCs w:val="21"/>
          <w:lang w:val="en-GB"/>
        </w:rPr>
      </w:pPr>
      <w:r w:rsidRPr="001E5747">
        <w:rPr>
          <w:rFonts w:ascii="Cambria" w:eastAsia="Times New Roman" w:hAnsi="Cambria"/>
          <w:bCs/>
          <w:color w:val="000000"/>
          <w:sz w:val="21"/>
          <w:szCs w:val="21"/>
          <w:lang w:val="en-GB"/>
        </w:rPr>
        <w:t>4.</w:t>
      </w:r>
      <w:r w:rsidRPr="001E5747">
        <w:rPr>
          <w:rFonts w:ascii="Calibri" w:eastAsia="Times New Roman" w:hAnsi="Calibri"/>
          <w:bCs/>
          <w:color w:val="000000"/>
          <w:sz w:val="21"/>
          <w:szCs w:val="21"/>
          <w:lang w:val="en-GB"/>
        </w:rPr>
        <w:tab/>
      </w:r>
      <w:r w:rsidRPr="001E5747">
        <w:rPr>
          <w:rFonts w:ascii="Cambria" w:eastAsia="Times New Roman" w:hAnsi="Cambria"/>
          <w:bCs/>
          <w:color w:val="000000"/>
          <w:sz w:val="21"/>
          <w:szCs w:val="21"/>
          <w:lang w:val="en-GB"/>
        </w:rPr>
        <w:t>Annexes</w:t>
      </w:r>
      <w:r w:rsidRPr="001E5747">
        <w:rPr>
          <w:rFonts w:ascii="Cambria" w:eastAsia="Times New Roman" w:hAnsi="Cambria"/>
          <w:bCs/>
          <w:color w:val="000000"/>
          <w:sz w:val="21"/>
          <w:szCs w:val="21"/>
          <w:lang w:val="en-GB"/>
        </w:rPr>
        <w:tab/>
      </w:r>
    </w:p>
    <w:p w14:paraId="50906979" w14:textId="46F1EABB" w:rsidR="00A0644E" w:rsidRPr="001E5747" w:rsidRDefault="00A0644E" w:rsidP="00A0644E">
      <w:pPr>
        <w:pBdr>
          <w:bottom w:val="single" w:sz="6" w:space="0" w:color="auto"/>
        </w:pBdr>
        <w:tabs>
          <w:tab w:val="left" w:pos="574"/>
          <w:tab w:val="right" w:leader="dot" w:pos="8751"/>
        </w:tabs>
        <w:spacing w:before="40"/>
        <w:ind w:left="992" w:hanging="425"/>
        <w:rPr>
          <w:rFonts w:ascii="Calibri" w:eastAsia="Times New Roman" w:hAnsi="Calibri"/>
          <w:bCs/>
          <w:color w:val="000000"/>
          <w:sz w:val="21"/>
          <w:szCs w:val="21"/>
          <w:lang w:val="en-GB"/>
        </w:rPr>
      </w:pPr>
      <w:r w:rsidRPr="001E5747">
        <w:rPr>
          <w:rFonts w:ascii="Cambria" w:eastAsia="Times New Roman" w:hAnsi="Cambria"/>
          <w:bCs/>
          <w:color w:val="000000"/>
          <w:sz w:val="21"/>
          <w:szCs w:val="21"/>
          <w:lang w:val="en-GB"/>
        </w:rPr>
        <w:t>Annexe 1: Scoring Guide – Minimum conditions</w:t>
      </w:r>
      <w:r w:rsidRPr="001E5747">
        <w:rPr>
          <w:rFonts w:ascii="Cambria" w:eastAsia="Times New Roman" w:hAnsi="Cambria"/>
          <w:bCs/>
          <w:color w:val="000000"/>
          <w:sz w:val="21"/>
          <w:szCs w:val="21"/>
          <w:lang w:val="en-GB"/>
        </w:rPr>
        <w:tab/>
      </w:r>
      <w:r w:rsidRPr="001E5747">
        <w:rPr>
          <w:rFonts w:ascii="Cambria" w:eastAsia="Times New Roman" w:hAnsi="Cambria"/>
          <w:bCs/>
          <w:color w:val="000000"/>
          <w:sz w:val="21"/>
          <w:szCs w:val="21"/>
          <w:lang w:val="en-GB"/>
        </w:rPr>
        <w:fldChar w:fldCharType="begin"/>
      </w:r>
      <w:r w:rsidRPr="001E5747">
        <w:rPr>
          <w:rFonts w:ascii="Cambria" w:eastAsia="Times New Roman" w:hAnsi="Cambria"/>
          <w:bCs/>
          <w:color w:val="000000"/>
          <w:sz w:val="21"/>
          <w:szCs w:val="21"/>
          <w:lang w:val="en-GB"/>
        </w:rPr>
        <w:instrText xml:space="preserve"> PAGEREF _Toc61062542 \h </w:instrText>
      </w:r>
      <w:r w:rsidRPr="001E5747">
        <w:rPr>
          <w:rFonts w:ascii="Cambria" w:eastAsia="Times New Roman" w:hAnsi="Cambria"/>
          <w:bCs/>
          <w:color w:val="000000"/>
          <w:sz w:val="21"/>
          <w:szCs w:val="21"/>
          <w:lang w:val="en-GB"/>
        </w:rPr>
      </w:r>
      <w:r w:rsidRPr="001E5747">
        <w:rPr>
          <w:rFonts w:ascii="Cambria" w:eastAsia="Times New Roman" w:hAnsi="Cambria"/>
          <w:bCs/>
          <w:color w:val="000000"/>
          <w:sz w:val="21"/>
          <w:szCs w:val="21"/>
          <w:lang w:val="en-GB"/>
        </w:rPr>
        <w:fldChar w:fldCharType="separate"/>
      </w:r>
      <w:r w:rsidR="00A25A8C">
        <w:rPr>
          <w:rFonts w:ascii="Cambria" w:eastAsia="Times New Roman" w:hAnsi="Cambria"/>
          <w:bCs/>
          <w:noProof/>
          <w:color w:val="000000"/>
          <w:sz w:val="21"/>
          <w:szCs w:val="21"/>
          <w:lang w:val="en-GB"/>
        </w:rPr>
        <w:t>22</w:t>
      </w:r>
      <w:r w:rsidRPr="001E5747">
        <w:rPr>
          <w:rFonts w:ascii="Cambria" w:eastAsia="Times New Roman" w:hAnsi="Cambria"/>
          <w:bCs/>
          <w:color w:val="000000"/>
          <w:sz w:val="21"/>
          <w:szCs w:val="21"/>
          <w:lang w:val="en-GB"/>
        </w:rPr>
        <w:fldChar w:fldCharType="end"/>
      </w:r>
    </w:p>
    <w:p w14:paraId="4F2B3673" w14:textId="6D3AC153" w:rsidR="00A0644E" w:rsidRPr="001E5747" w:rsidRDefault="00A0644E" w:rsidP="00A0644E">
      <w:pPr>
        <w:pBdr>
          <w:bottom w:val="single" w:sz="6" w:space="0" w:color="auto"/>
        </w:pBdr>
        <w:tabs>
          <w:tab w:val="left" w:pos="574"/>
          <w:tab w:val="right" w:leader="dot" w:pos="8751"/>
        </w:tabs>
        <w:spacing w:before="40"/>
        <w:ind w:left="992" w:hanging="425"/>
        <w:rPr>
          <w:rFonts w:ascii="Calibri" w:eastAsia="Times New Roman" w:hAnsi="Calibri"/>
          <w:bCs/>
          <w:color w:val="000000"/>
          <w:sz w:val="21"/>
          <w:szCs w:val="21"/>
          <w:lang w:val="en-GB"/>
        </w:rPr>
      </w:pPr>
      <w:r w:rsidRPr="001E5747">
        <w:rPr>
          <w:rFonts w:ascii="Cambria" w:eastAsia="Times New Roman" w:hAnsi="Cambria"/>
          <w:bCs/>
          <w:color w:val="000000"/>
          <w:sz w:val="21"/>
          <w:szCs w:val="21"/>
          <w:lang w:val="en-GB"/>
        </w:rPr>
        <w:t>Annexe 2: Scoring Guideline – Performance Indicators</w:t>
      </w:r>
      <w:r w:rsidRPr="001E5747">
        <w:rPr>
          <w:rFonts w:ascii="Cambria" w:eastAsia="Times New Roman" w:hAnsi="Cambria"/>
          <w:bCs/>
          <w:color w:val="000000"/>
          <w:sz w:val="21"/>
          <w:szCs w:val="21"/>
          <w:lang w:val="en-GB"/>
        </w:rPr>
        <w:tab/>
      </w:r>
      <w:r w:rsidRPr="001E5747">
        <w:rPr>
          <w:rFonts w:ascii="Cambria" w:eastAsia="Times New Roman" w:hAnsi="Cambria"/>
          <w:bCs/>
          <w:color w:val="000000"/>
          <w:sz w:val="21"/>
          <w:szCs w:val="21"/>
          <w:lang w:val="en-GB"/>
        </w:rPr>
        <w:fldChar w:fldCharType="begin"/>
      </w:r>
      <w:r w:rsidRPr="001E5747">
        <w:rPr>
          <w:rFonts w:ascii="Cambria" w:eastAsia="Times New Roman" w:hAnsi="Cambria"/>
          <w:bCs/>
          <w:color w:val="000000"/>
          <w:sz w:val="21"/>
          <w:szCs w:val="21"/>
          <w:lang w:val="en-GB"/>
        </w:rPr>
        <w:instrText xml:space="preserve"> PAGEREF _Toc61062543 \h </w:instrText>
      </w:r>
      <w:r w:rsidRPr="001E5747">
        <w:rPr>
          <w:rFonts w:ascii="Cambria" w:eastAsia="Times New Roman" w:hAnsi="Cambria"/>
          <w:bCs/>
          <w:color w:val="000000"/>
          <w:sz w:val="21"/>
          <w:szCs w:val="21"/>
          <w:lang w:val="en-GB"/>
        </w:rPr>
      </w:r>
      <w:r w:rsidRPr="001E5747">
        <w:rPr>
          <w:rFonts w:ascii="Cambria" w:eastAsia="Times New Roman" w:hAnsi="Cambria"/>
          <w:bCs/>
          <w:color w:val="000000"/>
          <w:sz w:val="21"/>
          <w:szCs w:val="21"/>
          <w:lang w:val="en-GB"/>
        </w:rPr>
        <w:fldChar w:fldCharType="separate"/>
      </w:r>
      <w:r w:rsidR="00A25A8C">
        <w:rPr>
          <w:rFonts w:ascii="Cambria" w:eastAsia="Times New Roman" w:hAnsi="Cambria"/>
          <w:bCs/>
          <w:noProof/>
          <w:color w:val="000000"/>
          <w:sz w:val="21"/>
          <w:szCs w:val="21"/>
          <w:lang w:val="en-GB"/>
        </w:rPr>
        <w:t>25</w:t>
      </w:r>
      <w:r w:rsidRPr="001E5747">
        <w:rPr>
          <w:rFonts w:ascii="Cambria" w:eastAsia="Times New Roman" w:hAnsi="Cambria"/>
          <w:bCs/>
          <w:color w:val="000000"/>
          <w:sz w:val="21"/>
          <w:szCs w:val="21"/>
          <w:lang w:val="en-GB"/>
        </w:rPr>
        <w:fldChar w:fldCharType="end"/>
      </w:r>
    </w:p>
    <w:p w14:paraId="47D4BE68" w14:textId="5A2409FF" w:rsidR="00A0644E" w:rsidRPr="001E5747" w:rsidRDefault="00A0644E" w:rsidP="00A0644E">
      <w:pPr>
        <w:pBdr>
          <w:bottom w:val="single" w:sz="6" w:space="0" w:color="auto"/>
        </w:pBdr>
        <w:tabs>
          <w:tab w:val="left" w:pos="574"/>
          <w:tab w:val="right" w:leader="dot" w:pos="8751"/>
        </w:tabs>
        <w:spacing w:before="40"/>
        <w:ind w:left="992" w:hanging="425"/>
        <w:rPr>
          <w:rFonts w:ascii="Calibri" w:eastAsia="Times New Roman" w:hAnsi="Calibri"/>
          <w:bCs/>
          <w:color w:val="000000"/>
          <w:sz w:val="21"/>
          <w:szCs w:val="21"/>
          <w:lang w:val="en-GB"/>
        </w:rPr>
      </w:pPr>
      <w:r w:rsidRPr="001E5747">
        <w:rPr>
          <w:rFonts w:ascii="Cambria" w:eastAsia="Times New Roman" w:hAnsi="Cambria"/>
          <w:bCs/>
          <w:color w:val="000000"/>
          <w:sz w:val="21"/>
          <w:szCs w:val="21"/>
          <w:lang w:val="en-GB"/>
        </w:rPr>
        <w:t>Annexe 3: Template for Scorecard</w:t>
      </w:r>
      <w:r w:rsidRPr="001E5747">
        <w:rPr>
          <w:rFonts w:ascii="Cambria" w:eastAsia="Times New Roman" w:hAnsi="Cambria"/>
          <w:bCs/>
          <w:color w:val="000000"/>
          <w:sz w:val="21"/>
          <w:szCs w:val="21"/>
          <w:lang w:val="en-GB"/>
        </w:rPr>
        <w:tab/>
      </w:r>
      <w:r w:rsidRPr="001E5747">
        <w:rPr>
          <w:rFonts w:ascii="Cambria" w:eastAsia="Times New Roman" w:hAnsi="Cambria"/>
          <w:bCs/>
          <w:color w:val="000000"/>
          <w:sz w:val="21"/>
          <w:szCs w:val="21"/>
          <w:lang w:val="en-GB"/>
        </w:rPr>
        <w:fldChar w:fldCharType="begin"/>
      </w:r>
      <w:r w:rsidRPr="001E5747">
        <w:rPr>
          <w:rFonts w:ascii="Cambria" w:eastAsia="Times New Roman" w:hAnsi="Cambria"/>
          <w:bCs/>
          <w:color w:val="000000"/>
          <w:sz w:val="21"/>
          <w:szCs w:val="21"/>
          <w:lang w:val="en-GB"/>
        </w:rPr>
        <w:instrText xml:space="preserve"> PAGEREF _Toc61062544 \h </w:instrText>
      </w:r>
      <w:r w:rsidRPr="001E5747">
        <w:rPr>
          <w:rFonts w:ascii="Cambria" w:eastAsia="Times New Roman" w:hAnsi="Cambria"/>
          <w:bCs/>
          <w:color w:val="000000"/>
          <w:sz w:val="21"/>
          <w:szCs w:val="21"/>
          <w:lang w:val="en-GB"/>
        </w:rPr>
      </w:r>
      <w:r w:rsidRPr="001E5747">
        <w:rPr>
          <w:rFonts w:ascii="Cambria" w:eastAsia="Times New Roman" w:hAnsi="Cambria"/>
          <w:bCs/>
          <w:color w:val="000000"/>
          <w:sz w:val="21"/>
          <w:szCs w:val="21"/>
          <w:lang w:val="en-GB"/>
        </w:rPr>
        <w:fldChar w:fldCharType="separate"/>
      </w:r>
      <w:r w:rsidR="00A25A8C">
        <w:rPr>
          <w:rFonts w:ascii="Cambria" w:eastAsia="Times New Roman" w:hAnsi="Cambria"/>
          <w:bCs/>
          <w:noProof/>
          <w:color w:val="000000"/>
          <w:sz w:val="21"/>
          <w:szCs w:val="21"/>
          <w:lang w:val="en-GB"/>
        </w:rPr>
        <w:t>36</w:t>
      </w:r>
      <w:r w:rsidRPr="001E5747">
        <w:rPr>
          <w:rFonts w:ascii="Cambria" w:eastAsia="Times New Roman" w:hAnsi="Cambria"/>
          <w:bCs/>
          <w:color w:val="000000"/>
          <w:sz w:val="21"/>
          <w:szCs w:val="21"/>
          <w:lang w:val="en-GB"/>
        </w:rPr>
        <w:fldChar w:fldCharType="end"/>
      </w:r>
    </w:p>
    <w:p w14:paraId="47997372" w14:textId="2C5D4B12" w:rsidR="00A0644E" w:rsidRPr="001E5747" w:rsidRDefault="00A0644E" w:rsidP="00A0644E">
      <w:pPr>
        <w:pBdr>
          <w:bottom w:val="single" w:sz="6" w:space="0" w:color="auto"/>
        </w:pBdr>
        <w:tabs>
          <w:tab w:val="left" w:pos="574"/>
          <w:tab w:val="right" w:leader="dot" w:pos="8751"/>
        </w:tabs>
        <w:spacing w:before="40"/>
        <w:ind w:left="992" w:hanging="425"/>
        <w:rPr>
          <w:rFonts w:ascii="Calibri" w:eastAsia="Times New Roman" w:hAnsi="Calibri"/>
          <w:bCs/>
          <w:color w:val="000000"/>
          <w:sz w:val="21"/>
          <w:szCs w:val="21"/>
          <w:lang w:val="en-GB"/>
        </w:rPr>
      </w:pPr>
      <w:r w:rsidRPr="001E5747">
        <w:rPr>
          <w:rFonts w:ascii="Cambria" w:eastAsia="Times New Roman" w:hAnsi="Cambria"/>
          <w:bCs/>
          <w:color w:val="000000"/>
          <w:sz w:val="21"/>
          <w:szCs w:val="21"/>
          <w:lang w:val="en-GB"/>
        </w:rPr>
        <w:t>Annexe 4: Template for calculation of grant amounts allocated</w:t>
      </w:r>
      <w:r w:rsidRPr="001E5747">
        <w:rPr>
          <w:rFonts w:ascii="Cambria" w:eastAsia="Times New Roman" w:hAnsi="Cambria"/>
          <w:bCs/>
          <w:color w:val="000000"/>
          <w:sz w:val="21"/>
          <w:szCs w:val="21"/>
          <w:lang w:val="en-GB"/>
        </w:rPr>
        <w:tab/>
      </w:r>
      <w:r w:rsidRPr="001E5747">
        <w:rPr>
          <w:rFonts w:ascii="Cambria" w:eastAsia="Times New Roman" w:hAnsi="Cambria"/>
          <w:bCs/>
          <w:color w:val="000000"/>
          <w:sz w:val="21"/>
          <w:szCs w:val="21"/>
          <w:lang w:val="en-GB"/>
        </w:rPr>
        <w:fldChar w:fldCharType="begin"/>
      </w:r>
      <w:r w:rsidRPr="001E5747">
        <w:rPr>
          <w:rFonts w:ascii="Cambria" w:eastAsia="Times New Roman" w:hAnsi="Cambria"/>
          <w:bCs/>
          <w:color w:val="000000"/>
          <w:sz w:val="21"/>
          <w:szCs w:val="21"/>
          <w:lang w:val="en-GB"/>
        </w:rPr>
        <w:instrText xml:space="preserve"> PAGEREF _Toc61062545 \h </w:instrText>
      </w:r>
      <w:r w:rsidRPr="001E5747">
        <w:rPr>
          <w:rFonts w:ascii="Cambria" w:eastAsia="Times New Roman" w:hAnsi="Cambria"/>
          <w:bCs/>
          <w:color w:val="000000"/>
          <w:sz w:val="21"/>
          <w:szCs w:val="21"/>
          <w:lang w:val="en-GB"/>
        </w:rPr>
      </w:r>
      <w:r w:rsidRPr="001E5747">
        <w:rPr>
          <w:rFonts w:ascii="Cambria" w:eastAsia="Times New Roman" w:hAnsi="Cambria"/>
          <w:bCs/>
          <w:color w:val="000000"/>
          <w:sz w:val="21"/>
          <w:szCs w:val="21"/>
          <w:lang w:val="en-GB"/>
        </w:rPr>
        <w:fldChar w:fldCharType="separate"/>
      </w:r>
      <w:r w:rsidR="00A25A8C">
        <w:rPr>
          <w:rFonts w:ascii="Cambria" w:eastAsia="Times New Roman" w:hAnsi="Cambria"/>
          <w:bCs/>
          <w:noProof/>
          <w:color w:val="000000"/>
          <w:sz w:val="21"/>
          <w:szCs w:val="21"/>
          <w:lang w:val="en-GB"/>
        </w:rPr>
        <w:t>42</w:t>
      </w:r>
      <w:r w:rsidRPr="001E5747">
        <w:rPr>
          <w:rFonts w:ascii="Cambria" w:eastAsia="Times New Roman" w:hAnsi="Cambria"/>
          <w:bCs/>
          <w:color w:val="000000"/>
          <w:sz w:val="21"/>
          <w:szCs w:val="21"/>
          <w:lang w:val="en-GB"/>
        </w:rPr>
        <w:fldChar w:fldCharType="end"/>
      </w:r>
    </w:p>
    <w:p w14:paraId="64EECA2F" w14:textId="65CF8072" w:rsidR="00A0644E" w:rsidRPr="001E5747" w:rsidRDefault="00A0644E" w:rsidP="00A0644E">
      <w:pPr>
        <w:pBdr>
          <w:bottom w:val="single" w:sz="6" w:space="0" w:color="auto"/>
        </w:pBdr>
        <w:tabs>
          <w:tab w:val="left" w:pos="574"/>
          <w:tab w:val="right" w:leader="dot" w:pos="8751"/>
        </w:tabs>
        <w:spacing w:before="40"/>
        <w:ind w:left="992" w:hanging="425"/>
        <w:rPr>
          <w:rFonts w:ascii="Calibri" w:eastAsia="Times New Roman" w:hAnsi="Calibri"/>
          <w:bCs/>
          <w:color w:val="000000"/>
          <w:sz w:val="21"/>
          <w:szCs w:val="21"/>
          <w:lang w:val="en-GB"/>
        </w:rPr>
      </w:pPr>
      <w:r w:rsidRPr="001E5747">
        <w:rPr>
          <w:rFonts w:ascii="Cambria" w:eastAsia="Times New Roman" w:hAnsi="Cambria"/>
          <w:bCs/>
          <w:color w:val="000000"/>
          <w:sz w:val="21"/>
          <w:szCs w:val="21"/>
          <w:lang w:val="en-GB"/>
        </w:rPr>
        <w:t xml:space="preserve">Annexe </w:t>
      </w:r>
      <w:r w:rsidR="004D6783">
        <w:rPr>
          <w:rFonts w:ascii="Cambria" w:eastAsia="Times New Roman" w:hAnsi="Cambria"/>
          <w:bCs/>
          <w:color w:val="000000"/>
          <w:sz w:val="21"/>
          <w:szCs w:val="21"/>
          <w:lang w:val="en-GB"/>
        </w:rPr>
        <w:t>5</w:t>
      </w:r>
      <w:r w:rsidRPr="001E5747">
        <w:rPr>
          <w:rFonts w:ascii="Cambria" w:eastAsia="Times New Roman" w:hAnsi="Cambria"/>
          <w:bCs/>
          <w:color w:val="000000"/>
          <w:sz w:val="21"/>
          <w:szCs w:val="21"/>
          <w:lang w:val="en-GB"/>
        </w:rPr>
        <w:t>: Terms of Reference – MPG Commission</w:t>
      </w:r>
      <w:r w:rsidRPr="001E5747">
        <w:rPr>
          <w:rFonts w:ascii="Cambria" w:eastAsia="Times New Roman" w:hAnsi="Cambria"/>
          <w:bCs/>
          <w:color w:val="000000"/>
          <w:sz w:val="21"/>
          <w:szCs w:val="21"/>
          <w:lang w:val="en-GB"/>
        </w:rPr>
        <w:tab/>
      </w:r>
      <w:r w:rsidRPr="001E5747">
        <w:rPr>
          <w:rFonts w:ascii="Cambria" w:eastAsia="Times New Roman" w:hAnsi="Cambria"/>
          <w:bCs/>
          <w:color w:val="000000"/>
          <w:sz w:val="21"/>
          <w:szCs w:val="21"/>
          <w:lang w:val="en-GB"/>
        </w:rPr>
        <w:fldChar w:fldCharType="begin"/>
      </w:r>
      <w:r w:rsidRPr="001E5747">
        <w:rPr>
          <w:rFonts w:ascii="Cambria" w:eastAsia="Times New Roman" w:hAnsi="Cambria"/>
          <w:bCs/>
          <w:color w:val="000000"/>
          <w:sz w:val="21"/>
          <w:szCs w:val="21"/>
          <w:lang w:val="en-GB"/>
        </w:rPr>
        <w:instrText xml:space="preserve"> PAGEREF _Toc61062546 \h </w:instrText>
      </w:r>
      <w:r w:rsidRPr="001E5747">
        <w:rPr>
          <w:rFonts w:ascii="Cambria" w:eastAsia="Times New Roman" w:hAnsi="Cambria"/>
          <w:bCs/>
          <w:color w:val="000000"/>
          <w:sz w:val="21"/>
          <w:szCs w:val="21"/>
          <w:lang w:val="en-GB"/>
        </w:rPr>
      </w:r>
      <w:r w:rsidRPr="001E5747">
        <w:rPr>
          <w:rFonts w:ascii="Cambria" w:eastAsia="Times New Roman" w:hAnsi="Cambria"/>
          <w:bCs/>
          <w:color w:val="000000"/>
          <w:sz w:val="21"/>
          <w:szCs w:val="21"/>
          <w:lang w:val="en-GB"/>
        </w:rPr>
        <w:fldChar w:fldCharType="separate"/>
      </w:r>
      <w:r w:rsidR="00A25A8C">
        <w:rPr>
          <w:rFonts w:ascii="Cambria" w:eastAsia="Times New Roman" w:hAnsi="Cambria"/>
          <w:bCs/>
          <w:noProof/>
          <w:color w:val="000000"/>
          <w:sz w:val="21"/>
          <w:szCs w:val="21"/>
          <w:lang w:val="en-GB"/>
        </w:rPr>
        <w:t>45</w:t>
      </w:r>
      <w:r w:rsidRPr="001E5747">
        <w:rPr>
          <w:rFonts w:ascii="Cambria" w:eastAsia="Times New Roman" w:hAnsi="Cambria"/>
          <w:bCs/>
          <w:color w:val="000000"/>
          <w:sz w:val="21"/>
          <w:szCs w:val="21"/>
          <w:lang w:val="en-GB"/>
        </w:rPr>
        <w:fldChar w:fldCharType="end"/>
      </w:r>
    </w:p>
    <w:p w14:paraId="37CF4AE3" w14:textId="0D9BA013" w:rsidR="00A0644E" w:rsidRPr="001E5747" w:rsidRDefault="00A0644E" w:rsidP="00A0644E">
      <w:pPr>
        <w:pBdr>
          <w:bottom w:val="single" w:sz="6" w:space="0" w:color="auto"/>
        </w:pBdr>
        <w:tabs>
          <w:tab w:val="left" w:pos="574"/>
          <w:tab w:val="right" w:leader="dot" w:pos="8751"/>
        </w:tabs>
        <w:spacing w:before="40"/>
        <w:ind w:left="992" w:hanging="425"/>
        <w:rPr>
          <w:rFonts w:ascii="Calibri" w:eastAsia="Times New Roman" w:hAnsi="Calibri"/>
          <w:bCs/>
          <w:color w:val="000000"/>
          <w:sz w:val="21"/>
          <w:szCs w:val="21"/>
          <w:lang w:val="en-GB"/>
        </w:rPr>
      </w:pPr>
      <w:r w:rsidRPr="001E5747">
        <w:rPr>
          <w:rFonts w:ascii="Cambria" w:eastAsia="Times New Roman" w:hAnsi="Cambria"/>
          <w:bCs/>
          <w:color w:val="000000"/>
          <w:sz w:val="21"/>
          <w:szCs w:val="21"/>
          <w:lang w:val="en-GB"/>
        </w:rPr>
        <w:t xml:space="preserve">Annexe </w:t>
      </w:r>
      <w:r w:rsidR="004D6783">
        <w:rPr>
          <w:rFonts w:ascii="Cambria" w:eastAsia="Times New Roman" w:hAnsi="Cambria"/>
          <w:bCs/>
          <w:color w:val="000000"/>
          <w:sz w:val="21"/>
          <w:szCs w:val="21"/>
          <w:lang w:val="en-GB"/>
        </w:rPr>
        <w:t>6</w:t>
      </w:r>
      <w:r w:rsidRPr="001E5747">
        <w:rPr>
          <w:rFonts w:ascii="Cambria" w:eastAsia="Times New Roman" w:hAnsi="Cambria"/>
          <w:bCs/>
          <w:color w:val="000000"/>
          <w:sz w:val="21"/>
          <w:szCs w:val="21"/>
          <w:lang w:val="en-GB"/>
        </w:rPr>
        <w:t>: Terms of Reference – Technical group</w:t>
      </w:r>
      <w:r w:rsidRPr="001E5747">
        <w:rPr>
          <w:rFonts w:ascii="Cambria" w:eastAsia="Times New Roman" w:hAnsi="Cambria"/>
          <w:bCs/>
          <w:color w:val="000000"/>
          <w:sz w:val="21"/>
          <w:szCs w:val="21"/>
          <w:lang w:val="en-GB"/>
        </w:rPr>
        <w:tab/>
      </w:r>
      <w:r w:rsidRPr="001E5747">
        <w:rPr>
          <w:rFonts w:ascii="Cambria" w:eastAsia="Times New Roman" w:hAnsi="Cambria"/>
          <w:bCs/>
          <w:color w:val="000000"/>
          <w:sz w:val="21"/>
          <w:szCs w:val="21"/>
          <w:lang w:val="en-GB"/>
        </w:rPr>
        <w:fldChar w:fldCharType="begin"/>
      </w:r>
      <w:r w:rsidRPr="001E5747">
        <w:rPr>
          <w:rFonts w:ascii="Cambria" w:eastAsia="Times New Roman" w:hAnsi="Cambria"/>
          <w:bCs/>
          <w:color w:val="000000"/>
          <w:sz w:val="21"/>
          <w:szCs w:val="21"/>
          <w:lang w:val="en-GB"/>
        </w:rPr>
        <w:instrText xml:space="preserve"> PAGEREF _Toc61062547 \h </w:instrText>
      </w:r>
      <w:r w:rsidRPr="001E5747">
        <w:rPr>
          <w:rFonts w:ascii="Cambria" w:eastAsia="Times New Roman" w:hAnsi="Cambria"/>
          <w:bCs/>
          <w:color w:val="000000"/>
          <w:sz w:val="21"/>
          <w:szCs w:val="21"/>
          <w:lang w:val="en-GB"/>
        </w:rPr>
      </w:r>
      <w:r w:rsidRPr="001E5747">
        <w:rPr>
          <w:rFonts w:ascii="Cambria" w:eastAsia="Times New Roman" w:hAnsi="Cambria"/>
          <w:bCs/>
          <w:color w:val="000000"/>
          <w:sz w:val="21"/>
          <w:szCs w:val="21"/>
          <w:lang w:val="en-GB"/>
        </w:rPr>
        <w:fldChar w:fldCharType="separate"/>
      </w:r>
      <w:r w:rsidR="00A25A8C">
        <w:rPr>
          <w:rFonts w:ascii="Cambria" w:eastAsia="Times New Roman" w:hAnsi="Cambria"/>
          <w:bCs/>
          <w:noProof/>
          <w:color w:val="000000"/>
          <w:sz w:val="21"/>
          <w:szCs w:val="21"/>
          <w:lang w:val="en-GB"/>
        </w:rPr>
        <w:t>47</w:t>
      </w:r>
      <w:r w:rsidRPr="001E5747">
        <w:rPr>
          <w:rFonts w:ascii="Cambria" w:eastAsia="Times New Roman" w:hAnsi="Cambria"/>
          <w:bCs/>
          <w:color w:val="000000"/>
          <w:sz w:val="21"/>
          <w:szCs w:val="21"/>
          <w:lang w:val="en-GB"/>
        </w:rPr>
        <w:fldChar w:fldCharType="end"/>
      </w:r>
    </w:p>
    <w:p w14:paraId="2678A9D4" w14:textId="32C897B0" w:rsidR="00A0644E" w:rsidRPr="001E5747" w:rsidRDefault="00A0644E" w:rsidP="00A0644E">
      <w:pPr>
        <w:pBdr>
          <w:bottom w:val="single" w:sz="6" w:space="0" w:color="auto"/>
        </w:pBdr>
        <w:tabs>
          <w:tab w:val="left" w:pos="574"/>
          <w:tab w:val="right" w:leader="dot" w:pos="8751"/>
        </w:tabs>
        <w:spacing w:before="40"/>
        <w:ind w:left="992" w:hanging="425"/>
        <w:rPr>
          <w:rFonts w:ascii="Calibri" w:eastAsia="Times New Roman" w:hAnsi="Calibri"/>
          <w:bCs/>
          <w:color w:val="000000"/>
          <w:sz w:val="21"/>
          <w:szCs w:val="21"/>
          <w:lang w:val="en-GB"/>
        </w:rPr>
      </w:pPr>
      <w:r w:rsidRPr="001E5747">
        <w:rPr>
          <w:rFonts w:ascii="Cambria" w:eastAsia="Times New Roman" w:hAnsi="Cambria"/>
          <w:bCs/>
          <w:color w:val="000000"/>
          <w:sz w:val="21"/>
          <w:szCs w:val="21"/>
          <w:lang w:val="en-GB"/>
        </w:rPr>
        <w:t xml:space="preserve">Annexe </w:t>
      </w:r>
      <w:r w:rsidR="004D6783">
        <w:rPr>
          <w:rFonts w:ascii="Cambria" w:eastAsia="Times New Roman" w:hAnsi="Cambria"/>
          <w:bCs/>
          <w:color w:val="000000"/>
          <w:sz w:val="21"/>
          <w:szCs w:val="21"/>
          <w:lang w:val="en-GB"/>
        </w:rPr>
        <w:t>7</w:t>
      </w:r>
      <w:r w:rsidRPr="001E5747">
        <w:rPr>
          <w:rFonts w:ascii="Cambria" w:eastAsia="Times New Roman" w:hAnsi="Cambria"/>
          <w:bCs/>
          <w:color w:val="000000"/>
          <w:sz w:val="21"/>
          <w:szCs w:val="21"/>
          <w:lang w:val="en-GB"/>
        </w:rPr>
        <w:t xml:space="preserve">: Terms of Reference – </w:t>
      </w:r>
      <w:r w:rsidR="004D6783">
        <w:rPr>
          <w:rFonts w:ascii="Cambria" w:eastAsia="Times New Roman" w:hAnsi="Cambria"/>
          <w:bCs/>
          <w:color w:val="000000"/>
          <w:sz w:val="21"/>
          <w:szCs w:val="21"/>
          <w:lang w:val="en-GB"/>
        </w:rPr>
        <w:t>Appeal</w:t>
      </w:r>
      <w:r w:rsidRPr="001E5747">
        <w:rPr>
          <w:rFonts w:ascii="Cambria" w:eastAsia="Times New Roman" w:hAnsi="Cambria"/>
          <w:bCs/>
          <w:color w:val="000000"/>
          <w:sz w:val="21"/>
          <w:szCs w:val="21"/>
          <w:lang w:val="en-GB"/>
        </w:rPr>
        <w:t xml:space="preserve"> Commission</w:t>
      </w:r>
      <w:r w:rsidRPr="001E5747">
        <w:rPr>
          <w:rFonts w:ascii="Cambria" w:eastAsia="Times New Roman" w:hAnsi="Cambria"/>
          <w:bCs/>
          <w:color w:val="000000"/>
          <w:sz w:val="21"/>
          <w:szCs w:val="21"/>
          <w:lang w:val="en-GB"/>
        </w:rPr>
        <w:tab/>
      </w:r>
      <w:r w:rsidRPr="001E5747">
        <w:rPr>
          <w:rFonts w:ascii="Cambria" w:eastAsia="Times New Roman" w:hAnsi="Cambria"/>
          <w:bCs/>
          <w:color w:val="000000"/>
          <w:sz w:val="21"/>
          <w:szCs w:val="21"/>
          <w:lang w:val="en-GB"/>
        </w:rPr>
        <w:fldChar w:fldCharType="begin"/>
      </w:r>
      <w:r w:rsidRPr="001E5747">
        <w:rPr>
          <w:rFonts w:ascii="Cambria" w:eastAsia="Times New Roman" w:hAnsi="Cambria"/>
          <w:bCs/>
          <w:color w:val="000000"/>
          <w:sz w:val="21"/>
          <w:szCs w:val="21"/>
          <w:lang w:val="en-GB"/>
        </w:rPr>
        <w:instrText xml:space="preserve"> PAGEREF _Toc61062548 \h </w:instrText>
      </w:r>
      <w:r w:rsidRPr="001E5747">
        <w:rPr>
          <w:rFonts w:ascii="Cambria" w:eastAsia="Times New Roman" w:hAnsi="Cambria"/>
          <w:bCs/>
          <w:color w:val="000000"/>
          <w:sz w:val="21"/>
          <w:szCs w:val="21"/>
          <w:lang w:val="en-GB"/>
        </w:rPr>
      </w:r>
      <w:r w:rsidRPr="001E5747">
        <w:rPr>
          <w:rFonts w:ascii="Cambria" w:eastAsia="Times New Roman" w:hAnsi="Cambria"/>
          <w:bCs/>
          <w:color w:val="000000"/>
          <w:sz w:val="21"/>
          <w:szCs w:val="21"/>
          <w:lang w:val="en-GB"/>
        </w:rPr>
        <w:fldChar w:fldCharType="separate"/>
      </w:r>
      <w:r w:rsidR="00A25A8C">
        <w:rPr>
          <w:rFonts w:ascii="Cambria" w:eastAsia="Times New Roman" w:hAnsi="Cambria"/>
          <w:bCs/>
          <w:noProof/>
          <w:color w:val="000000"/>
          <w:sz w:val="21"/>
          <w:szCs w:val="21"/>
          <w:lang w:val="en-GB"/>
        </w:rPr>
        <w:t>49</w:t>
      </w:r>
      <w:r w:rsidRPr="001E5747">
        <w:rPr>
          <w:rFonts w:ascii="Cambria" w:eastAsia="Times New Roman" w:hAnsi="Cambria"/>
          <w:bCs/>
          <w:color w:val="000000"/>
          <w:sz w:val="21"/>
          <w:szCs w:val="21"/>
          <w:lang w:val="en-GB"/>
        </w:rPr>
        <w:fldChar w:fldCharType="end"/>
      </w:r>
    </w:p>
    <w:p w14:paraId="7E17E8CD" w14:textId="68BD8047" w:rsidR="00A0644E" w:rsidRPr="001E5747" w:rsidRDefault="00A0644E" w:rsidP="00A0644E">
      <w:pPr>
        <w:pBdr>
          <w:bottom w:val="single" w:sz="6" w:space="0" w:color="auto"/>
        </w:pBdr>
        <w:tabs>
          <w:tab w:val="left" w:pos="574"/>
          <w:tab w:val="right" w:leader="dot" w:pos="8751"/>
        </w:tabs>
        <w:spacing w:before="40"/>
        <w:ind w:left="992" w:hanging="425"/>
        <w:rPr>
          <w:rFonts w:ascii="Calibri" w:eastAsia="Times New Roman" w:hAnsi="Calibri"/>
          <w:bCs/>
          <w:color w:val="000000"/>
          <w:sz w:val="21"/>
          <w:szCs w:val="21"/>
          <w:lang w:val="en-GB"/>
        </w:rPr>
      </w:pPr>
      <w:r w:rsidRPr="001E5747">
        <w:rPr>
          <w:rFonts w:ascii="Cambria" w:eastAsia="Times New Roman" w:hAnsi="Cambria"/>
          <w:bCs/>
          <w:color w:val="000000"/>
          <w:sz w:val="21"/>
          <w:szCs w:val="21"/>
          <w:lang w:val="en-GB"/>
        </w:rPr>
        <w:t xml:space="preserve">Annexe </w:t>
      </w:r>
      <w:r w:rsidR="004D6783">
        <w:rPr>
          <w:rFonts w:ascii="Cambria" w:eastAsia="Times New Roman" w:hAnsi="Cambria"/>
          <w:bCs/>
          <w:color w:val="000000"/>
          <w:sz w:val="21"/>
          <w:szCs w:val="21"/>
          <w:lang w:val="en-GB"/>
        </w:rPr>
        <w:t>8</w:t>
      </w:r>
      <w:r w:rsidRPr="001E5747">
        <w:rPr>
          <w:rFonts w:ascii="Cambria" w:eastAsia="Times New Roman" w:hAnsi="Cambria"/>
          <w:bCs/>
          <w:color w:val="000000"/>
          <w:sz w:val="21"/>
          <w:szCs w:val="21"/>
          <w:lang w:val="en-GB"/>
        </w:rPr>
        <w:t>: Terms of Reference – Commission for drafting MPG rules ……………</w:t>
      </w:r>
      <w:r w:rsidR="00494150" w:rsidRPr="001E5747">
        <w:rPr>
          <w:rFonts w:ascii="Cambria" w:eastAsia="Times New Roman" w:hAnsi="Cambria"/>
          <w:bCs/>
          <w:color w:val="000000"/>
          <w:sz w:val="21"/>
          <w:szCs w:val="21"/>
          <w:lang w:val="en-GB"/>
        </w:rPr>
        <w:t>.</w:t>
      </w:r>
      <w:r w:rsidRPr="001E5747">
        <w:rPr>
          <w:rFonts w:ascii="Cambria" w:eastAsia="Times New Roman" w:hAnsi="Cambria"/>
          <w:bCs/>
          <w:color w:val="000000"/>
          <w:sz w:val="21"/>
          <w:szCs w:val="21"/>
          <w:lang w:val="en-GB"/>
        </w:rPr>
        <w:t>………………..</w:t>
      </w:r>
      <w:r w:rsidRPr="001E5747">
        <w:rPr>
          <w:rFonts w:ascii="Cambria" w:eastAsia="Times New Roman" w:hAnsi="Cambria"/>
          <w:bCs/>
          <w:color w:val="000000"/>
          <w:sz w:val="21"/>
          <w:szCs w:val="21"/>
          <w:lang w:val="en-GB"/>
        </w:rPr>
        <w:fldChar w:fldCharType="begin"/>
      </w:r>
      <w:r w:rsidRPr="001E5747">
        <w:rPr>
          <w:rFonts w:ascii="Cambria" w:eastAsia="Times New Roman" w:hAnsi="Cambria"/>
          <w:bCs/>
          <w:color w:val="000000"/>
          <w:sz w:val="21"/>
          <w:szCs w:val="21"/>
          <w:lang w:val="en-GB"/>
        </w:rPr>
        <w:instrText xml:space="preserve"> PAGEREF _Toc61062549 \h </w:instrText>
      </w:r>
      <w:r w:rsidRPr="001E5747">
        <w:rPr>
          <w:rFonts w:ascii="Cambria" w:eastAsia="Times New Roman" w:hAnsi="Cambria"/>
          <w:bCs/>
          <w:color w:val="000000"/>
          <w:sz w:val="21"/>
          <w:szCs w:val="21"/>
          <w:lang w:val="en-GB"/>
        </w:rPr>
      </w:r>
      <w:r w:rsidRPr="001E5747">
        <w:rPr>
          <w:rFonts w:ascii="Cambria" w:eastAsia="Times New Roman" w:hAnsi="Cambria"/>
          <w:bCs/>
          <w:color w:val="000000"/>
          <w:sz w:val="21"/>
          <w:szCs w:val="21"/>
          <w:lang w:val="en-GB"/>
        </w:rPr>
        <w:fldChar w:fldCharType="separate"/>
      </w:r>
      <w:r w:rsidR="00A25A8C">
        <w:rPr>
          <w:rFonts w:ascii="Cambria" w:eastAsia="Times New Roman" w:hAnsi="Cambria"/>
          <w:bCs/>
          <w:noProof/>
          <w:color w:val="000000"/>
          <w:sz w:val="21"/>
          <w:szCs w:val="21"/>
          <w:lang w:val="en-GB"/>
        </w:rPr>
        <w:t>51</w:t>
      </w:r>
      <w:r w:rsidRPr="001E5747">
        <w:rPr>
          <w:rFonts w:ascii="Cambria" w:eastAsia="Times New Roman" w:hAnsi="Cambria"/>
          <w:bCs/>
          <w:color w:val="000000"/>
          <w:sz w:val="21"/>
          <w:szCs w:val="21"/>
          <w:lang w:val="en-GB"/>
        </w:rPr>
        <w:fldChar w:fldCharType="end"/>
      </w:r>
    </w:p>
    <w:p w14:paraId="764B08EA" w14:textId="77777777" w:rsidR="00B739C3" w:rsidRPr="001E5747" w:rsidRDefault="00B739C3" w:rsidP="00B739C3">
      <w:pPr>
        <w:pStyle w:val="TOC1"/>
        <w:rPr>
          <w:noProof w:val="0"/>
          <w:color w:val="auto"/>
          <w:lang w:val="en-GB"/>
        </w:rPr>
      </w:pPr>
      <w:r w:rsidRPr="001E5747">
        <w:rPr>
          <w:bCs/>
          <w:noProof w:val="0"/>
          <w:color w:val="auto"/>
          <w:lang w:val="en-GB"/>
        </w:rPr>
        <w:br w:type="page"/>
      </w:r>
    </w:p>
    <w:p w14:paraId="37A1F05F" w14:textId="77777777" w:rsidR="00B739C3" w:rsidRPr="001E5747" w:rsidRDefault="00B739C3" w:rsidP="00B739C3">
      <w:pPr>
        <w:pStyle w:val="Heading1"/>
        <w:shd w:val="clear" w:color="auto" w:fill="D55635"/>
        <w:tabs>
          <w:tab w:val="left" w:pos="540"/>
        </w:tabs>
        <w:rPr>
          <w:rFonts w:asciiTheme="majorHAnsi" w:hAnsiTheme="majorHAnsi"/>
          <w:color w:val="FFFFFF" w:themeColor="background1"/>
          <w:sz w:val="32"/>
          <w:szCs w:val="32"/>
          <w:lang w:val="en-GB"/>
        </w:rPr>
      </w:pPr>
      <w:r w:rsidRPr="001E5747">
        <w:rPr>
          <w:rFonts w:asciiTheme="majorHAnsi" w:hAnsiTheme="majorHAnsi"/>
          <w:color w:val="FFFFFF" w:themeColor="background1"/>
          <w:sz w:val="32"/>
          <w:szCs w:val="32"/>
          <w:lang w:val="en-GB"/>
        </w:rPr>
        <w:lastRenderedPageBreak/>
        <w:t>Foreword</w:t>
      </w:r>
    </w:p>
    <w:p w14:paraId="5A8F2DA0" w14:textId="6392F892" w:rsidR="00B739C3" w:rsidRPr="001E5747" w:rsidRDefault="00B739C3" w:rsidP="00B739C3">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lang w:val="en-GB"/>
        </w:rPr>
      </w:pPr>
      <w:r w:rsidRPr="001E5747">
        <w:rPr>
          <w:rFonts w:asciiTheme="majorHAnsi" w:hAnsiTheme="majorHAnsi"/>
          <w:sz w:val="21"/>
          <w:szCs w:val="21"/>
          <w:lang w:val="en-GB"/>
        </w:rPr>
        <w:t xml:space="preserve">In 2009, Kosovo was the first country in the region to approve a performance-based financial incentive scheme, through the allocation of funds to municipalities as an incentive to improve local governance. At the end of 2017, the Ministry of Local Government </w:t>
      </w:r>
      <w:r w:rsidR="00A75321" w:rsidRPr="001E5747">
        <w:rPr>
          <w:rFonts w:asciiTheme="majorHAnsi" w:hAnsiTheme="majorHAnsi"/>
          <w:sz w:val="21"/>
          <w:szCs w:val="21"/>
          <w:lang w:val="en-GB"/>
        </w:rPr>
        <w:t xml:space="preserve">Administration </w:t>
      </w:r>
      <w:r w:rsidRPr="001E5747">
        <w:rPr>
          <w:rFonts w:asciiTheme="majorHAnsi" w:hAnsiTheme="majorHAnsi"/>
          <w:sz w:val="21"/>
          <w:szCs w:val="21"/>
          <w:lang w:val="en-GB"/>
        </w:rPr>
        <w:t>(MLG</w:t>
      </w:r>
      <w:r w:rsidR="00A75321" w:rsidRPr="001E5747">
        <w:rPr>
          <w:rFonts w:asciiTheme="majorHAnsi" w:hAnsiTheme="majorHAnsi"/>
          <w:sz w:val="21"/>
          <w:szCs w:val="21"/>
          <w:lang w:val="en-GB"/>
        </w:rPr>
        <w:t>A</w:t>
      </w:r>
      <w:r w:rsidRPr="001E5747">
        <w:rPr>
          <w:rFonts w:asciiTheme="majorHAnsi" w:hAnsiTheme="majorHAnsi"/>
          <w:sz w:val="21"/>
          <w:szCs w:val="21"/>
          <w:lang w:val="en-GB"/>
        </w:rPr>
        <w:t>), in partnership with the Swiss Agency for Development and Cooperation (SDC), developed and agreed to co-finance a unique performance grant allocation scheme for municipalities.</w:t>
      </w:r>
      <w:r w:rsidR="005E0672" w:rsidRPr="005E0672">
        <w:t xml:space="preserve"> </w:t>
      </w:r>
      <w:r w:rsidR="005E0672" w:rsidRPr="005E0672">
        <w:rPr>
          <w:rFonts w:asciiTheme="majorHAnsi" w:hAnsiTheme="majorHAnsi"/>
          <w:sz w:val="21"/>
          <w:szCs w:val="21"/>
          <w:lang w:val="en-GB"/>
        </w:rPr>
        <w:t xml:space="preserve">In 2019, Sweden and Norway </w:t>
      </w:r>
      <w:r w:rsidR="00FD4A7E">
        <w:rPr>
          <w:rFonts w:asciiTheme="majorHAnsi" w:hAnsiTheme="majorHAnsi"/>
          <w:sz w:val="21"/>
          <w:szCs w:val="21"/>
          <w:lang w:val="en-GB"/>
        </w:rPr>
        <w:t>decided to co-finance the</w:t>
      </w:r>
      <w:r w:rsidR="005E0672" w:rsidRPr="005E0672">
        <w:rPr>
          <w:rFonts w:asciiTheme="majorHAnsi" w:hAnsiTheme="majorHAnsi"/>
          <w:sz w:val="21"/>
          <w:szCs w:val="21"/>
          <w:lang w:val="en-GB"/>
        </w:rPr>
        <w:t xml:space="preserve"> MPG scheme. In 2022, the EU through Sweden also join</w:t>
      </w:r>
      <w:r w:rsidR="00682BF2">
        <w:rPr>
          <w:rFonts w:asciiTheme="majorHAnsi" w:hAnsiTheme="majorHAnsi"/>
          <w:sz w:val="21"/>
          <w:szCs w:val="21"/>
          <w:lang w:val="en-GB"/>
        </w:rPr>
        <w:t>s</w:t>
      </w:r>
      <w:r w:rsidR="005E0672" w:rsidRPr="005E0672">
        <w:rPr>
          <w:rFonts w:asciiTheme="majorHAnsi" w:hAnsiTheme="majorHAnsi"/>
          <w:sz w:val="21"/>
          <w:szCs w:val="21"/>
          <w:lang w:val="en-GB"/>
        </w:rPr>
        <w:t xml:space="preserve"> the MPG scheme.</w:t>
      </w:r>
    </w:p>
    <w:p w14:paraId="41D6270B" w14:textId="77777777" w:rsidR="00B739C3" w:rsidRPr="001E5747" w:rsidRDefault="00B739C3" w:rsidP="00B739C3">
      <w:pPr>
        <w:spacing w:before="120" w:line="264" w:lineRule="auto"/>
        <w:jc w:val="both"/>
        <w:rPr>
          <w:rFonts w:asciiTheme="majorHAnsi" w:hAnsiTheme="majorHAnsi"/>
          <w:sz w:val="21"/>
          <w:szCs w:val="21"/>
          <w:lang w:val="en-GB"/>
        </w:rPr>
      </w:pPr>
      <w:r w:rsidRPr="001E5747">
        <w:rPr>
          <w:rFonts w:asciiTheme="majorHAnsi" w:hAnsiTheme="majorHAnsi"/>
          <w:sz w:val="21"/>
          <w:szCs w:val="21"/>
          <w:lang w:val="en-GB"/>
        </w:rPr>
        <w:t>Between 2018 and 2021</w:t>
      </w:r>
      <w:r w:rsidR="00332AFD" w:rsidRPr="001E5747">
        <w:rPr>
          <w:rFonts w:asciiTheme="majorHAnsi" w:hAnsiTheme="majorHAnsi"/>
          <w:sz w:val="21"/>
          <w:szCs w:val="21"/>
          <w:lang w:val="en-GB"/>
        </w:rPr>
        <w:t>,</w:t>
      </w:r>
      <w:r w:rsidRPr="001E5747">
        <w:rPr>
          <w:rFonts w:asciiTheme="majorHAnsi" w:hAnsiTheme="majorHAnsi"/>
          <w:sz w:val="21"/>
          <w:szCs w:val="21"/>
          <w:lang w:val="en-GB"/>
        </w:rPr>
        <w:t xml:space="preserve"> </w:t>
      </w:r>
      <w:r w:rsidR="001E5747" w:rsidRPr="001E5747">
        <w:rPr>
          <w:rFonts w:asciiTheme="majorHAnsi" w:hAnsiTheme="majorHAnsi"/>
          <w:sz w:val="21"/>
          <w:szCs w:val="21"/>
          <w:lang w:val="en-GB"/>
        </w:rPr>
        <w:t xml:space="preserve">about EUR 14 million have been allocated to the beneficiary municipalities, as municipal performance grants. Between 2022-2025, the amount of the municipal performance grant is expected to be around EUR 30 million. This grant </w:t>
      </w:r>
      <w:r w:rsidRPr="001E5747">
        <w:rPr>
          <w:rFonts w:asciiTheme="majorHAnsi" w:hAnsiTheme="majorHAnsi"/>
          <w:sz w:val="21"/>
          <w:szCs w:val="21"/>
          <w:lang w:val="en-GB"/>
        </w:rPr>
        <w:t xml:space="preserve">aims to improve the performance of municipalities in the areas of 'democratic governance', 'municipal management' and </w:t>
      </w:r>
      <w:r w:rsidR="001E5747">
        <w:rPr>
          <w:rFonts w:asciiTheme="majorHAnsi" w:hAnsiTheme="majorHAnsi"/>
          <w:sz w:val="21"/>
          <w:szCs w:val="21"/>
          <w:lang w:val="en-GB"/>
        </w:rPr>
        <w:t>‘</w:t>
      </w:r>
      <w:r w:rsidRPr="001E5747">
        <w:rPr>
          <w:rFonts w:asciiTheme="majorHAnsi" w:hAnsiTheme="majorHAnsi"/>
          <w:sz w:val="21"/>
          <w:szCs w:val="21"/>
          <w:lang w:val="en-GB"/>
        </w:rPr>
        <w:t>service delivery</w:t>
      </w:r>
      <w:r w:rsidR="001E5747">
        <w:rPr>
          <w:rFonts w:asciiTheme="majorHAnsi" w:hAnsiTheme="majorHAnsi"/>
          <w:sz w:val="21"/>
          <w:szCs w:val="21"/>
          <w:lang w:val="en-GB"/>
        </w:rPr>
        <w:t>’</w:t>
      </w:r>
      <w:r w:rsidRPr="001E5747">
        <w:rPr>
          <w:rFonts w:asciiTheme="majorHAnsi" w:hAnsiTheme="majorHAnsi"/>
          <w:sz w:val="21"/>
          <w:szCs w:val="21"/>
          <w:lang w:val="en-GB"/>
        </w:rPr>
        <w:t>.</w:t>
      </w:r>
    </w:p>
    <w:p w14:paraId="4FA4BB9E" w14:textId="5829B589" w:rsidR="00B739C3" w:rsidRPr="001E5747" w:rsidRDefault="00B739C3" w:rsidP="00B739C3">
      <w:pPr>
        <w:spacing w:before="120" w:line="264" w:lineRule="auto"/>
        <w:jc w:val="both"/>
        <w:rPr>
          <w:rFonts w:asciiTheme="majorHAnsi" w:hAnsiTheme="majorHAnsi"/>
          <w:sz w:val="21"/>
          <w:szCs w:val="21"/>
          <w:lang w:val="en-GB"/>
        </w:rPr>
      </w:pPr>
      <w:r w:rsidRPr="001E5747">
        <w:rPr>
          <w:rFonts w:asciiTheme="majorHAnsi" w:hAnsiTheme="majorHAnsi"/>
          <w:sz w:val="21"/>
          <w:szCs w:val="21"/>
          <w:lang w:val="en-GB"/>
        </w:rPr>
        <w:t xml:space="preserve">The Municipal Performance Grant </w:t>
      </w:r>
      <w:r w:rsidR="00682BF2" w:rsidRPr="001E5747">
        <w:rPr>
          <w:rFonts w:asciiTheme="majorHAnsi" w:hAnsiTheme="majorHAnsi"/>
          <w:sz w:val="21"/>
          <w:szCs w:val="21"/>
          <w:lang w:val="en-GB"/>
        </w:rPr>
        <w:t>202</w:t>
      </w:r>
      <w:r w:rsidR="00682BF2">
        <w:rPr>
          <w:rFonts w:asciiTheme="majorHAnsi" w:hAnsiTheme="majorHAnsi"/>
          <w:sz w:val="21"/>
          <w:szCs w:val="21"/>
          <w:lang w:val="en-GB"/>
        </w:rPr>
        <w:t>3</w:t>
      </w:r>
      <w:r w:rsidR="00682BF2" w:rsidRPr="001E5747">
        <w:rPr>
          <w:rFonts w:asciiTheme="majorHAnsi" w:hAnsiTheme="majorHAnsi"/>
          <w:sz w:val="21"/>
          <w:szCs w:val="21"/>
          <w:lang w:val="en-GB"/>
        </w:rPr>
        <w:t xml:space="preserve"> </w:t>
      </w:r>
      <w:r w:rsidRPr="001E5747">
        <w:rPr>
          <w:rFonts w:asciiTheme="majorHAnsi" w:hAnsiTheme="majorHAnsi"/>
          <w:sz w:val="21"/>
          <w:szCs w:val="21"/>
          <w:lang w:val="en-GB"/>
        </w:rPr>
        <w:t xml:space="preserve">will be awarded to municipalities in accordance with the grant calculation criteria and the </w:t>
      </w:r>
      <w:r w:rsidR="00332AFD" w:rsidRPr="001E5747">
        <w:rPr>
          <w:rFonts w:asciiTheme="majorHAnsi" w:hAnsiTheme="majorHAnsi"/>
          <w:sz w:val="21"/>
          <w:szCs w:val="21"/>
          <w:lang w:val="en-GB"/>
        </w:rPr>
        <w:t xml:space="preserve">score </w:t>
      </w:r>
      <w:r w:rsidRPr="001E5747">
        <w:rPr>
          <w:rFonts w:asciiTheme="majorHAnsi" w:hAnsiTheme="majorHAnsi"/>
          <w:sz w:val="21"/>
          <w:szCs w:val="21"/>
          <w:lang w:val="en-GB"/>
        </w:rPr>
        <w:t>achieved in the municipal performance based on a number of indicators spread over the three main areas mentioned above.</w:t>
      </w:r>
    </w:p>
    <w:p w14:paraId="7DBE8871" w14:textId="3419685E" w:rsidR="00B739C3" w:rsidRPr="001E5747" w:rsidRDefault="00B739C3" w:rsidP="00B739C3">
      <w:pPr>
        <w:spacing w:before="120" w:line="264" w:lineRule="auto"/>
        <w:jc w:val="both"/>
        <w:rPr>
          <w:rFonts w:asciiTheme="majorHAnsi" w:hAnsiTheme="majorHAnsi"/>
          <w:sz w:val="21"/>
          <w:szCs w:val="21"/>
          <w:lang w:val="en-GB"/>
        </w:rPr>
      </w:pPr>
      <w:r w:rsidRPr="001E5747">
        <w:rPr>
          <w:rFonts w:asciiTheme="majorHAnsi" w:hAnsiTheme="majorHAnsi"/>
          <w:sz w:val="21"/>
          <w:szCs w:val="21"/>
          <w:lang w:val="en-GB"/>
        </w:rPr>
        <w:t>Th</w:t>
      </w:r>
      <w:r w:rsidR="00332AFD" w:rsidRPr="001E5747">
        <w:rPr>
          <w:rFonts w:asciiTheme="majorHAnsi" w:hAnsiTheme="majorHAnsi"/>
          <w:sz w:val="21"/>
          <w:szCs w:val="21"/>
          <w:lang w:val="en-GB"/>
        </w:rPr>
        <w:t>e</w:t>
      </w:r>
      <w:r w:rsidRPr="001E5747">
        <w:rPr>
          <w:rFonts w:asciiTheme="majorHAnsi" w:hAnsiTheme="majorHAnsi"/>
          <w:sz w:val="21"/>
          <w:szCs w:val="21"/>
          <w:lang w:val="en-GB"/>
        </w:rPr>
        <w:t xml:space="preserve"> grant</w:t>
      </w:r>
      <w:r w:rsidR="00024763">
        <w:rPr>
          <w:rFonts w:asciiTheme="majorHAnsi" w:hAnsiTheme="majorHAnsi"/>
          <w:sz w:val="21"/>
          <w:szCs w:val="21"/>
          <w:lang w:val="en-GB"/>
        </w:rPr>
        <w:t xml:space="preserve"> amount</w:t>
      </w:r>
      <w:r w:rsidRPr="001E5747">
        <w:rPr>
          <w:rFonts w:asciiTheme="majorHAnsi" w:hAnsiTheme="majorHAnsi"/>
          <w:sz w:val="21"/>
          <w:szCs w:val="21"/>
          <w:lang w:val="en-GB"/>
        </w:rPr>
        <w:t xml:space="preserve"> </w:t>
      </w:r>
      <w:r w:rsidR="001E5747">
        <w:rPr>
          <w:rFonts w:asciiTheme="majorHAnsi" w:hAnsiTheme="majorHAnsi"/>
          <w:sz w:val="21"/>
          <w:szCs w:val="21"/>
          <w:lang w:val="en-GB"/>
        </w:rPr>
        <w:t xml:space="preserve">in </w:t>
      </w:r>
      <w:r w:rsidR="00682BF2">
        <w:rPr>
          <w:rFonts w:asciiTheme="majorHAnsi" w:hAnsiTheme="majorHAnsi"/>
          <w:sz w:val="21"/>
          <w:szCs w:val="21"/>
          <w:lang w:val="en-GB"/>
        </w:rPr>
        <w:t>2023</w:t>
      </w:r>
      <w:r w:rsidR="00682BF2" w:rsidRPr="001E5747">
        <w:rPr>
          <w:rFonts w:asciiTheme="majorHAnsi" w:hAnsiTheme="majorHAnsi"/>
          <w:sz w:val="21"/>
          <w:szCs w:val="21"/>
          <w:lang w:val="en-GB"/>
        </w:rPr>
        <w:t xml:space="preserve"> </w:t>
      </w:r>
      <w:r w:rsidR="00A2731F">
        <w:rPr>
          <w:rFonts w:asciiTheme="majorHAnsi" w:hAnsiTheme="majorHAnsi"/>
          <w:sz w:val="21"/>
          <w:szCs w:val="21"/>
          <w:lang w:val="en-GB"/>
        </w:rPr>
        <w:t xml:space="preserve">is expected to be </w:t>
      </w:r>
      <w:r w:rsidR="00A2731F" w:rsidRPr="00EF13F3">
        <w:rPr>
          <w:rFonts w:asciiTheme="majorHAnsi" w:hAnsiTheme="majorHAnsi"/>
          <w:sz w:val="21"/>
          <w:szCs w:val="21"/>
          <w:lang w:val="en-GB"/>
        </w:rPr>
        <w:t xml:space="preserve">around </w:t>
      </w:r>
      <w:r w:rsidR="00332AFD" w:rsidRPr="00EF13F3">
        <w:rPr>
          <w:rFonts w:asciiTheme="majorHAnsi" w:hAnsiTheme="majorHAnsi"/>
          <w:sz w:val="21"/>
          <w:szCs w:val="21"/>
          <w:lang w:val="en-GB"/>
        </w:rPr>
        <w:t xml:space="preserve">EUR </w:t>
      </w:r>
      <w:r w:rsidR="00236420">
        <w:rPr>
          <w:rFonts w:asciiTheme="majorHAnsi" w:hAnsiTheme="majorHAnsi"/>
          <w:sz w:val="21"/>
          <w:szCs w:val="21"/>
          <w:lang w:val="en-GB"/>
        </w:rPr>
        <w:t>7.</w:t>
      </w:r>
      <w:r w:rsidR="001E5747" w:rsidRPr="00EF13F3">
        <w:rPr>
          <w:rFonts w:asciiTheme="majorHAnsi" w:hAnsiTheme="majorHAnsi"/>
          <w:sz w:val="21"/>
          <w:szCs w:val="21"/>
          <w:lang w:val="en-GB"/>
        </w:rPr>
        <w:t>8</w:t>
      </w:r>
      <w:r w:rsidRPr="00EF13F3">
        <w:rPr>
          <w:rFonts w:asciiTheme="majorHAnsi" w:hAnsiTheme="majorHAnsi"/>
          <w:sz w:val="21"/>
          <w:szCs w:val="21"/>
          <w:lang w:val="en-GB"/>
        </w:rPr>
        <w:t xml:space="preserve"> million. All of Kosovo</w:t>
      </w:r>
      <w:r w:rsidR="00332AFD" w:rsidRPr="00EF13F3">
        <w:rPr>
          <w:rFonts w:asciiTheme="majorHAnsi" w:hAnsiTheme="majorHAnsi"/>
          <w:sz w:val="21"/>
          <w:szCs w:val="21"/>
          <w:lang w:val="en-GB"/>
        </w:rPr>
        <w:t>’s</w:t>
      </w:r>
      <w:r w:rsidRPr="001E5747">
        <w:rPr>
          <w:rFonts w:asciiTheme="majorHAnsi" w:hAnsiTheme="majorHAnsi"/>
          <w:sz w:val="21"/>
          <w:szCs w:val="21"/>
          <w:lang w:val="en-GB"/>
        </w:rPr>
        <w:t xml:space="preserve"> </w:t>
      </w:r>
      <w:r w:rsidR="00332AFD" w:rsidRPr="001E5747">
        <w:rPr>
          <w:rFonts w:asciiTheme="majorHAnsi" w:hAnsiTheme="majorHAnsi"/>
          <w:sz w:val="21"/>
          <w:szCs w:val="21"/>
          <w:lang w:val="en-GB"/>
        </w:rPr>
        <w:t xml:space="preserve">municipalities </w:t>
      </w:r>
      <w:r w:rsidRPr="001E5747">
        <w:rPr>
          <w:rFonts w:asciiTheme="majorHAnsi" w:hAnsiTheme="majorHAnsi"/>
          <w:sz w:val="21"/>
          <w:szCs w:val="21"/>
          <w:lang w:val="en-GB"/>
        </w:rPr>
        <w:t xml:space="preserve">enjoy the right to participate in the municipal performance grant, according to the conditions set out in these rules. The grant </w:t>
      </w:r>
      <w:r w:rsidR="00A2731F">
        <w:rPr>
          <w:rFonts w:asciiTheme="majorHAnsi" w:hAnsiTheme="majorHAnsi"/>
          <w:sz w:val="21"/>
          <w:szCs w:val="21"/>
          <w:lang w:val="en-GB"/>
        </w:rPr>
        <w:t xml:space="preserve">for the years 2022 – 2025 </w:t>
      </w:r>
      <w:r w:rsidRPr="001E5747">
        <w:rPr>
          <w:rFonts w:asciiTheme="majorHAnsi" w:hAnsiTheme="majorHAnsi"/>
          <w:sz w:val="21"/>
          <w:szCs w:val="21"/>
          <w:lang w:val="en-GB"/>
        </w:rPr>
        <w:t xml:space="preserve">is </w:t>
      </w:r>
      <w:r w:rsidR="00F56C24">
        <w:rPr>
          <w:rFonts w:asciiTheme="majorHAnsi" w:hAnsiTheme="majorHAnsi"/>
          <w:sz w:val="21"/>
          <w:szCs w:val="21"/>
          <w:lang w:val="en-GB"/>
        </w:rPr>
        <w:t xml:space="preserve">expected to be </w:t>
      </w:r>
      <w:r w:rsidRPr="001E5747">
        <w:rPr>
          <w:rFonts w:asciiTheme="majorHAnsi" w:hAnsiTheme="majorHAnsi"/>
          <w:sz w:val="21"/>
          <w:szCs w:val="21"/>
          <w:lang w:val="en-GB"/>
        </w:rPr>
        <w:t>co-f</w:t>
      </w:r>
      <w:r w:rsidR="00332AFD" w:rsidRPr="001E5747">
        <w:rPr>
          <w:rFonts w:asciiTheme="majorHAnsi" w:hAnsiTheme="majorHAnsi"/>
          <w:sz w:val="21"/>
          <w:szCs w:val="21"/>
          <w:lang w:val="en-GB"/>
        </w:rPr>
        <w:t xml:space="preserve">unded </w:t>
      </w:r>
      <w:r w:rsidRPr="001E5747">
        <w:rPr>
          <w:rFonts w:asciiTheme="majorHAnsi" w:hAnsiTheme="majorHAnsi"/>
          <w:sz w:val="21"/>
          <w:szCs w:val="21"/>
          <w:lang w:val="en-GB"/>
        </w:rPr>
        <w:t>by the Government of Kosovo represented by MLG</w:t>
      </w:r>
      <w:r w:rsidR="001E5747">
        <w:rPr>
          <w:rFonts w:asciiTheme="majorHAnsi" w:hAnsiTheme="majorHAnsi"/>
          <w:sz w:val="21"/>
          <w:szCs w:val="21"/>
          <w:lang w:val="en-GB"/>
        </w:rPr>
        <w:t>A</w:t>
      </w:r>
      <w:r w:rsidRPr="001E5747">
        <w:rPr>
          <w:rFonts w:asciiTheme="majorHAnsi" w:hAnsiTheme="majorHAnsi"/>
          <w:sz w:val="21"/>
          <w:szCs w:val="21"/>
          <w:lang w:val="en-GB"/>
        </w:rPr>
        <w:t xml:space="preserve"> and contributors such as </w:t>
      </w:r>
      <w:r w:rsidR="00B64DC9">
        <w:rPr>
          <w:rFonts w:asciiTheme="majorHAnsi" w:hAnsiTheme="majorHAnsi"/>
          <w:sz w:val="21"/>
          <w:szCs w:val="21"/>
          <w:lang w:val="en-GB"/>
        </w:rPr>
        <w:t xml:space="preserve">EU, Sweden, </w:t>
      </w:r>
      <w:r w:rsidRPr="001E5747">
        <w:rPr>
          <w:rFonts w:asciiTheme="majorHAnsi" w:hAnsiTheme="majorHAnsi"/>
          <w:sz w:val="21"/>
          <w:szCs w:val="21"/>
          <w:lang w:val="en-GB"/>
        </w:rPr>
        <w:t>Switzerland and Norway.</w:t>
      </w:r>
    </w:p>
    <w:p w14:paraId="11855469" w14:textId="77777777" w:rsidR="00B739C3" w:rsidRPr="001E5747" w:rsidRDefault="00B739C3" w:rsidP="00B739C3">
      <w:pPr>
        <w:spacing w:before="120" w:line="264" w:lineRule="auto"/>
        <w:jc w:val="both"/>
        <w:rPr>
          <w:rFonts w:asciiTheme="majorHAnsi" w:hAnsiTheme="majorHAnsi"/>
          <w:sz w:val="21"/>
          <w:szCs w:val="21"/>
          <w:lang w:val="en-GB"/>
        </w:rPr>
      </w:pPr>
      <w:r w:rsidRPr="001E5747">
        <w:rPr>
          <w:rFonts w:asciiTheme="majorHAnsi" w:hAnsiTheme="majorHAnsi"/>
          <w:sz w:val="21"/>
          <w:szCs w:val="21"/>
          <w:lang w:val="en-GB"/>
        </w:rPr>
        <w:t>The Municipal Performance Grant (MPG) aims to foster competition between municipalities, following the principle that better performance is accompanied by greater grant value. Therefore, the MPG aims to support municipalities in two ways: first, by encouraging municipal compliance with minimum legal standards (basic standards); second, by stimulating 'real' performance that goes beyond legal ('mandatory') requirements.</w:t>
      </w:r>
    </w:p>
    <w:p w14:paraId="4303EF46" w14:textId="77777777" w:rsidR="00B739C3" w:rsidRPr="001E5747" w:rsidRDefault="00B739C3" w:rsidP="00B739C3">
      <w:pPr>
        <w:spacing w:before="120" w:line="264" w:lineRule="auto"/>
        <w:jc w:val="both"/>
        <w:rPr>
          <w:rFonts w:asciiTheme="majorHAnsi" w:hAnsiTheme="majorHAnsi"/>
          <w:sz w:val="21"/>
          <w:szCs w:val="21"/>
          <w:lang w:val="en-GB"/>
        </w:rPr>
      </w:pPr>
      <w:r w:rsidRPr="001E5747">
        <w:rPr>
          <w:rFonts w:asciiTheme="majorHAnsi" w:hAnsiTheme="majorHAnsi"/>
          <w:sz w:val="21"/>
          <w:szCs w:val="21"/>
          <w:lang w:val="en-GB"/>
        </w:rPr>
        <w:t>The MPG is based on the following principles:</w:t>
      </w:r>
    </w:p>
    <w:p w14:paraId="08FF33F0" w14:textId="77777777" w:rsidR="00B739C3" w:rsidRPr="001E5747" w:rsidRDefault="00B739C3" w:rsidP="00B739C3">
      <w:pPr>
        <w:pStyle w:val="ListParagraph"/>
        <w:numPr>
          <w:ilvl w:val="0"/>
          <w:numId w:val="30"/>
        </w:numPr>
        <w:spacing w:before="120" w:line="264" w:lineRule="auto"/>
        <w:jc w:val="both"/>
        <w:rPr>
          <w:rFonts w:asciiTheme="majorHAnsi" w:hAnsiTheme="majorHAnsi"/>
          <w:sz w:val="21"/>
          <w:szCs w:val="21"/>
          <w:lang w:val="en-GB"/>
        </w:rPr>
      </w:pPr>
      <w:r w:rsidRPr="001E5747">
        <w:rPr>
          <w:rFonts w:asciiTheme="majorHAnsi" w:hAnsiTheme="majorHAnsi"/>
          <w:sz w:val="21"/>
          <w:szCs w:val="21"/>
          <w:lang w:val="en-GB"/>
        </w:rPr>
        <w:t xml:space="preserve">Municipalities must meet a number of minimum </w:t>
      </w:r>
      <w:r w:rsidR="009767E2">
        <w:rPr>
          <w:rFonts w:asciiTheme="majorHAnsi" w:hAnsiTheme="majorHAnsi"/>
          <w:sz w:val="21"/>
          <w:szCs w:val="21"/>
          <w:lang w:val="en-GB"/>
        </w:rPr>
        <w:t xml:space="preserve">conditions </w:t>
      </w:r>
      <w:r w:rsidRPr="001E5747">
        <w:rPr>
          <w:rFonts w:asciiTheme="majorHAnsi" w:hAnsiTheme="majorHAnsi"/>
          <w:sz w:val="21"/>
          <w:szCs w:val="21"/>
          <w:lang w:val="en-GB"/>
        </w:rPr>
        <w:t xml:space="preserve">to be eligible for a grant on an annual basis; </w:t>
      </w:r>
    </w:p>
    <w:p w14:paraId="41783A0E" w14:textId="77777777" w:rsidR="00B739C3" w:rsidRPr="001E5747" w:rsidRDefault="00B739C3" w:rsidP="00B739C3">
      <w:pPr>
        <w:pStyle w:val="ListParagraph"/>
        <w:numPr>
          <w:ilvl w:val="0"/>
          <w:numId w:val="30"/>
        </w:numPr>
        <w:spacing w:before="120" w:line="264" w:lineRule="auto"/>
        <w:jc w:val="both"/>
        <w:rPr>
          <w:rFonts w:asciiTheme="majorHAnsi" w:hAnsiTheme="majorHAnsi"/>
          <w:color w:val="000000" w:themeColor="text1"/>
          <w:sz w:val="21"/>
          <w:szCs w:val="21"/>
          <w:lang w:val="en-GB"/>
        </w:rPr>
      </w:pPr>
      <w:r w:rsidRPr="001E5747">
        <w:rPr>
          <w:rFonts w:asciiTheme="majorHAnsi" w:hAnsiTheme="majorHAnsi"/>
          <w:sz w:val="21"/>
          <w:szCs w:val="21"/>
          <w:lang w:val="en-GB"/>
        </w:rPr>
        <w:t xml:space="preserve">For all municipalities that have met the minimum </w:t>
      </w:r>
      <w:r w:rsidR="009767E2">
        <w:rPr>
          <w:rFonts w:asciiTheme="majorHAnsi" w:hAnsiTheme="majorHAnsi"/>
          <w:sz w:val="21"/>
          <w:szCs w:val="21"/>
          <w:lang w:val="en-GB"/>
        </w:rPr>
        <w:t>conditions</w:t>
      </w:r>
      <w:r w:rsidRPr="001E5747">
        <w:rPr>
          <w:rFonts w:asciiTheme="majorHAnsi" w:hAnsiTheme="majorHAnsi"/>
          <w:sz w:val="21"/>
          <w:szCs w:val="21"/>
          <w:lang w:val="en-GB"/>
        </w:rPr>
        <w:t xml:space="preserve">, the amount of grant that each municipality receives is based on the performance achieved in the performance indicators compared to the performance of all </w:t>
      </w:r>
      <w:r w:rsidRPr="001E5747">
        <w:rPr>
          <w:rFonts w:asciiTheme="majorHAnsi" w:hAnsiTheme="majorHAnsi"/>
          <w:color w:val="000000" w:themeColor="text1"/>
          <w:sz w:val="21"/>
          <w:szCs w:val="21"/>
          <w:lang w:val="en-GB"/>
        </w:rPr>
        <w:t xml:space="preserve">other municipalities, as well as other elements of the </w:t>
      </w:r>
      <w:r w:rsidR="009767E2">
        <w:rPr>
          <w:rFonts w:asciiTheme="majorHAnsi" w:hAnsiTheme="majorHAnsi"/>
          <w:color w:val="000000" w:themeColor="text1"/>
          <w:sz w:val="21"/>
          <w:szCs w:val="21"/>
          <w:lang w:val="en-GB"/>
        </w:rPr>
        <w:t>assessment</w:t>
      </w:r>
      <w:r w:rsidRPr="001E5747">
        <w:rPr>
          <w:rFonts w:asciiTheme="majorHAnsi" w:hAnsiTheme="majorHAnsi"/>
          <w:color w:val="000000" w:themeColor="text1"/>
          <w:sz w:val="21"/>
          <w:szCs w:val="21"/>
          <w:lang w:val="en-GB"/>
        </w:rPr>
        <w:t xml:space="preserve"> criteria as defined in these rules.</w:t>
      </w:r>
    </w:p>
    <w:p w14:paraId="3C5809F2" w14:textId="77777777" w:rsidR="00B739C3" w:rsidRPr="001E5747" w:rsidRDefault="00B739C3" w:rsidP="00B739C3">
      <w:pPr>
        <w:spacing w:before="120" w:line="264" w:lineRule="auto"/>
        <w:jc w:val="both"/>
        <w:rPr>
          <w:rFonts w:asciiTheme="majorHAnsi" w:hAnsiTheme="majorHAnsi"/>
          <w:sz w:val="21"/>
          <w:szCs w:val="21"/>
          <w:lang w:val="en-GB"/>
        </w:rPr>
      </w:pPr>
      <w:r w:rsidRPr="001E5747">
        <w:rPr>
          <w:rFonts w:asciiTheme="majorHAnsi" w:hAnsiTheme="majorHAnsi"/>
          <w:sz w:val="21"/>
          <w:szCs w:val="21"/>
          <w:lang w:val="en-GB"/>
        </w:rPr>
        <w:t xml:space="preserve">Once municipalities are eligible, the </w:t>
      </w:r>
      <w:r w:rsidR="001E5747">
        <w:rPr>
          <w:rFonts w:asciiTheme="majorHAnsi" w:hAnsiTheme="majorHAnsi"/>
          <w:sz w:val="21"/>
          <w:szCs w:val="21"/>
          <w:lang w:val="en-GB"/>
        </w:rPr>
        <w:t>amount</w:t>
      </w:r>
      <w:r w:rsidRPr="001E5747">
        <w:rPr>
          <w:rFonts w:asciiTheme="majorHAnsi" w:hAnsiTheme="majorHAnsi"/>
          <w:sz w:val="21"/>
          <w:szCs w:val="21"/>
          <w:lang w:val="en-GB"/>
        </w:rPr>
        <w:t xml:space="preserve"> of the grant will be determined by the relative points (score) earned on the performance indicators. The indicators are a reflection of government policy objectives, which aim to realize the overall vision of municipalities as </w:t>
      </w:r>
      <w:r w:rsidRPr="001E5747">
        <w:rPr>
          <w:rFonts w:asciiTheme="majorHAnsi" w:hAnsiTheme="majorHAnsi"/>
          <w:i/>
          <w:iCs/>
          <w:sz w:val="21"/>
          <w:szCs w:val="21"/>
          <w:lang w:val="en-GB"/>
        </w:rPr>
        <w:t>'vibrant democratic local government institutions that provide quality services and respond to the needs and priorities of citizens'</w:t>
      </w:r>
      <w:r w:rsidRPr="001E5747">
        <w:rPr>
          <w:rFonts w:asciiTheme="majorHAnsi" w:hAnsiTheme="majorHAnsi"/>
          <w:sz w:val="21"/>
          <w:szCs w:val="21"/>
          <w:lang w:val="en-GB"/>
        </w:rPr>
        <w:t>.</w:t>
      </w:r>
    </w:p>
    <w:p w14:paraId="1882611B" w14:textId="77777777" w:rsidR="00B739C3" w:rsidRPr="001E5747" w:rsidRDefault="00B739C3" w:rsidP="00B739C3">
      <w:pPr>
        <w:spacing w:before="120" w:line="264" w:lineRule="auto"/>
        <w:jc w:val="both"/>
        <w:rPr>
          <w:rFonts w:asciiTheme="majorHAnsi" w:hAnsiTheme="majorHAnsi"/>
          <w:sz w:val="21"/>
          <w:szCs w:val="21"/>
          <w:lang w:val="en-GB"/>
        </w:rPr>
      </w:pPr>
      <w:r w:rsidRPr="001E5747">
        <w:rPr>
          <w:rFonts w:asciiTheme="majorHAnsi" w:hAnsiTheme="majorHAnsi"/>
          <w:sz w:val="21"/>
          <w:szCs w:val="21"/>
          <w:lang w:val="en-GB"/>
        </w:rPr>
        <w:t xml:space="preserve">This document sets out the context, objectives, rules, criteria and procedures for evaluating and awarding </w:t>
      </w:r>
      <w:r w:rsidR="00D11E91" w:rsidRPr="001E5747">
        <w:rPr>
          <w:rFonts w:asciiTheme="majorHAnsi" w:hAnsiTheme="majorHAnsi"/>
          <w:sz w:val="21"/>
          <w:szCs w:val="21"/>
          <w:lang w:val="en-GB"/>
        </w:rPr>
        <w:t>the</w:t>
      </w:r>
      <w:r w:rsidRPr="001E5747">
        <w:rPr>
          <w:rFonts w:asciiTheme="majorHAnsi" w:hAnsiTheme="majorHAnsi"/>
          <w:sz w:val="21"/>
          <w:szCs w:val="21"/>
          <w:lang w:val="en-GB"/>
        </w:rPr>
        <w:t xml:space="preserve"> municipal performance grant.</w:t>
      </w:r>
    </w:p>
    <w:p w14:paraId="5CD41AA1" w14:textId="77777777" w:rsidR="00B739C3" w:rsidRPr="001E5747" w:rsidRDefault="00B739C3" w:rsidP="00B739C3">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lang w:val="en-GB"/>
        </w:rPr>
      </w:pPr>
      <w:r w:rsidRPr="001E5747">
        <w:rPr>
          <w:rFonts w:asciiTheme="majorHAnsi" w:hAnsiTheme="majorHAnsi"/>
          <w:sz w:val="21"/>
          <w:szCs w:val="21"/>
          <w:lang w:val="en-GB"/>
        </w:rPr>
        <w:t>This document also informs all stakeholders about the rules and procedures of the performance grant.</w:t>
      </w:r>
    </w:p>
    <w:p w14:paraId="500E79D0" w14:textId="77777777" w:rsidR="00B739C3" w:rsidRPr="001E5747" w:rsidRDefault="00B739C3" w:rsidP="00B739C3">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line="276" w:lineRule="auto"/>
        <w:jc w:val="both"/>
        <w:rPr>
          <w:rFonts w:asciiTheme="majorHAnsi" w:hAnsiTheme="majorHAnsi"/>
          <w:sz w:val="21"/>
          <w:szCs w:val="21"/>
          <w:lang w:val="en-GB"/>
        </w:rPr>
      </w:pPr>
      <w:r w:rsidRPr="001E5747">
        <w:rPr>
          <w:rFonts w:asciiTheme="majorHAnsi" w:hAnsiTheme="majorHAnsi"/>
          <w:sz w:val="21"/>
          <w:szCs w:val="21"/>
          <w:lang w:val="en-GB"/>
        </w:rPr>
        <w:t xml:space="preserve">The document sets out the responsibilities of </w:t>
      </w:r>
      <w:r w:rsidR="00A0644E" w:rsidRPr="001E5747">
        <w:rPr>
          <w:rFonts w:asciiTheme="majorHAnsi" w:hAnsiTheme="majorHAnsi"/>
          <w:sz w:val="21"/>
          <w:szCs w:val="21"/>
          <w:lang w:val="en-GB"/>
        </w:rPr>
        <w:t>stakeholders</w:t>
      </w:r>
      <w:r w:rsidRPr="001E5747">
        <w:rPr>
          <w:rFonts w:asciiTheme="majorHAnsi" w:hAnsiTheme="majorHAnsi"/>
          <w:sz w:val="21"/>
          <w:szCs w:val="21"/>
          <w:lang w:val="en-GB"/>
        </w:rPr>
        <w:t xml:space="preserve"> at the central level, including: (i) the technical team responsible for evaluating performance grants; (ii) the performance grant committee, responsible for allocating the municipal performance grant; (iii) the </w:t>
      </w:r>
      <w:r w:rsidR="00091613" w:rsidRPr="001E5747">
        <w:rPr>
          <w:rFonts w:asciiTheme="majorHAnsi" w:hAnsiTheme="majorHAnsi"/>
          <w:sz w:val="21"/>
          <w:szCs w:val="21"/>
          <w:lang w:val="en-GB"/>
        </w:rPr>
        <w:t>appeal commission</w:t>
      </w:r>
      <w:r w:rsidRPr="001E5747">
        <w:rPr>
          <w:rFonts w:asciiTheme="majorHAnsi" w:hAnsiTheme="majorHAnsi"/>
          <w:sz w:val="21"/>
          <w:szCs w:val="21"/>
          <w:lang w:val="en-GB"/>
        </w:rPr>
        <w:t xml:space="preserve"> responsible for reviewing municipal appeals and (iv) the group responsible for preparing the municipal performance grant rules and addressing them to the </w:t>
      </w:r>
      <w:r w:rsidR="00091613" w:rsidRPr="001E5747">
        <w:rPr>
          <w:rFonts w:asciiTheme="majorHAnsi" w:hAnsiTheme="majorHAnsi"/>
          <w:sz w:val="21"/>
          <w:szCs w:val="21"/>
          <w:lang w:val="en-GB"/>
        </w:rPr>
        <w:t>MPG commission</w:t>
      </w:r>
      <w:r w:rsidRPr="001E5747">
        <w:rPr>
          <w:rFonts w:asciiTheme="majorHAnsi" w:hAnsiTheme="majorHAnsi"/>
          <w:sz w:val="21"/>
          <w:szCs w:val="21"/>
          <w:lang w:val="en-GB"/>
        </w:rPr>
        <w:t xml:space="preserve"> for approval;</w:t>
      </w:r>
    </w:p>
    <w:p w14:paraId="56640CE8" w14:textId="77777777" w:rsidR="00B739C3" w:rsidRPr="001E5747" w:rsidRDefault="00B739C3" w:rsidP="00B739C3">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line="276" w:lineRule="auto"/>
        <w:jc w:val="both"/>
        <w:rPr>
          <w:rFonts w:asciiTheme="majorHAnsi" w:hAnsiTheme="majorHAnsi"/>
          <w:sz w:val="21"/>
          <w:szCs w:val="21"/>
          <w:lang w:val="en-GB"/>
        </w:rPr>
      </w:pPr>
      <w:r w:rsidRPr="001E5747">
        <w:rPr>
          <w:rFonts w:asciiTheme="majorHAnsi" w:hAnsiTheme="majorHAnsi"/>
          <w:sz w:val="21"/>
          <w:szCs w:val="21"/>
          <w:lang w:val="en-GB"/>
        </w:rPr>
        <w:lastRenderedPageBreak/>
        <w:t>MLG</w:t>
      </w:r>
      <w:r w:rsidR="001E5747">
        <w:rPr>
          <w:rFonts w:asciiTheme="majorHAnsi" w:hAnsiTheme="majorHAnsi"/>
          <w:sz w:val="21"/>
          <w:szCs w:val="21"/>
          <w:lang w:val="en-GB"/>
        </w:rPr>
        <w:t>A</w:t>
      </w:r>
      <w:r w:rsidRPr="001E5747">
        <w:rPr>
          <w:rFonts w:asciiTheme="majorHAnsi" w:hAnsiTheme="majorHAnsi"/>
          <w:sz w:val="21"/>
          <w:szCs w:val="21"/>
          <w:lang w:val="en-GB"/>
        </w:rPr>
        <w:t xml:space="preserve"> and donors encourage all relevant local actors to consider the municipal performance grant as a good opportunity to better understand municipal performance (including improved areas and those where there is a need for improvement) and to be part of sound competition with other municipalities in an effort to improve municipal capacity and provide efficient and effective public services to citizens.</w:t>
      </w:r>
    </w:p>
    <w:p w14:paraId="57501325" w14:textId="77777777" w:rsidR="00B739C3" w:rsidRPr="001E5747" w:rsidRDefault="00B739C3" w:rsidP="00B739C3">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line="276" w:lineRule="auto"/>
        <w:jc w:val="both"/>
        <w:rPr>
          <w:rFonts w:asciiTheme="majorHAnsi" w:hAnsiTheme="majorHAnsi"/>
          <w:sz w:val="21"/>
          <w:szCs w:val="21"/>
          <w:lang w:val="en-GB"/>
        </w:rPr>
      </w:pPr>
      <w:r w:rsidRPr="001E5747">
        <w:rPr>
          <w:rFonts w:asciiTheme="majorHAnsi" w:hAnsiTheme="majorHAnsi"/>
          <w:sz w:val="21"/>
          <w:szCs w:val="21"/>
          <w:lang w:val="en-GB"/>
        </w:rPr>
        <w:t xml:space="preserve">The results of the municipal performance </w:t>
      </w:r>
      <w:r w:rsidR="009767E2">
        <w:rPr>
          <w:rFonts w:asciiTheme="majorHAnsi" w:hAnsiTheme="majorHAnsi"/>
          <w:color w:val="000000" w:themeColor="text1"/>
          <w:sz w:val="21"/>
          <w:szCs w:val="21"/>
          <w:lang w:val="en-GB"/>
        </w:rPr>
        <w:t>assessment</w:t>
      </w:r>
      <w:r w:rsidRPr="001E5747">
        <w:rPr>
          <w:rFonts w:asciiTheme="majorHAnsi" w:hAnsiTheme="majorHAnsi"/>
          <w:sz w:val="21"/>
          <w:szCs w:val="21"/>
          <w:lang w:val="en-GB"/>
        </w:rPr>
        <w:t xml:space="preserve"> will be publicly announced by the MLG</w:t>
      </w:r>
      <w:r w:rsidR="001E5747">
        <w:rPr>
          <w:rFonts w:asciiTheme="majorHAnsi" w:hAnsiTheme="majorHAnsi"/>
          <w:sz w:val="21"/>
          <w:szCs w:val="21"/>
          <w:lang w:val="en-GB"/>
        </w:rPr>
        <w:t>A</w:t>
      </w:r>
      <w:r w:rsidRPr="001E5747">
        <w:rPr>
          <w:rFonts w:asciiTheme="majorHAnsi" w:hAnsiTheme="majorHAnsi"/>
          <w:sz w:val="21"/>
          <w:szCs w:val="21"/>
          <w:lang w:val="en-GB"/>
        </w:rPr>
        <w:t xml:space="preserve"> and will be communicated to all municipalities.</w:t>
      </w:r>
    </w:p>
    <w:p w14:paraId="35FB5DBD" w14:textId="77777777" w:rsidR="00B739C3" w:rsidRPr="001E5747" w:rsidRDefault="00B739C3" w:rsidP="00B739C3">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b/>
          <w:color w:val="FFFFFF" w:themeColor="background1"/>
          <w:sz w:val="32"/>
          <w:szCs w:val="32"/>
          <w:lang w:val="en-GB"/>
        </w:rPr>
      </w:pPr>
      <w:r w:rsidRPr="001E5747">
        <w:rPr>
          <w:rFonts w:asciiTheme="majorHAnsi" w:hAnsiTheme="majorHAnsi"/>
          <w:color w:val="FFFFFF" w:themeColor="background1"/>
          <w:sz w:val="32"/>
          <w:szCs w:val="32"/>
          <w:lang w:val="en-GB"/>
        </w:rPr>
        <w:br w:type="page"/>
      </w:r>
      <w:bookmarkStart w:id="4" w:name="_Toc236632737"/>
      <w:bookmarkStart w:id="5" w:name="_Toc170432954"/>
      <w:bookmarkStart w:id="6" w:name="_Toc170004012"/>
    </w:p>
    <w:p w14:paraId="0747F9B3" w14:textId="77777777" w:rsidR="00B739C3" w:rsidRPr="001E5747" w:rsidRDefault="00B739C3" w:rsidP="00B739C3">
      <w:pPr>
        <w:pStyle w:val="Heading1"/>
        <w:numPr>
          <w:ilvl w:val="0"/>
          <w:numId w:val="41"/>
        </w:numPr>
        <w:shd w:val="clear" w:color="auto" w:fill="D55635"/>
        <w:tabs>
          <w:tab w:val="left" w:pos="540"/>
        </w:tabs>
        <w:ind w:left="902" w:hanging="902"/>
        <w:rPr>
          <w:rFonts w:asciiTheme="majorHAnsi" w:hAnsiTheme="majorHAnsi"/>
          <w:color w:val="FFFFFF" w:themeColor="background1"/>
          <w:sz w:val="32"/>
          <w:szCs w:val="32"/>
          <w:lang w:val="en-GB"/>
        </w:rPr>
      </w:pPr>
      <w:bookmarkStart w:id="7" w:name="_Toc61062510"/>
      <w:r w:rsidRPr="001E5747">
        <w:rPr>
          <w:rFonts w:asciiTheme="majorHAnsi" w:hAnsiTheme="majorHAnsi"/>
          <w:color w:val="FFFFFF" w:themeColor="background1"/>
          <w:sz w:val="32"/>
          <w:szCs w:val="32"/>
          <w:lang w:val="en-GB"/>
        </w:rPr>
        <w:lastRenderedPageBreak/>
        <w:t>Municipal Performance Grant - Introduction</w:t>
      </w:r>
      <w:bookmarkEnd w:id="4"/>
      <w:bookmarkEnd w:id="5"/>
      <w:bookmarkEnd w:id="6"/>
      <w:bookmarkEnd w:id="7"/>
    </w:p>
    <w:p w14:paraId="6F42F9ED" w14:textId="77777777" w:rsidR="00B739C3" w:rsidRPr="001E5747" w:rsidRDefault="00B739C3" w:rsidP="00B739C3">
      <w:pPr>
        <w:rPr>
          <w:rFonts w:asciiTheme="majorHAnsi" w:hAnsiTheme="majorHAnsi"/>
          <w:sz w:val="10"/>
          <w:szCs w:val="10"/>
          <w:lang w:val="en-GB"/>
        </w:rPr>
      </w:pPr>
    </w:p>
    <w:p w14:paraId="777AF83F" w14:textId="77777777" w:rsidR="00B739C3" w:rsidRPr="001E5747" w:rsidRDefault="00B739C3" w:rsidP="00B739C3">
      <w:pPr>
        <w:bidi/>
        <w:rPr>
          <w:lang w:val="en-GB"/>
        </w:rPr>
      </w:pPr>
      <w:bookmarkStart w:id="8" w:name="_Toc236632738"/>
      <w:bookmarkStart w:id="9" w:name="_Toc170432955"/>
      <w:bookmarkStart w:id="10" w:name="_Toc170004013"/>
    </w:p>
    <w:p w14:paraId="43929288" w14:textId="77777777" w:rsidR="00B739C3" w:rsidRPr="001E5747" w:rsidRDefault="00B739C3" w:rsidP="00B739C3">
      <w:pPr>
        <w:pStyle w:val="Heading1"/>
        <w:numPr>
          <w:ilvl w:val="1"/>
          <w:numId w:val="42"/>
        </w:numPr>
        <w:tabs>
          <w:tab w:val="left" w:pos="540"/>
        </w:tabs>
        <w:ind w:left="1134" w:hanging="1134"/>
        <w:rPr>
          <w:rFonts w:asciiTheme="majorHAnsi" w:hAnsiTheme="majorHAnsi"/>
          <w:color w:val="C0504D" w:themeColor="accent2"/>
          <w:szCs w:val="28"/>
          <w:lang w:val="en-GB"/>
        </w:rPr>
      </w:pPr>
      <w:bookmarkStart w:id="11" w:name="_Toc346433877"/>
      <w:r w:rsidRPr="001E5747">
        <w:rPr>
          <w:rFonts w:asciiTheme="majorHAnsi" w:hAnsiTheme="majorHAnsi"/>
          <w:color w:val="C0504D" w:themeColor="accent2"/>
          <w:szCs w:val="28"/>
          <w:lang w:val="en-GB"/>
        </w:rPr>
        <w:t>Introduction</w:t>
      </w:r>
    </w:p>
    <w:p w14:paraId="14EC2908" w14:textId="77777777" w:rsidR="00B739C3" w:rsidRPr="001E5747" w:rsidRDefault="00B739C3" w:rsidP="00B739C3">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lang w:val="en-GB"/>
        </w:rPr>
      </w:pPr>
      <w:r w:rsidRPr="001E5747">
        <w:rPr>
          <w:rFonts w:asciiTheme="majorHAnsi" w:hAnsiTheme="majorHAnsi"/>
          <w:sz w:val="21"/>
          <w:szCs w:val="21"/>
          <w:lang w:val="en-GB"/>
        </w:rPr>
        <w:t>Municipalities in Kosovo, as subjects of decentralized local government, play an important role in organizing the public sector. In addition to being responsible for providing a range of services, municipalities on the one hand serve as the first point of contact between citizens and the state, and on the other hand, enable citizens to participate in decision-making.</w:t>
      </w:r>
    </w:p>
    <w:p w14:paraId="42EEC47D" w14:textId="77777777" w:rsidR="00B739C3" w:rsidRPr="001E5747" w:rsidRDefault="00B739C3" w:rsidP="00B739C3">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lang w:val="en-GB"/>
        </w:rPr>
      </w:pPr>
      <w:r w:rsidRPr="001E5747">
        <w:rPr>
          <w:rFonts w:asciiTheme="majorHAnsi" w:hAnsiTheme="majorHAnsi"/>
          <w:sz w:val="21"/>
          <w:szCs w:val="21"/>
          <w:lang w:val="en-GB"/>
        </w:rPr>
        <w:t xml:space="preserve">Local administration is considered one of the main pillars of the state and promoter of social and economic development. Compared to many other countries, </w:t>
      </w:r>
      <w:r w:rsidR="003D2AC8" w:rsidRPr="001E5747">
        <w:rPr>
          <w:rFonts w:asciiTheme="majorHAnsi" w:hAnsiTheme="majorHAnsi"/>
          <w:sz w:val="21"/>
          <w:szCs w:val="21"/>
          <w:lang w:val="en-GB"/>
        </w:rPr>
        <w:t xml:space="preserve">the </w:t>
      </w:r>
      <w:r w:rsidRPr="001E5747">
        <w:rPr>
          <w:rFonts w:asciiTheme="majorHAnsi" w:hAnsiTheme="majorHAnsi"/>
          <w:sz w:val="21"/>
          <w:szCs w:val="21"/>
          <w:lang w:val="en-GB"/>
        </w:rPr>
        <w:t>municipalities in Kosovo stand relatively well in service</w:t>
      </w:r>
      <w:r w:rsidR="003D2AC8" w:rsidRPr="001E5747">
        <w:rPr>
          <w:rFonts w:asciiTheme="majorHAnsi" w:hAnsiTheme="majorHAnsi"/>
          <w:sz w:val="21"/>
          <w:szCs w:val="21"/>
          <w:lang w:val="en-GB"/>
        </w:rPr>
        <w:t xml:space="preserve"> delivery</w:t>
      </w:r>
      <w:r w:rsidRPr="001E5747">
        <w:rPr>
          <w:rFonts w:asciiTheme="majorHAnsi" w:hAnsiTheme="majorHAnsi"/>
          <w:sz w:val="21"/>
          <w:szCs w:val="21"/>
          <w:lang w:val="en-GB"/>
        </w:rPr>
        <w:t xml:space="preserve">. However, there is still a need for improvements in the exercise of municipal's own competencies, given the high unemployment rate in the country and the low rate of economic development. </w:t>
      </w:r>
      <w:r w:rsidR="003D2AC8" w:rsidRPr="001E5747">
        <w:rPr>
          <w:rFonts w:asciiTheme="majorHAnsi" w:hAnsiTheme="majorHAnsi"/>
          <w:sz w:val="21"/>
          <w:szCs w:val="21"/>
          <w:lang w:val="en-GB"/>
        </w:rPr>
        <w:t>Consequently</w:t>
      </w:r>
      <w:r w:rsidRPr="001E5747">
        <w:rPr>
          <w:rFonts w:asciiTheme="majorHAnsi" w:hAnsiTheme="majorHAnsi"/>
          <w:sz w:val="21"/>
          <w:szCs w:val="21"/>
          <w:lang w:val="en-GB"/>
        </w:rPr>
        <w:t xml:space="preserve">, there is a need to improve </w:t>
      </w:r>
      <w:r w:rsidR="003D2AC8" w:rsidRPr="001E5747">
        <w:rPr>
          <w:rFonts w:asciiTheme="majorHAnsi" w:hAnsiTheme="majorHAnsi"/>
          <w:sz w:val="21"/>
          <w:szCs w:val="21"/>
          <w:lang w:val="en-GB"/>
        </w:rPr>
        <w:t xml:space="preserve">financial </w:t>
      </w:r>
      <w:r w:rsidRPr="001E5747">
        <w:rPr>
          <w:rFonts w:asciiTheme="majorHAnsi" w:hAnsiTheme="majorHAnsi"/>
          <w:sz w:val="21"/>
          <w:szCs w:val="21"/>
          <w:lang w:val="en-GB"/>
        </w:rPr>
        <w:t>control and management, as well as greater investment through strategic projects. Local institutions should encourage public servants to continuously develop their capacities, to create a modern local administration capable of providing efficient services to all citizens without distinction.</w:t>
      </w:r>
    </w:p>
    <w:p w14:paraId="5CF4CC2C" w14:textId="77777777" w:rsidR="00B739C3" w:rsidRPr="001E5747" w:rsidRDefault="003D2AC8" w:rsidP="00B739C3">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lang w:val="en-GB"/>
        </w:rPr>
      </w:pPr>
      <w:r w:rsidRPr="001E5747">
        <w:rPr>
          <w:rFonts w:asciiTheme="majorHAnsi" w:hAnsiTheme="majorHAnsi"/>
          <w:sz w:val="21"/>
          <w:szCs w:val="21"/>
          <w:lang w:val="en-GB"/>
        </w:rPr>
        <w:t>The f</w:t>
      </w:r>
      <w:r w:rsidR="00B739C3" w:rsidRPr="001E5747">
        <w:rPr>
          <w:rFonts w:asciiTheme="majorHAnsi" w:hAnsiTheme="majorHAnsi"/>
          <w:sz w:val="21"/>
          <w:szCs w:val="21"/>
          <w:lang w:val="en-GB"/>
        </w:rPr>
        <w:t xml:space="preserve">indings from local and credible international institutions </w:t>
      </w:r>
      <w:r w:rsidRPr="001E5747">
        <w:rPr>
          <w:rFonts w:asciiTheme="majorHAnsi" w:hAnsiTheme="majorHAnsi"/>
          <w:sz w:val="21"/>
          <w:szCs w:val="21"/>
          <w:lang w:val="en-GB"/>
        </w:rPr>
        <w:t xml:space="preserve">reports </w:t>
      </w:r>
      <w:r w:rsidR="00B739C3" w:rsidRPr="001E5747">
        <w:rPr>
          <w:rFonts w:asciiTheme="majorHAnsi" w:hAnsiTheme="majorHAnsi"/>
          <w:sz w:val="21"/>
          <w:szCs w:val="21"/>
          <w:lang w:val="en-GB"/>
        </w:rPr>
        <w:t>still highlight problems with public administration reform. Th</w:t>
      </w:r>
      <w:r w:rsidRPr="001E5747">
        <w:rPr>
          <w:rFonts w:asciiTheme="majorHAnsi" w:hAnsiTheme="majorHAnsi"/>
          <w:sz w:val="21"/>
          <w:szCs w:val="21"/>
          <w:lang w:val="en-GB"/>
        </w:rPr>
        <w:t>is</w:t>
      </w:r>
      <w:r w:rsidR="00B739C3" w:rsidRPr="001E5747">
        <w:rPr>
          <w:rFonts w:asciiTheme="majorHAnsi" w:hAnsiTheme="majorHAnsi"/>
          <w:sz w:val="21"/>
          <w:szCs w:val="21"/>
          <w:lang w:val="en-GB"/>
        </w:rPr>
        <w:t xml:space="preserve"> remains one of the </w:t>
      </w:r>
      <w:r w:rsidRPr="001E5747">
        <w:rPr>
          <w:rFonts w:asciiTheme="majorHAnsi" w:hAnsiTheme="majorHAnsi"/>
          <w:sz w:val="21"/>
          <w:szCs w:val="21"/>
          <w:lang w:val="en-GB"/>
        </w:rPr>
        <w:t xml:space="preserve">country’s </w:t>
      </w:r>
      <w:r w:rsidR="00B739C3" w:rsidRPr="001E5747">
        <w:rPr>
          <w:rFonts w:asciiTheme="majorHAnsi" w:hAnsiTheme="majorHAnsi"/>
          <w:sz w:val="21"/>
          <w:szCs w:val="21"/>
          <w:lang w:val="en-GB"/>
        </w:rPr>
        <w:t xml:space="preserve">main strategic priorities, for which special attention is required. Local governments need to increase the intensity of their work and provide a new governance approach that would increase citizens' trust in their local institutions. </w:t>
      </w:r>
      <w:r w:rsidR="005744DF" w:rsidRPr="001E5747">
        <w:rPr>
          <w:rFonts w:asciiTheme="majorHAnsi" w:hAnsiTheme="majorHAnsi"/>
          <w:sz w:val="21"/>
          <w:szCs w:val="21"/>
          <w:lang w:val="en-GB"/>
        </w:rPr>
        <w:t>Naturally</w:t>
      </w:r>
      <w:r w:rsidR="00B739C3" w:rsidRPr="001E5747">
        <w:rPr>
          <w:rFonts w:asciiTheme="majorHAnsi" w:hAnsiTheme="majorHAnsi"/>
          <w:sz w:val="21"/>
          <w:szCs w:val="21"/>
          <w:lang w:val="en-GB"/>
        </w:rPr>
        <w:t>, success or failure will depend on the joint commitment in building a functioning administration and the commitment of municipal institutions to respond to these problems.</w:t>
      </w:r>
    </w:p>
    <w:p w14:paraId="364988E1" w14:textId="77777777" w:rsidR="00B739C3" w:rsidRPr="001E5747" w:rsidRDefault="005744DF" w:rsidP="00B739C3">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lang w:val="en-GB"/>
        </w:rPr>
      </w:pPr>
      <w:r w:rsidRPr="001E5747">
        <w:rPr>
          <w:rFonts w:asciiTheme="majorHAnsi" w:hAnsiTheme="majorHAnsi"/>
          <w:sz w:val="21"/>
          <w:szCs w:val="21"/>
          <w:lang w:val="en-GB"/>
        </w:rPr>
        <w:t>Having</w:t>
      </w:r>
      <w:r w:rsidR="00B739C3" w:rsidRPr="001E5747">
        <w:rPr>
          <w:rFonts w:asciiTheme="majorHAnsi" w:hAnsiTheme="majorHAnsi"/>
          <w:sz w:val="21"/>
          <w:szCs w:val="21"/>
          <w:lang w:val="en-GB"/>
        </w:rPr>
        <w:t xml:space="preserve"> this in mind, the Municipal Performance Grant sets a number of objectives for local government to increase institutional capacity to exercise its competencies and effectively address issues that affect the lives of citizens. </w:t>
      </w:r>
    </w:p>
    <w:p w14:paraId="3E14F1DC" w14:textId="77777777" w:rsidR="00B739C3" w:rsidRPr="001E5747" w:rsidRDefault="00B739C3" w:rsidP="00B739C3">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0"/>
          <w:szCs w:val="20"/>
          <w:lang w:val="en-GB"/>
        </w:rPr>
      </w:pPr>
      <w:r w:rsidRPr="001E5747">
        <w:rPr>
          <w:rFonts w:asciiTheme="majorHAnsi" w:hAnsiTheme="majorHAnsi"/>
          <w:sz w:val="21"/>
          <w:szCs w:val="21"/>
          <w:lang w:val="en-GB"/>
        </w:rPr>
        <w:t>In this regard, the following topics have been identified as priority objectives for improving municipal performance, as follows:</w:t>
      </w:r>
    </w:p>
    <w:p w14:paraId="448F61C2" w14:textId="77777777" w:rsidR="00B739C3" w:rsidRPr="001E5747" w:rsidRDefault="00B739C3" w:rsidP="00B739C3">
      <w:pPr>
        <w:widowControl w:val="0"/>
        <w:numPr>
          <w:ilvl w:val="0"/>
          <w:numId w:val="17"/>
        </w:numPr>
        <w:tabs>
          <w:tab w:val="left" w:pos="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lang w:val="en-GB"/>
        </w:rPr>
      </w:pPr>
      <w:r w:rsidRPr="001E5747">
        <w:rPr>
          <w:rFonts w:asciiTheme="majorHAnsi" w:hAnsiTheme="majorHAnsi"/>
          <w:b/>
          <w:sz w:val="21"/>
          <w:szCs w:val="21"/>
          <w:lang w:val="en-GB"/>
        </w:rPr>
        <w:t xml:space="preserve">Municipalities </w:t>
      </w:r>
      <w:r w:rsidR="005744DF" w:rsidRPr="001E5747">
        <w:rPr>
          <w:rFonts w:asciiTheme="majorHAnsi" w:hAnsiTheme="majorHAnsi"/>
          <w:b/>
          <w:sz w:val="21"/>
          <w:szCs w:val="21"/>
          <w:lang w:val="en-GB"/>
        </w:rPr>
        <w:t>should</w:t>
      </w:r>
      <w:r w:rsidRPr="001E5747">
        <w:rPr>
          <w:rFonts w:asciiTheme="majorHAnsi" w:hAnsiTheme="majorHAnsi"/>
          <w:b/>
          <w:sz w:val="21"/>
          <w:szCs w:val="21"/>
          <w:lang w:val="en-GB"/>
        </w:rPr>
        <w:t xml:space="preserve"> function as local democratic institutions -</w:t>
      </w:r>
      <w:r w:rsidRPr="001E5747">
        <w:rPr>
          <w:rFonts w:asciiTheme="majorHAnsi" w:hAnsiTheme="majorHAnsi"/>
          <w:sz w:val="21"/>
          <w:szCs w:val="21"/>
          <w:lang w:val="en-GB"/>
        </w:rPr>
        <w:t xml:space="preserve"> respect</w:t>
      </w:r>
      <w:r w:rsidR="005744DF" w:rsidRPr="001E5747">
        <w:rPr>
          <w:rFonts w:asciiTheme="majorHAnsi" w:hAnsiTheme="majorHAnsi"/>
          <w:sz w:val="21"/>
          <w:szCs w:val="21"/>
          <w:lang w:val="en-GB"/>
        </w:rPr>
        <w:t>ing</w:t>
      </w:r>
      <w:r w:rsidRPr="001E5747">
        <w:rPr>
          <w:rFonts w:asciiTheme="majorHAnsi" w:hAnsiTheme="majorHAnsi"/>
          <w:sz w:val="21"/>
          <w:szCs w:val="21"/>
          <w:lang w:val="en-GB"/>
        </w:rPr>
        <w:t xml:space="preserve"> the legal standards of transparency, with a strong municipal assembly that represents the citizens and has the power to oversee the executive, while the citizens have the opportunity to express their concerns and suggestions;</w:t>
      </w:r>
    </w:p>
    <w:p w14:paraId="4BA62B57" w14:textId="77777777" w:rsidR="00B739C3" w:rsidRPr="001E5747" w:rsidRDefault="00B739C3" w:rsidP="00B739C3">
      <w:pPr>
        <w:widowControl w:val="0"/>
        <w:numPr>
          <w:ilvl w:val="0"/>
          <w:numId w:val="17"/>
        </w:numPr>
        <w:tabs>
          <w:tab w:val="left" w:pos="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lang w:val="en-GB"/>
        </w:rPr>
      </w:pPr>
      <w:r w:rsidRPr="001E5747">
        <w:rPr>
          <w:rFonts w:asciiTheme="majorHAnsi" w:hAnsiTheme="majorHAnsi"/>
          <w:b/>
          <w:sz w:val="21"/>
          <w:szCs w:val="21"/>
          <w:lang w:val="en-GB"/>
        </w:rPr>
        <w:t xml:space="preserve">Municipalities </w:t>
      </w:r>
      <w:r w:rsidR="005744DF" w:rsidRPr="001E5747">
        <w:rPr>
          <w:rFonts w:asciiTheme="majorHAnsi" w:hAnsiTheme="majorHAnsi"/>
          <w:b/>
          <w:sz w:val="21"/>
          <w:szCs w:val="21"/>
          <w:lang w:val="en-GB"/>
        </w:rPr>
        <w:t>should</w:t>
      </w:r>
      <w:r w:rsidRPr="001E5747">
        <w:rPr>
          <w:rFonts w:asciiTheme="majorHAnsi" w:hAnsiTheme="majorHAnsi"/>
          <w:b/>
          <w:sz w:val="21"/>
          <w:szCs w:val="21"/>
          <w:lang w:val="en-GB"/>
        </w:rPr>
        <w:t xml:space="preserve"> have an effective and efficient municipal management </w:t>
      </w:r>
      <w:r w:rsidRPr="001E5747">
        <w:rPr>
          <w:rFonts w:asciiTheme="majorHAnsi" w:hAnsiTheme="majorHAnsi"/>
          <w:sz w:val="21"/>
          <w:szCs w:val="21"/>
          <w:lang w:val="en-GB"/>
        </w:rPr>
        <w:t xml:space="preserve">- </w:t>
      </w:r>
      <w:r w:rsidR="005744DF" w:rsidRPr="001E5747">
        <w:rPr>
          <w:rFonts w:asciiTheme="majorHAnsi" w:hAnsiTheme="majorHAnsi"/>
          <w:sz w:val="21"/>
          <w:szCs w:val="21"/>
          <w:lang w:val="en-GB"/>
        </w:rPr>
        <w:t>which</w:t>
      </w:r>
      <w:r w:rsidRPr="001E5747">
        <w:rPr>
          <w:rFonts w:asciiTheme="majorHAnsi" w:hAnsiTheme="majorHAnsi"/>
          <w:sz w:val="21"/>
          <w:szCs w:val="21"/>
          <w:lang w:val="en-GB"/>
        </w:rPr>
        <w:t xml:space="preserve"> is neutral and impartial; and</w:t>
      </w:r>
    </w:p>
    <w:p w14:paraId="40D9769B" w14:textId="77777777" w:rsidR="00B739C3" w:rsidRPr="001E5747" w:rsidRDefault="00B739C3" w:rsidP="00B739C3">
      <w:pPr>
        <w:widowControl w:val="0"/>
        <w:numPr>
          <w:ilvl w:val="0"/>
          <w:numId w:val="17"/>
        </w:numPr>
        <w:tabs>
          <w:tab w:val="left" w:pos="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lang w:val="en-GB"/>
        </w:rPr>
      </w:pPr>
      <w:bookmarkStart w:id="12" w:name="_Toc236632744"/>
      <w:bookmarkStart w:id="13" w:name="_Toc170432962"/>
      <w:bookmarkStart w:id="14" w:name="_Toc170004021"/>
      <w:bookmarkEnd w:id="8"/>
      <w:bookmarkEnd w:id="9"/>
      <w:bookmarkEnd w:id="10"/>
      <w:bookmarkEnd w:id="11"/>
      <w:r w:rsidRPr="001E5747">
        <w:rPr>
          <w:rFonts w:asciiTheme="majorHAnsi" w:hAnsiTheme="majorHAnsi"/>
          <w:b/>
          <w:sz w:val="21"/>
          <w:szCs w:val="21"/>
          <w:lang w:val="en-GB"/>
        </w:rPr>
        <w:t xml:space="preserve">Municipalities </w:t>
      </w:r>
      <w:r w:rsidR="00E6596D" w:rsidRPr="001E5747">
        <w:rPr>
          <w:rFonts w:asciiTheme="majorHAnsi" w:hAnsiTheme="majorHAnsi"/>
          <w:b/>
          <w:sz w:val="21"/>
          <w:szCs w:val="21"/>
          <w:lang w:val="en-GB"/>
        </w:rPr>
        <w:t>should</w:t>
      </w:r>
      <w:r w:rsidRPr="001E5747">
        <w:rPr>
          <w:rFonts w:asciiTheme="majorHAnsi" w:hAnsiTheme="majorHAnsi"/>
          <w:b/>
          <w:sz w:val="21"/>
          <w:szCs w:val="21"/>
          <w:lang w:val="en-GB"/>
        </w:rPr>
        <w:t xml:space="preserve"> provide </w:t>
      </w:r>
      <w:r w:rsidRPr="001E5747">
        <w:rPr>
          <w:rFonts w:asciiTheme="majorHAnsi" w:hAnsiTheme="majorHAnsi"/>
          <w:b/>
          <w:bCs/>
          <w:sz w:val="21"/>
          <w:szCs w:val="21"/>
          <w:lang w:val="en-GB"/>
        </w:rPr>
        <w:t>qualitative</w:t>
      </w:r>
      <w:r w:rsidRPr="001E5747">
        <w:rPr>
          <w:rFonts w:asciiTheme="majorHAnsi" w:hAnsiTheme="majorHAnsi"/>
          <w:sz w:val="21"/>
          <w:szCs w:val="21"/>
          <w:lang w:val="en-GB"/>
        </w:rPr>
        <w:t xml:space="preserve"> </w:t>
      </w:r>
      <w:r w:rsidRPr="001E5747">
        <w:rPr>
          <w:rFonts w:asciiTheme="majorHAnsi" w:hAnsiTheme="majorHAnsi"/>
          <w:b/>
          <w:sz w:val="21"/>
          <w:szCs w:val="21"/>
          <w:lang w:val="en-GB"/>
        </w:rPr>
        <w:t>services</w:t>
      </w:r>
      <w:r w:rsidRPr="001E5747">
        <w:rPr>
          <w:rFonts w:asciiTheme="majorHAnsi" w:hAnsiTheme="majorHAnsi"/>
          <w:sz w:val="21"/>
          <w:szCs w:val="21"/>
          <w:lang w:val="en-GB"/>
        </w:rPr>
        <w:t xml:space="preserve"> - in response to the priorities and needs of citizens, treating everyone equally.</w:t>
      </w:r>
    </w:p>
    <w:p w14:paraId="71A7F584" w14:textId="77777777" w:rsidR="00B739C3" w:rsidRPr="001E5747" w:rsidRDefault="00B739C3" w:rsidP="00B739C3">
      <w:pPr>
        <w:widowControl w:val="0"/>
        <w:tabs>
          <w:tab w:val="left" w:pos="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ind w:left="921"/>
        <w:jc w:val="both"/>
        <w:rPr>
          <w:rFonts w:asciiTheme="majorHAnsi" w:hAnsiTheme="majorHAnsi"/>
          <w:sz w:val="21"/>
          <w:szCs w:val="21"/>
          <w:lang w:val="en-GB"/>
        </w:rPr>
      </w:pPr>
    </w:p>
    <w:p w14:paraId="5382C7A8" w14:textId="77777777" w:rsidR="00B739C3" w:rsidRPr="001E5747" w:rsidRDefault="00B739C3" w:rsidP="00B739C3">
      <w:pPr>
        <w:pStyle w:val="Heading1"/>
        <w:numPr>
          <w:ilvl w:val="1"/>
          <w:numId w:val="42"/>
        </w:numPr>
        <w:tabs>
          <w:tab w:val="left" w:pos="540"/>
        </w:tabs>
        <w:ind w:left="1134" w:hanging="1134"/>
        <w:rPr>
          <w:rFonts w:asciiTheme="majorHAnsi" w:hAnsiTheme="majorHAnsi"/>
          <w:color w:val="C0504D" w:themeColor="accent2"/>
          <w:szCs w:val="28"/>
          <w:lang w:val="en-GB"/>
        </w:rPr>
      </w:pPr>
      <w:bookmarkStart w:id="15" w:name="_Toc61062512"/>
      <w:r w:rsidRPr="001E5747">
        <w:rPr>
          <w:rFonts w:asciiTheme="majorHAnsi" w:hAnsiTheme="majorHAnsi"/>
          <w:color w:val="C0504D" w:themeColor="accent2"/>
          <w:szCs w:val="28"/>
          <w:lang w:val="en-GB"/>
        </w:rPr>
        <w:t>Legal basis</w:t>
      </w:r>
      <w:bookmarkEnd w:id="15"/>
    </w:p>
    <w:p w14:paraId="5B3257DD" w14:textId="77777777" w:rsidR="00B739C3" w:rsidRPr="001E5747" w:rsidRDefault="00B739C3" w:rsidP="00B739C3">
      <w:pPr>
        <w:bidi/>
        <w:rPr>
          <w:lang w:val="en-GB"/>
        </w:rPr>
      </w:pPr>
      <w:bookmarkStart w:id="16" w:name="_Toc61049476"/>
      <w:bookmarkEnd w:id="12"/>
      <w:bookmarkEnd w:id="13"/>
      <w:bookmarkEnd w:id="14"/>
    </w:p>
    <w:p w14:paraId="35619F57" w14:textId="77777777" w:rsidR="00B739C3" w:rsidRPr="001E5747" w:rsidRDefault="00B739C3" w:rsidP="00E6596D">
      <w:pPr>
        <w:jc w:val="both"/>
        <w:rPr>
          <w:rFonts w:asciiTheme="majorHAnsi" w:hAnsiTheme="majorHAnsi"/>
          <w:sz w:val="21"/>
          <w:szCs w:val="21"/>
          <w:lang w:val="en-GB"/>
        </w:rPr>
      </w:pPr>
      <w:bookmarkStart w:id="17" w:name="_Toc61062513"/>
      <w:bookmarkStart w:id="18" w:name="_Toc61062340"/>
      <w:r w:rsidRPr="001E5747">
        <w:rPr>
          <w:rFonts w:asciiTheme="majorHAnsi" w:hAnsiTheme="majorHAnsi"/>
          <w:sz w:val="21"/>
          <w:szCs w:val="21"/>
          <w:lang w:val="en-GB"/>
        </w:rPr>
        <w:t>Municipal Performance Grant (MPG) rules are regulated by Regulation 01/2020 on Municipal Performance Management System and the Municipal Performance Grant Scheme.</w:t>
      </w:r>
      <w:bookmarkEnd w:id="16"/>
      <w:bookmarkEnd w:id="17"/>
      <w:bookmarkEnd w:id="18"/>
    </w:p>
    <w:p w14:paraId="7D2A8F37" w14:textId="77777777" w:rsidR="00B739C3" w:rsidRPr="001E5747" w:rsidRDefault="00B739C3" w:rsidP="00E6596D">
      <w:pPr>
        <w:jc w:val="both"/>
        <w:rPr>
          <w:rFonts w:asciiTheme="majorHAnsi" w:hAnsiTheme="majorHAnsi"/>
          <w:sz w:val="21"/>
          <w:szCs w:val="21"/>
          <w:lang w:val="en-GB"/>
        </w:rPr>
      </w:pPr>
    </w:p>
    <w:p w14:paraId="64C51D2D" w14:textId="77777777" w:rsidR="00B739C3" w:rsidRPr="001E5747" w:rsidRDefault="00B739C3" w:rsidP="00E6596D">
      <w:pPr>
        <w:jc w:val="both"/>
        <w:rPr>
          <w:rFonts w:asciiTheme="majorHAnsi" w:hAnsiTheme="majorHAnsi"/>
          <w:b/>
          <w:sz w:val="21"/>
          <w:szCs w:val="21"/>
          <w:lang w:val="en-GB"/>
        </w:rPr>
      </w:pPr>
      <w:r w:rsidRPr="001E5747">
        <w:rPr>
          <w:rFonts w:asciiTheme="majorHAnsi" w:hAnsiTheme="majorHAnsi"/>
          <w:sz w:val="21"/>
          <w:szCs w:val="21"/>
          <w:lang w:val="en-GB"/>
        </w:rPr>
        <w:t>Other material and procedural aspects are subject to treatment in the MPG Rules set out in this document.</w:t>
      </w:r>
    </w:p>
    <w:p w14:paraId="78FD2C46" w14:textId="77777777" w:rsidR="00B739C3" w:rsidRPr="001E5747" w:rsidRDefault="00B739C3" w:rsidP="00B739C3">
      <w:pPr>
        <w:bidi/>
        <w:rPr>
          <w:lang w:val="en-GB"/>
        </w:rPr>
      </w:pPr>
    </w:p>
    <w:p w14:paraId="23986CF9" w14:textId="77777777" w:rsidR="00B739C3" w:rsidRPr="001E5747" w:rsidRDefault="00B739C3" w:rsidP="00B739C3">
      <w:pPr>
        <w:pStyle w:val="Heading1"/>
        <w:numPr>
          <w:ilvl w:val="1"/>
          <w:numId w:val="42"/>
        </w:numPr>
        <w:tabs>
          <w:tab w:val="left" w:pos="540"/>
        </w:tabs>
        <w:ind w:left="1134" w:hanging="1134"/>
        <w:rPr>
          <w:rFonts w:asciiTheme="majorHAnsi" w:hAnsiTheme="majorHAnsi"/>
          <w:color w:val="C0504D" w:themeColor="accent2"/>
          <w:szCs w:val="28"/>
          <w:lang w:val="en-GB"/>
        </w:rPr>
      </w:pPr>
      <w:bookmarkStart w:id="19" w:name="_Toc61062514"/>
      <w:r w:rsidRPr="001E5747">
        <w:rPr>
          <w:rFonts w:asciiTheme="majorHAnsi" w:hAnsiTheme="majorHAnsi"/>
          <w:color w:val="C0504D" w:themeColor="accent2"/>
          <w:szCs w:val="28"/>
          <w:lang w:val="en-GB"/>
        </w:rPr>
        <w:lastRenderedPageBreak/>
        <w:t>Purpose</w:t>
      </w:r>
      <w:bookmarkEnd w:id="19"/>
    </w:p>
    <w:p w14:paraId="29994388" w14:textId="77777777" w:rsidR="00B739C3" w:rsidRPr="001E5747" w:rsidRDefault="00B739C3" w:rsidP="00B739C3">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lang w:val="en-GB"/>
        </w:rPr>
      </w:pPr>
      <w:r w:rsidRPr="001E5747">
        <w:rPr>
          <w:rFonts w:asciiTheme="majorHAnsi" w:hAnsiTheme="majorHAnsi"/>
          <w:sz w:val="21"/>
          <w:szCs w:val="21"/>
          <w:lang w:val="en-GB"/>
        </w:rPr>
        <w:t>The MPG is provided in the form of financial support to municipalities and aims to stimulate them to improve performance in certain areas, namely democratic local governance, good municipal management and service delivery.</w:t>
      </w:r>
    </w:p>
    <w:p w14:paraId="77C07F49" w14:textId="77777777" w:rsidR="00B739C3" w:rsidRPr="001E5747" w:rsidRDefault="00B739C3" w:rsidP="00B739C3">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lang w:val="en-GB"/>
        </w:rPr>
      </w:pPr>
      <w:bookmarkStart w:id="20" w:name="_Toc170432956"/>
      <w:bookmarkStart w:id="21" w:name="_Toc170004014"/>
      <w:bookmarkStart w:id="22" w:name="_Toc236632739"/>
    </w:p>
    <w:p w14:paraId="2EE00D48" w14:textId="77777777" w:rsidR="00B739C3" w:rsidRPr="001E5747" w:rsidRDefault="00B739C3" w:rsidP="00B739C3">
      <w:pPr>
        <w:pStyle w:val="Heading1"/>
        <w:numPr>
          <w:ilvl w:val="1"/>
          <w:numId w:val="42"/>
        </w:numPr>
        <w:tabs>
          <w:tab w:val="left" w:pos="540"/>
        </w:tabs>
        <w:ind w:left="1134" w:hanging="1134"/>
        <w:rPr>
          <w:rFonts w:asciiTheme="majorHAnsi" w:hAnsiTheme="majorHAnsi"/>
          <w:color w:val="C0504D" w:themeColor="accent2"/>
          <w:szCs w:val="28"/>
          <w:lang w:val="en-GB"/>
        </w:rPr>
      </w:pPr>
      <w:bookmarkStart w:id="23" w:name="_Toc61062515"/>
      <w:r w:rsidRPr="001E5747">
        <w:rPr>
          <w:rFonts w:asciiTheme="majorHAnsi" w:hAnsiTheme="majorHAnsi"/>
          <w:color w:val="C0504D" w:themeColor="accent2"/>
          <w:szCs w:val="28"/>
          <w:lang w:val="en-GB"/>
        </w:rPr>
        <w:t>Key topics</w:t>
      </w:r>
      <w:bookmarkEnd w:id="20"/>
      <w:bookmarkEnd w:id="21"/>
      <w:bookmarkEnd w:id="22"/>
      <w:bookmarkEnd w:id="23"/>
    </w:p>
    <w:p w14:paraId="646A3D13" w14:textId="77777777" w:rsidR="00B739C3" w:rsidRPr="001E5747" w:rsidRDefault="00E6596D" w:rsidP="00B739C3">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lang w:val="en-GB"/>
        </w:rPr>
      </w:pPr>
      <w:r w:rsidRPr="001E5747">
        <w:rPr>
          <w:rFonts w:asciiTheme="majorHAnsi" w:hAnsiTheme="majorHAnsi"/>
          <w:sz w:val="21"/>
          <w:szCs w:val="21"/>
          <w:lang w:val="en-GB"/>
        </w:rPr>
        <w:t>Taking into account</w:t>
      </w:r>
      <w:r w:rsidR="00B739C3" w:rsidRPr="001E5747">
        <w:rPr>
          <w:rFonts w:asciiTheme="majorHAnsi" w:hAnsiTheme="majorHAnsi"/>
          <w:sz w:val="21"/>
          <w:szCs w:val="21"/>
          <w:lang w:val="en-GB"/>
        </w:rPr>
        <w:t xml:space="preserve"> the analysis of critical factors that may prevent municipalities from becoming </w:t>
      </w:r>
      <w:r w:rsidR="00B739C3" w:rsidRPr="001E5747">
        <w:rPr>
          <w:rFonts w:asciiTheme="majorHAnsi" w:hAnsiTheme="majorHAnsi"/>
          <w:i/>
          <w:iCs/>
          <w:sz w:val="21"/>
          <w:szCs w:val="21"/>
          <w:lang w:val="en-GB"/>
        </w:rPr>
        <w:t>'vibrant democratic local government institutions that provide quality services'</w:t>
      </w:r>
      <w:r w:rsidR="00B739C3" w:rsidRPr="001E5747">
        <w:rPr>
          <w:rFonts w:asciiTheme="majorHAnsi" w:hAnsiTheme="majorHAnsi"/>
          <w:sz w:val="21"/>
          <w:szCs w:val="21"/>
          <w:lang w:val="en-GB"/>
        </w:rPr>
        <w:t xml:space="preserve">, the MPG will focus on the following three topics: </w:t>
      </w:r>
    </w:p>
    <w:p w14:paraId="5AB5EB66" w14:textId="77777777" w:rsidR="00B739C3" w:rsidRPr="001E5747" w:rsidRDefault="00B739C3" w:rsidP="00B739C3">
      <w:pPr>
        <w:widowControl w:val="0"/>
        <w:numPr>
          <w:ilvl w:val="0"/>
          <w:numId w:val="5"/>
        </w:numPr>
        <w:tabs>
          <w:tab w:val="left" w:pos="560"/>
          <w:tab w:val="left" w:pos="993"/>
          <w:tab w:val="left" w:pos="1134"/>
          <w:tab w:val="left" w:pos="1418"/>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line="252" w:lineRule="auto"/>
        <w:jc w:val="both"/>
        <w:rPr>
          <w:rFonts w:asciiTheme="majorHAnsi" w:hAnsiTheme="majorHAnsi"/>
          <w:sz w:val="21"/>
          <w:szCs w:val="21"/>
          <w:lang w:val="en-GB"/>
        </w:rPr>
      </w:pPr>
      <w:r w:rsidRPr="001E5747">
        <w:rPr>
          <w:rFonts w:asciiTheme="majorHAnsi" w:hAnsiTheme="majorHAnsi"/>
          <w:sz w:val="21"/>
          <w:szCs w:val="21"/>
          <w:lang w:val="en-GB"/>
        </w:rPr>
        <w:t>Democratic governance;</w:t>
      </w:r>
    </w:p>
    <w:p w14:paraId="10149EAB" w14:textId="77777777" w:rsidR="00B739C3" w:rsidRPr="001E5747" w:rsidRDefault="00B739C3" w:rsidP="00B739C3">
      <w:pPr>
        <w:widowControl w:val="0"/>
        <w:numPr>
          <w:ilvl w:val="0"/>
          <w:numId w:val="5"/>
        </w:numPr>
        <w:tabs>
          <w:tab w:val="left" w:pos="560"/>
          <w:tab w:val="left" w:pos="993"/>
          <w:tab w:val="left" w:pos="1134"/>
          <w:tab w:val="left" w:pos="1418"/>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line="252" w:lineRule="auto"/>
        <w:jc w:val="both"/>
        <w:rPr>
          <w:rFonts w:asciiTheme="majorHAnsi" w:hAnsiTheme="majorHAnsi"/>
          <w:sz w:val="21"/>
          <w:szCs w:val="21"/>
          <w:lang w:val="en-GB"/>
        </w:rPr>
      </w:pPr>
      <w:r w:rsidRPr="001E5747">
        <w:rPr>
          <w:rFonts w:asciiTheme="majorHAnsi" w:hAnsiTheme="majorHAnsi"/>
          <w:sz w:val="21"/>
          <w:szCs w:val="21"/>
          <w:lang w:val="en-GB"/>
        </w:rPr>
        <w:t>Municipal management;</w:t>
      </w:r>
    </w:p>
    <w:p w14:paraId="0217CE35" w14:textId="77777777" w:rsidR="00B739C3" w:rsidRPr="001E5747" w:rsidRDefault="00B739C3" w:rsidP="00B739C3">
      <w:pPr>
        <w:widowControl w:val="0"/>
        <w:numPr>
          <w:ilvl w:val="0"/>
          <w:numId w:val="5"/>
        </w:numPr>
        <w:tabs>
          <w:tab w:val="left" w:pos="560"/>
          <w:tab w:val="left" w:pos="993"/>
          <w:tab w:val="left" w:pos="1134"/>
          <w:tab w:val="left" w:pos="1418"/>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line="252" w:lineRule="auto"/>
        <w:jc w:val="both"/>
        <w:rPr>
          <w:rFonts w:asciiTheme="majorHAnsi" w:hAnsiTheme="majorHAnsi"/>
          <w:sz w:val="21"/>
          <w:szCs w:val="21"/>
          <w:lang w:val="en-GB"/>
        </w:rPr>
      </w:pPr>
      <w:r w:rsidRPr="001E5747">
        <w:rPr>
          <w:rFonts w:asciiTheme="majorHAnsi" w:hAnsiTheme="majorHAnsi"/>
          <w:sz w:val="21"/>
          <w:szCs w:val="21"/>
          <w:lang w:val="en-GB"/>
        </w:rPr>
        <w:t>Provision of services.</w:t>
      </w:r>
    </w:p>
    <w:p w14:paraId="664E70B0" w14:textId="6193E3AE" w:rsidR="00B739C3" w:rsidRPr="001E5747" w:rsidRDefault="00B739C3" w:rsidP="00B739C3">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lang w:val="en-GB"/>
        </w:rPr>
      </w:pPr>
      <w:r w:rsidRPr="001E5747">
        <w:rPr>
          <w:rFonts w:asciiTheme="majorHAnsi" w:hAnsiTheme="majorHAnsi"/>
          <w:sz w:val="21"/>
          <w:szCs w:val="21"/>
          <w:lang w:val="en-GB"/>
        </w:rPr>
        <w:t>These three topics are further divided into ten sub-topics as presented in Table 1. Within these sub-topics,</w:t>
      </w:r>
      <w:r w:rsidR="00184600">
        <w:rPr>
          <w:rFonts w:asciiTheme="majorHAnsi" w:hAnsiTheme="majorHAnsi"/>
          <w:sz w:val="21"/>
          <w:szCs w:val="21"/>
          <w:lang w:val="en-GB"/>
        </w:rPr>
        <w:t xml:space="preserve"> 30</w:t>
      </w:r>
      <w:r w:rsidRPr="001E5747">
        <w:rPr>
          <w:rFonts w:asciiTheme="majorHAnsi" w:hAnsiTheme="majorHAnsi"/>
          <w:sz w:val="21"/>
          <w:szCs w:val="21"/>
          <w:lang w:val="en-GB"/>
        </w:rPr>
        <w:t xml:space="preserve"> performance indicators have been identified, </w:t>
      </w:r>
      <w:r w:rsidR="00184600">
        <w:rPr>
          <w:rFonts w:asciiTheme="majorHAnsi" w:hAnsiTheme="majorHAnsi"/>
          <w:sz w:val="21"/>
          <w:szCs w:val="21"/>
          <w:lang w:val="en-GB"/>
        </w:rPr>
        <w:t xml:space="preserve">from which </w:t>
      </w:r>
      <w:r w:rsidR="00F45AB5">
        <w:rPr>
          <w:rFonts w:asciiTheme="majorHAnsi" w:hAnsiTheme="majorHAnsi"/>
          <w:sz w:val="21"/>
          <w:szCs w:val="21"/>
          <w:lang w:val="en-GB"/>
        </w:rPr>
        <w:t xml:space="preserve">27 </w:t>
      </w:r>
      <w:r w:rsidR="00184600">
        <w:rPr>
          <w:rFonts w:asciiTheme="majorHAnsi" w:hAnsiTheme="majorHAnsi"/>
          <w:sz w:val="21"/>
          <w:szCs w:val="21"/>
          <w:lang w:val="en-GB"/>
        </w:rPr>
        <w:t xml:space="preserve">performance indicators will be measured for the performance </w:t>
      </w:r>
      <w:r w:rsidR="00682BF2">
        <w:rPr>
          <w:rFonts w:asciiTheme="majorHAnsi" w:hAnsiTheme="majorHAnsi"/>
          <w:sz w:val="21"/>
          <w:szCs w:val="21"/>
          <w:lang w:val="en-GB"/>
        </w:rPr>
        <w:t>2021</w:t>
      </w:r>
      <w:r w:rsidR="00184600">
        <w:rPr>
          <w:rFonts w:asciiTheme="majorHAnsi" w:hAnsiTheme="majorHAnsi"/>
          <w:sz w:val="21"/>
          <w:szCs w:val="21"/>
          <w:lang w:val="en-GB"/>
        </w:rPr>
        <w:t xml:space="preserve">. This will </w:t>
      </w:r>
      <w:r w:rsidR="00E6596D" w:rsidRPr="001E5747">
        <w:rPr>
          <w:rFonts w:asciiTheme="majorHAnsi" w:hAnsiTheme="majorHAnsi"/>
          <w:sz w:val="21"/>
          <w:szCs w:val="21"/>
          <w:lang w:val="en-GB"/>
        </w:rPr>
        <w:t>allow</w:t>
      </w:r>
      <w:r w:rsidRPr="001E5747">
        <w:rPr>
          <w:rFonts w:asciiTheme="majorHAnsi" w:hAnsiTheme="majorHAnsi"/>
          <w:sz w:val="21"/>
          <w:szCs w:val="21"/>
          <w:lang w:val="en-GB"/>
        </w:rPr>
        <w:t xml:space="preserve"> municipalities to receive </w:t>
      </w:r>
      <w:r w:rsidR="00184600">
        <w:rPr>
          <w:rFonts w:asciiTheme="majorHAnsi" w:hAnsiTheme="majorHAnsi"/>
          <w:sz w:val="21"/>
          <w:szCs w:val="21"/>
          <w:lang w:val="en-GB"/>
        </w:rPr>
        <w:t>92</w:t>
      </w:r>
      <w:r w:rsidRPr="001E5747">
        <w:rPr>
          <w:rFonts w:asciiTheme="majorHAnsi" w:hAnsiTheme="majorHAnsi"/>
          <w:sz w:val="21"/>
          <w:szCs w:val="21"/>
          <w:lang w:val="en-GB"/>
        </w:rPr>
        <w:t xml:space="preserve"> points</w:t>
      </w:r>
      <w:r w:rsidR="00184600">
        <w:rPr>
          <w:rFonts w:asciiTheme="majorHAnsi" w:hAnsiTheme="majorHAnsi"/>
          <w:sz w:val="21"/>
          <w:szCs w:val="21"/>
          <w:lang w:val="en-GB"/>
        </w:rPr>
        <w:t xml:space="preserve"> (out of 100</w:t>
      </w:r>
      <w:r w:rsidR="000F7087">
        <w:rPr>
          <w:rFonts w:asciiTheme="majorHAnsi" w:hAnsiTheme="majorHAnsi"/>
          <w:sz w:val="21"/>
          <w:szCs w:val="21"/>
          <w:lang w:val="en-GB"/>
        </w:rPr>
        <w:t xml:space="preserve"> points</w:t>
      </w:r>
      <w:r w:rsidR="00184600">
        <w:rPr>
          <w:rFonts w:asciiTheme="majorHAnsi" w:hAnsiTheme="majorHAnsi"/>
          <w:sz w:val="21"/>
          <w:szCs w:val="21"/>
          <w:lang w:val="en-GB"/>
        </w:rPr>
        <w:t>)</w:t>
      </w:r>
      <w:r w:rsidRPr="001E5747">
        <w:rPr>
          <w:rFonts w:asciiTheme="majorHAnsi" w:hAnsiTheme="majorHAnsi"/>
          <w:sz w:val="21"/>
          <w:szCs w:val="21"/>
          <w:lang w:val="en-GB"/>
        </w:rPr>
        <w:t xml:space="preserve"> in the performance </w:t>
      </w:r>
      <w:r w:rsidR="009767E2">
        <w:rPr>
          <w:rFonts w:asciiTheme="majorHAnsi" w:hAnsiTheme="majorHAnsi"/>
          <w:color w:val="000000" w:themeColor="text1"/>
          <w:sz w:val="21"/>
          <w:szCs w:val="21"/>
          <w:lang w:val="en-GB"/>
        </w:rPr>
        <w:t>assessment</w:t>
      </w:r>
      <w:r w:rsidR="00184600">
        <w:rPr>
          <w:rFonts w:asciiTheme="majorHAnsi" w:hAnsiTheme="majorHAnsi"/>
          <w:color w:val="000000" w:themeColor="text1"/>
          <w:sz w:val="21"/>
          <w:szCs w:val="21"/>
          <w:lang w:val="en-GB"/>
        </w:rPr>
        <w:t xml:space="preserve"> </w:t>
      </w:r>
      <w:r w:rsidR="00F45AB5">
        <w:rPr>
          <w:rFonts w:asciiTheme="majorHAnsi" w:hAnsiTheme="majorHAnsi"/>
          <w:color w:val="000000" w:themeColor="text1"/>
          <w:sz w:val="21"/>
          <w:szCs w:val="21"/>
          <w:lang w:val="en-GB"/>
        </w:rPr>
        <w:t>2021</w:t>
      </w:r>
      <w:r w:rsidRPr="001E5747">
        <w:rPr>
          <w:rFonts w:asciiTheme="majorHAnsi" w:hAnsiTheme="majorHAnsi"/>
          <w:sz w:val="21"/>
          <w:szCs w:val="21"/>
          <w:lang w:val="en-GB"/>
        </w:rPr>
        <w:t xml:space="preserve">. </w:t>
      </w:r>
      <w:r w:rsidR="00FD4A7E">
        <w:rPr>
          <w:rFonts w:asciiTheme="majorHAnsi" w:hAnsiTheme="majorHAnsi"/>
          <w:sz w:val="21"/>
          <w:szCs w:val="21"/>
          <w:lang w:val="en-GB"/>
        </w:rPr>
        <w:t xml:space="preserve">For further explanation please see section 2.3. </w:t>
      </w:r>
      <w:r w:rsidRPr="001E5747">
        <w:rPr>
          <w:rFonts w:asciiTheme="majorHAnsi" w:hAnsiTheme="majorHAnsi"/>
          <w:sz w:val="21"/>
          <w:szCs w:val="21"/>
          <w:lang w:val="en-GB"/>
        </w:rPr>
        <w:t xml:space="preserve">The </w:t>
      </w:r>
      <w:r w:rsidR="00F45AB5">
        <w:rPr>
          <w:rFonts w:asciiTheme="majorHAnsi" w:hAnsiTheme="majorHAnsi"/>
          <w:sz w:val="21"/>
          <w:szCs w:val="21"/>
          <w:lang w:val="en-GB"/>
        </w:rPr>
        <w:t xml:space="preserve">obtained </w:t>
      </w:r>
      <w:r w:rsidRPr="001E5747">
        <w:rPr>
          <w:rFonts w:asciiTheme="majorHAnsi" w:hAnsiTheme="majorHAnsi"/>
          <w:sz w:val="21"/>
          <w:szCs w:val="21"/>
          <w:lang w:val="en-GB"/>
        </w:rPr>
        <w:t>points determine the amount of grant a municipality receives based on its performance.</w:t>
      </w:r>
    </w:p>
    <w:p w14:paraId="6A45FAEF" w14:textId="77777777" w:rsidR="00B739C3" w:rsidRPr="001E5747" w:rsidRDefault="00B739C3" w:rsidP="00B739C3">
      <w:pPr>
        <w:tabs>
          <w:tab w:val="left" w:pos="567"/>
        </w:tabs>
        <w:spacing w:before="180" w:line="288" w:lineRule="auto"/>
        <w:jc w:val="both"/>
        <w:rPr>
          <w:rFonts w:ascii="Arial" w:hAnsi="Arial"/>
          <w:b/>
          <w:sz w:val="20"/>
          <w:szCs w:val="20"/>
          <w:lang w:val="en-GB"/>
        </w:rPr>
      </w:pPr>
      <w:r w:rsidRPr="001E5747">
        <w:rPr>
          <w:rFonts w:ascii="Arial" w:hAnsi="Arial"/>
          <w:b/>
          <w:sz w:val="20"/>
          <w:szCs w:val="20"/>
          <w:lang w:val="en-GB"/>
        </w:rPr>
        <w:t>Table 1: Three main topics and ten sub-topics with maximum points</w:t>
      </w:r>
    </w:p>
    <w:tbl>
      <w:tblPr>
        <w:tblW w:w="885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2"/>
        <w:gridCol w:w="6287"/>
        <w:gridCol w:w="1711"/>
      </w:tblGrid>
      <w:tr w:rsidR="00B739C3" w:rsidRPr="001E5747" w14:paraId="3CE7FF5B" w14:textId="77777777" w:rsidTr="00B739C3">
        <w:trPr>
          <w:trHeight w:val="300"/>
        </w:trPr>
        <w:tc>
          <w:tcPr>
            <w:tcW w:w="7133" w:type="dxa"/>
            <w:gridSpan w:val="2"/>
            <w:tcBorders>
              <w:top w:val="dotted" w:sz="4" w:space="0" w:color="auto"/>
              <w:left w:val="dotted" w:sz="4" w:space="0" w:color="auto"/>
              <w:bottom w:val="dotted" w:sz="4" w:space="0" w:color="auto"/>
              <w:right w:val="dotted" w:sz="4" w:space="0" w:color="auto"/>
            </w:tcBorders>
            <w:shd w:val="clear" w:color="auto" w:fill="C0504D"/>
            <w:noWrap/>
            <w:vAlign w:val="center"/>
            <w:hideMark/>
          </w:tcPr>
          <w:p w14:paraId="19B8A25B" w14:textId="77777777" w:rsidR="00B739C3" w:rsidRPr="001E5747" w:rsidRDefault="00B739C3" w:rsidP="00B739C3">
            <w:pPr>
              <w:rPr>
                <w:rFonts w:ascii="Arial" w:hAnsi="Arial" w:cs="Arial"/>
                <w:b/>
                <w:bCs/>
                <w:color w:val="FFFFFF" w:themeColor="background1"/>
                <w:sz w:val="22"/>
                <w:szCs w:val="22"/>
                <w:lang w:val="en-GB"/>
              </w:rPr>
            </w:pPr>
            <w:r w:rsidRPr="001E5747">
              <w:rPr>
                <w:rFonts w:ascii="Arial" w:hAnsi="Arial" w:cs="Arial"/>
                <w:b/>
                <w:bCs/>
                <w:color w:val="FFFFFF" w:themeColor="background1"/>
                <w:sz w:val="22"/>
                <w:szCs w:val="22"/>
                <w:lang w:val="en-GB"/>
              </w:rPr>
              <w:t>Topics and sub-topics</w:t>
            </w:r>
          </w:p>
        </w:tc>
        <w:tc>
          <w:tcPr>
            <w:tcW w:w="1710" w:type="dxa"/>
            <w:tcBorders>
              <w:top w:val="dotted" w:sz="4" w:space="0" w:color="auto"/>
              <w:left w:val="dotted" w:sz="4" w:space="0" w:color="auto"/>
              <w:bottom w:val="dotted" w:sz="4" w:space="0" w:color="auto"/>
              <w:right w:val="dotted" w:sz="4" w:space="0" w:color="auto"/>
            </w:tcBorders>
            <w:shd w:val="clear" w:color="auto" w:fill="C0504D"/>
            <w:noWrap/>
            <w:vAlign w:val="bottom"/>
            <w:hideMark/>
          </w:tcPr>
          <w:p w14:paraId="5B393661" w14:textId="77777777" w:rsidR="00B739C3" w:rsidRPr="001E5747" w:rsidRDefault="00B739C3" w:rsidP="00B739C3">
            <w:pPr>
              <w:jc w:val="center"/>
              <w:rPr>
                <w:rFonts w:ascii="Arial" w:hAnsi="Arial" w:cs="Arial"/>
                <w:bCs/>
                <w:color w:val="FFFFFF" w:themeColor="background1"/>
                <w:sz w:val="19"/>
                <w:szCs w:val="19"/>
                <w:lang w:val="en-GB"/>
              </w:rPr>
            </w:pPr>
            <w:r w:rsidRPr="001E5747">
              <w:rPr>
                <w:rFonts w:ascii="Arial" w:hAnsi="Arial" w:cs="Arial"/>
                <w:bCs/>
                <w:color w:val="FFFFFF" w:themeColor="background1"/>
                <w:sz w:val="19"/>
                <w:szCs w:val="19"/>
                <w:lang w:val="en-GB"/>
              </w:rPr>
              <w:t>Maximum possible points</w:t>
            </w:r>
          </w:p>
        </w:tc>
      </w:tr>
      <w:tr w:rsidR="00B739C3" w:rsidRPr="001E5747" w14:paraId="4F2DAC54" w14:textId="77777777" w:rsidTr="00B739C3">
        <w:trPr>
          <w:trHeight w:val="255"/>
        </w:trPr>
        <w:tc>
          <w:tcPr>
            <w:tcW w:w="7133" w:type="dxa"/>
            <w:gridSpan w:val="2"/>
            <w:tcBorders>
              <w:top w:val="dotted" w:sz="4" w:space="0" w:color="auto"/>
              <w:left w:val="dotted" w:sz="4" w:space="0" w:color="auto"/>
              <w:bottom w:val="dotted" w:sz="4" w:space="0" w:color="auto"/>
              <w:right w:val="dotted" w:sz="4" w:space="0" w:color="auto"/>
            </w:tcBorders>
            <w:shd w:val="clear" w:color="auto" w:fill="666699"/>
            <w:noWrap/>
            <w:vAlign w:val="bottom"/>
            <w:hideMark/>
          </w:tcPr>
          <w:p w14:paraId="2B3C10EA" w14:textId="77777777" w:rsidR="00B739C3" w:rsidRPr="001E5747" w:rsidRDefault="00B739C3" w:rsidP="00B739C3">
            <w:pPr>
              <w:spacing w:before="40" w:after="40"/>
              <w:rPr>
                <w:rFonts w:ascii="Arial" w:hAnsi="Arial" w:cs="Arial"/>
                <w:color w:val="FFFFFF" w:themeColor="background1"/>
                <w:sz w:val="19"/>
                <w:szCs w:val="19"/>
                <w:lang w:val="en-GB"/>
              </w:rPr>
            </w:pPr>
            <w:r w:rsidRPr="001E5747">
              <w:rPr>
                <w:rFonts w:ascii="Arial" w:hAnsi="Arial" w:cs="Arial"/>
                <w:b/>
                <w:bCs/>
                <w:color w:val="FFFFFF" w:themeColor="background1"/>
                <w:sz w:val="19"/>
                <w:szCs w:val="19"/>
                <w:lang w:val="en-GB"/>
              </w:rPr>
              <w:t>1. Democratic governance</w:t>
            </w:r>
          </w:p>
        </w:tc>
        <w:tc>
          <w:tcPr>
            <w:tcW w:w="1710" w:type="dxa"/>
            <w:tcBorders>
              <w:top w:val="dotted" w:sz="4" w:space="0" w:color="auto"/>
              <w:left w:val="dotted" w:sz="4" w:space="0" w:color="auto"/>
              <w:bottom w:val="dotted" w:sz="4" w:space="0" w:color="auto"/>
              <w:right w:val="dotted" w:sz="4" w:space="0" w:color="auto"/>
            </w:tcBorders>
            <w:shd w:val="clear" w:color="auto" w:fill="666699"/>
            <w:noWrap/>
            <w:hideMark/>
          </w:tcPr>
          <w:p w14:paraId="3A61A618" w14:textId="77777777" w:rsidR="00B739C3" w:rsidRPr="001E5747" w:rsidRDefault="00184600" w:rsidP="00B739C3">
            <w:pPr>
              <w:spacing w:before="40" w:after="40"/>
              <w:jc w:val="center"/>
              <w:rPr>
                <w:rFonts w:ascii="Arial" w:hAnsi="Arial" w:cs="Arial"/>
                <w:color w:val="FFFFFF" w:themeColor="background1"/>
                <w:sz w:val="19"/>
                <w:szCs w:val="19"/>
                <w:lang w:val="en-GB"/>
              </w:rPr>
            </w:pPr>
            <w:r>
              <w:rPr>
                <w:rFonts w:ascii="Arial" w:hAnsi="Arial" w:cs="Arial"/>
                <w:color w:val="FFFFFF" w:themeColor="background1"/>
                <w:sz w:val="19"/>
                <w:szCs w:val="19"/>
                <w:lang w:val="en-GB"/>
              </w:rPr>
              <w:t>38</w:t>
            </w:r>
          </w:p>
        </w:tc>
      </w:tr>
      <w:tr w:rsidR="00B739C3" w:rsidRPr="001E5747" w14:paraId="70E4E6F6" w14:textId="77777777" w:rsidTr="00B739C3">
        <w:trPr>
          <w:trHeight w:val="255"/>
        </w:trPr>
        <w:tc>
          <w:tcPr>
            <w:tcW w:w="851" w:type="dxa"/>
            <w:tcBorders>
              <w:top w:val="dotted" w:sz="4" w:space="0" w:color="auto"/>
              <w:left w:val="dotted" w:sz="4" w:space="0" w:color="auto"/>
              <w:bottom w:val="dotted" w:sz="4" w:space="0" w:color="auto"/>
              <w:right w:val="dotted" w:sz="4" w:space="0" w:color="auto"/>
            </w:tcBorders>
            <w:shd w:val="clear" w:color="auto" w:fill="E6E6E6"/>
            <w:noWrap/>
            <w:vAlign w:val="bottom"/>
            <w:hideMark/>
          </w:tcPr>
          <w:p w14:paraId="2638E28A" w14:textId="77777777" w:rsidR="00B739C3" w:rsidRPr="001E5747" w:rsidRDefault="00B739C3" w:rsidP="00B739C3">
            <w:pPr>
              <w:jc w:val="right"/>
              <w:rPr>
                <w:rFonts w:ascii="Arial" w:hAnsi="Arial" w:cs="Arial"/>
                <w:color w:val="000000"/>
                <w:sz w:val="19"/>
                <w:szCs w:val="19"/>
                <w:lang w:val="en-GB"/>
              </w:rPr>
            </w:pPr>
            <w:r w:rsidRPr="001E5747">
              <w:rPr>
                <w:rFonts w:ascii="Arial" w:hAnsi="Arial" w:cs="Arial"/>
                <w:color w:val="000000"/>
                <w:sz w:val="19"/>
                <w:szCs w:val="19"/>
                <w:lang w:val="en-GB"/>
              </w:rPr>
              <w:t>I</w:t>
            </w:r>
          </w:p>
        </w:tc>
        <w:tc>
          <w:tcPr>
            <w:tcW w:w="6282" w:type="dxa"/>
            <w:tcBorders>
              <w:top w:val="dotted" w:sz="4" w:space="0" w:color="auto"/>
              <w:left w:val="dotted" w:sz="4" w:space="0" w:color="auto"/>
              <w:bottom w:val="dotted" w:sz="4" w:space="0" w:color="auto"/>
              <w:right w:val="dotted" w:sz="4" w:space="0" w:color="auto"/>
            </w:tcBorders>
            <w:shd w:val="clear" w:color="auto" w:fill="E6E6E6"/>
            <w:noWrap/>
            <w:hideMark/>
          </w:tcPr>
          <w:p w14:paraId="6F57A1AB" w14:textId="77777777" w:rsidR="00B739C3" w:rsidRPr="001E5747" w:rsidRDefault="00E6596D" w:rsidP="00B739C3">
            <w:pPr>
              <w:rPr>
                <w:rFonts w:ascii="Arial" w:hAnsi="Arial" w:cs="Arial"/>
                <w:color w:val="000000"/>
                <w:sz w:val="19"/>
                <w:szCs w:val="19"/>
                <w:lang w:val="en-GB"/>
              </w:rPr>
            </w:pPr>
            <w:r w:rsidRPr="001E5747">
              <w:rPr>
                <w:rFonts w:ascii="Arial" w:hAnsi="Arial" w:cs="Arial"/>
                <w:color w:val="000000"/>
                <w:sz w:val="19"/>
                <w:szCs w:val="19"/>
                <w:lang w:val="en-GB"/>
              </w:rPr>
              <w:t>R</w:t>
            </w:r>
            <w:r w:rsidR="00B739C3" w:rsidRPr="001E5747">
              <w:rPr>
                <w:rFonts w:ascii="Arial" w:hAnsi="Arial" w:cs="Arial"/>
                <w:color w:val="000000"/>
                <w:sz w:val="19"/>
                <w:szCs w:val="19"/>
                <w:lang w:val="en-GB"/>
              </w:rPr>
              <w:t>ole of the municipal assembly as an oversight body</w:t>
            </w:r>
          </w:p>
        </w:tc>
        <w:tc>
          <w:tcPr>
            <w:tcW w:w="1710" w:type="dxa"/>
            <w:tcBorders>
              <w:top w:val="dotted" w:sz="4" w:space="0" w:color="auto"/>
              <w:left w:val="dotted" w:sz="4" w:space="0" w:color="auto"/>
              <w:bottom w:val="dotted" w:sz="4" w:space="0" w:color="auto"/>
              <w:right w:val="dotted" w:sz="4" w:space="0" w:color="auto"/>
            </w:tcBorders>
            <w:shd w:val="clear" w:color="auto" w:fill="E6E6E6"/>
            <w:noWrap/>
            <w:vAlign w:val="bottom"/>
            <w:hideMark/>
          </w:tcPr>
          <w:p w14:paraId="0FE21FA6" w14:textId="019282C6" w:rsidR="00B739C3" w:rsidRPr="001E5747" w:rsidRDefault="00F45AB5" w:rsidP="00B739C3">
            <w:pPr>
              <w:jc w:val="center"/>
              <w:rPr>
                <w:rFonts w:ascii="Arial" w:hAnsi="Arial" w:cs="Arial"/>
                <w:color w:val="000000"/>
                <w:sz w:val="19"/>
                <w:szCs w:val="19"/>
                <w:lang w:val="en-GB"/>
              </w:rPr>
            </w:pPr>
            <w:r w:rsidRPr="001E5747">
              <w:rPr>
                <w:rFonts w:ascii="Arial" w:hAnsi="Arial" w:cs="Arial"/>
                <w:color w:val="000000"/>
                <w:sz w:val="19"/>
                <w:szCs w:val="19"/>
                <w:lang w:val="en-GB"/>
              </w:rPr>
              <w:t>1</w:t>
            </w:r>
            <w:r>
              <w:rPr>
                <w:rFonts w:ascii="Arial" w:hAnsi="Arial" w:cs="Arial"/>
                <w:color w:val="000000"/>
                <w:sz w:val="19"/>
                <w:szCs w:val="19"/>
                <w:lang w:val="en-GB"/>
              </w:rPr>
              <w:t>1</w:t>
            </w:r>
          </w:p>
        </w:tc>
      </w:tr>
      <w:tr w:rsidR="00B739C3" w:rsidRPr="001E5747" w14:paraId="4ED4AB76" w14:textId="77777777" w:rsidTr="00B739C3">
        <w:trPr>
          <w:trHeight w:val="255"/>
        </w:trPr>
        <w:tc>
          <w:tcPr>
            <w:tcW w:w="851" w:type="dxa"/>
            <w:tcBorders>
              <w:top w:val="dotted" w:sz="4" w:space="0" w:color="auto"/>
              <w:left w:val="dotted" w:sz="4" w:space="0" w:color="auto"/>
              <w:bottom w:val="dotted" w:sz="4" w:space="0" w:color="auto"/>
              <w:right w:val="dotted" w:sz="4" w:space="0" w:color="auto"/>
            </w:tcBorders>
            <w:shd w:val="clear" w:color="auto" w:fill="E6E6E6"/>
            <w:noWrap/>
            <w:vAlign w:val="bottom"/>
            <w:hideMark/>
          </w:tcPr>
          <w:p w14:paraId="187D6C65" w14:textId="77777777" w:rsidR="00B739C3" w:rsidRPr="001E5747" w:rsidRDefault="00B739C3" w:rsidP="00B739C3">
            <w:pPr>
              <w:jc w:val="right"/>
              <w:rPr>
                <w:rFonts w:ascii="Arial" w:hAnsi="Arial" w:cs="Arial"/>
                <w:color w:val="000000"/>
                <w:sz w:val="19"/>
                <w:szCs w:val="19"/>
                <w:lang w:val="en-GB"/>
              </w:rPr>
            </w:pPr>
            <w:r w:rsidRPr="001E5747">
              <w:rPr>
                <w:rFonts w:ascii="Arial" w:hAnsi="Arial" w:cs="Arial"/>
                <w:color w:val="000000"/>
                <w:sz w:val="19"/>
                <w:szCs w:val="19"/>
                <w:lang w:val="en-GB"/>
              </w:rPr>
              <w:t>II</w:t>
            </w:r>
          </w:p>
        </w:tc>
        <w:tc>
          <w:tcPr>
            <w:tcW w:w="6282" w:type="dxa"/>
            <w:tcBorders>
              <w:top w:val="dotted" w:sz="4" w:space="0" w:color="auto"/>
              <w:left w:val="dotted" w:sz="4" w:space="0" w:color="auto"/>
              <w:bottom w:val="dotted" w:sz="4" w:space="0" w:color="auto"/>
              <w:right w:val="dotted" w:sz="4" w:space="0" w:color="auto"/>
            </w:tcBorders>
            <w:shd w:val="clear" w:color="auto" w:fill="E6E6E6"/>
            <w:noWrap/>
            <w:hideMark/>
          </w:tcPr>
          <w:p w14:paraId="1EB43071" w14:textId="77777777" w:rsidR="00B739C3" w:rsidRPr="001E5747" w:rsidRDefault="00B739C3" w:rsidP="00B739C3">
            <w:pPr>
              <w:rPr>
                <w:rFonts w:ascii="Arial" w:hAnsi="Arial" w:cs="Arial"/>
                <w:color w:val="000000"/>
                <w:sz w:val="19"/>
                <w:szCs w:val="19"/>
                <w:lang w:val="en-GB"/>
              </w:rPr>
            </w:pPr>
            <w:r w:rsidRPr="001E5747">
              <w:rPr>
                <w:rFonts w:ascii="Arial" w:hAnsi="Arial" w:cs="Arial"/>
                <w:color w:val="000000"/>
                <w:sz w:val="19"/>
                <w:szCs w:val="19"/>
                <w:lang w:val="en-GB"/>
              </w:rPr>
              <w:t>Participation, citizen consultation and inclusion</w:t>
            </w:r>
          </w:p>
        </w:tc>
        <w:tc>
          <w:tcPr>
            <w:tcW w:w="1710" w:type="dxa"/>
            <w:tcBorders>
              <w:top w:val="dotted" w:sz="4" w:space="0" w:color="auto"/>
              <w:left w:val="dotted" w:sz="4" w:space="0" w:color="auto"/>
              <w:bottom w:val="dotted" w:sz="4" w:space="0" w:color="auto"/>
              <w:right w:val="dotted" w:sz="4" w:space="0" w:color="auto"/>
            </w:tcBorders>
            <w:shd w:val="clear" w:color="auto" w:fill="E6E6E6"/>
            <w:noWrap/>
            <w:vAlign w:val="bottom"/>
            <w:hideMark/>
          </w:tcPr>
          <w:p w14:paraId="01B3190D" w14:textId="291B4B41" w:rsidR="00B739C3" w:rsidRPr="001E5747" w:rsidRDefault="00F45AB5" w:rsidP="00B739C3">
            <w:pPr>
              <w:jc w:val="center"/>
              <w:rPr>
                <w:rFonts w:ascii="Arial" w:hAnsi="Arial" w:cs="Arial"/>
                <w:color w:val="000000"/>
                <w:sz w:val="19"/>
                <w:szCs w:val="19"/>
                <w:lang w:val="en-GB"/>
              </w:rPr>
            </w:pPr>
            <w:r>
              <w:rPr>
                <w:rFonts w:ascii="Arial" w:hAnsi="Arial" w:cs="Arial"/>
                <w:color w:val="000000"/>
                <w:sz w:val="19"/>
                <w:szCs w:val="19"/>
                <w:lang w:val="en-GB"/>
              </w:rPr>
              <w:t>12</w:t>
            </w:r>
          </w:p>
        </w:tc>
      </w:tr>
      <w:tr w:rsidR="00B739C3" w:rsidRPr="001E5747" w14:paraId="29B2F95B" w14:textId="77777777" w:rsidTr="00B739C3">
        <w:trPr>
          <w:trHeight w:val="255"/>
        </w:trPr>
        <w:tc>
          <w:tcPr>
            <w:tcW w:w="851" w:type="dxa"/>
            <w:tcBorders>
              <w:top w:val="dotted" w:sz="4" w:space="0" w:color="auto"/>
              <w:left w:val="dotted" w:sz="4" w:space="0" w:color="auto"/>
              <w:bottom w:val="dotted" w:sz="4" w:space="0" w:color="auto"/>
              <w:right w:val="dotted" w:sz="4" w:space="0" w:color="auto"/>
            </w:tcBorders>
            <w:shd w:val="clear" w:color="auto" w:fill="E6E6E6"/>
            <w:noWrap/>
            <w:vAlign w:val="bottom"/>
            <w:hideMark/>
          </w:tcPr>
          <w:p w14:paraId="4FC2C05C" w14:textId="77777777" w:rsidR="00B739C3" w:rsidRPr="001E5747" w:rsidRDefault="00B739C3" w:rsidP="00B739C3">
            <w:pPr>
              <w:jc w:val="right"/>
              <w:rPr>
                <w:rFonts w:ascii="Arial" w:hAnsi="Arial" w:cs="Arial"/>
                <w:color w:val="000000"/>
                <w:sz w:val="19"/>
                <w:szCs w:val="19"/>
                <w:lang w:val="en-GB"/>
              </w:rPr>
            </w:pPr>
            <w:r w:rsidRPr="001E5747">
              <w:rPr>
                <w:rFonts w:ascii="Arial" w:hAnsi="Arial" w:cs="Arial"/>
                <w:color w:val="000000"/>
                <w:sz w:val="19"/>
                <w:szCs w:val="19"/>
                <w:lang w:val="en-GB"/>
              </w:rPr>
              <w:t>III</w:t>
            </w:r>
          </w:p>
        </w:tc>
        <w:tc>
          <w:tcPr>
            <w:tcW w:w="6282" w:type="dxa"/>
            <w:tcBorders>
              <w:top w:val="dotted" w:sz="4" w:space="0" w:color="auto"/>
              <w:left w:val="dotted" w:sz="4" w:space="0" w:color="auto"/>
              <w:bottom w:val="dotted" w:sz="4" w:space="0" w:color="auto"/>
              <w:right w:val="dotted" w:sz="4" w:space="0" w:color="auto"/>
            </w:tcBorders>
            <w:shd w:val="clear" w:color="auto" w:fill="E6E6E6"/>
            <w:noWrap/>
            <w:hideMark/>
          </w:tcPr>
          <w:p w14:paraId="7D5A68E1" w14:textId="77777777" w:rsidR="00B739C3" w:rsidRPr="001E5747" w:rsidRDefault="00B739C3" w:rsidP="00B739C3">
            <w:pPr>
              <w:rPr>
                <w:rFonts w:ascii="Arial" w:hAnsi="Arial" w:cs="Arial"/>
                <w:color w:val="000000"/>
                <w:sz w:val="19"/>
                <w:szCs w:val="19"/>
                <w:lang w:val="en-GB"/>
              </w:rPr>
            </w:pPr>
            <w:r w:rsidRPr="001E5747">
              <w:rPr>
                <w:rFonts w:ascii="Arial" w:hAnsi="Arial" w:cs="Arial"/>
                <w:color w:val="000000"/>
                <w:sz w:val="19"/>
                <w:szCs w:val="19"/>
                <w:lang w:val="en-GB"/>
              </w:rPr>
              <w:t>Transparency, access to information and integrity</w:t>
            </w:r>
          </w:p>
        </w:tc>
        <w:tc>
          <w:tcPr>
            <w:tcW w:w="1710" w:type="dxa"/>
            <w:tcBorders>
              <w:top w:val="dotted" w:sz="4" w:space="0" w:color="auto"/>
              <w:left w:val="dotted" w:sz="4" w:space="0" w:color="auto"/>
              <w:bottom w:val="dotted" w:sz="4" w:space="0" w:color="auto"/>
              <w:right w:val="dotted" w:sz="4" w:space="0" w:color="auto"/>
            </w:tcBorders>
            <w:shd w:val="clear" w:color="auto" w:fill="E6E6E6"/>
            <w:noWrap/>
            <w:vAlign w:val="bottom"/>
            <w:hideMark/>
          </w:tcPr>
          <w:p w14:paraId="10766951" w14:textId="77777777" w:rsidR="00B739C3" w:rsidRPr="001E5747" w:rsidRDefault="00B739C3" w:rsidP="00B739C3">
            <w:pPr>
              <w:jc w:val="center"/>
              <w:rPr>
                <w:rFonts w:ascii="Arial" w:hAnsi="Arial" w:cs="Arial"/>
                <w:color w:val="000000"/>
                <w:sz w:val="19"/>
                <w:szCs w:val="19"/>
                <w:lang w:val="en-GB"/>
              </w:rPr>
            </w:pPr>
            <w:r w:rsidRPr="001E5747">
              <w:rPr>
                <w:rFonts w:ascii="Arial" w:hAnsi="Arial" w:cs="Arial"/>
                <w:color w:val="000000"/>
                <w:sz w:val="19"/>
                <w:szCs w:val="19"/>
                <w:lang w:val="en-GB"/>
              </w:rPr>
              <w:t>15</w:t>
            </w:r>
          </w:p>
        </w:tc>
      </w:tr>
      <w:tr w:rsidR="00B739C3" w:rsidRPr="001E5747" w14:paraId="7EBAF837" w14:textId="77777777" w:rsidTr="00B739C3">
        <w:trPr>
          <w:trHeight w:val="300"/>
        </w:trPr>
        <w:tc>
          <w:tcPr>
            <w:tcW w:w="7133" w:type="dxa"/>
            <w:gridSpan w:val="2"/>
            <w:tcBorders>
              <w:top w:val="dotted" w:sz="4" w:space="0" w:color="auto"/>
              <w:left w:val="dotted" w:sz="4" w:space="0" w:color="auto"/>
              <w:bottom w:val="dotted" w:sz="4" w:space="0" w:color="auto"/>
              <w:right w:val="dotted" w:sz="4" w:space="0" w:color="auto"/>
            </w:tcBorders>
            <w:shd w:val="clear" w:color="auto" w:fill="666699"/>
            <w:noWrap/>
            <w:vAlign w:val="bottom"/>
            <w:hideMark/>
          </w:tcPr>
          <w:p w14:paraId="5214E2FC" w14:textId="77777777" w:rsidR="00B739C3" w:rsidRPr="001E5747" w:rsidRDefault="00B739C3" w:rsidP="00B739C3">
            <w:pPr>
              <w:spacing w:before="40" w:after="40"/>
              <w:rPr>
                <w:rFonts w:ascii="Arial" w:hAnsi="Arial" w:cs="Arial"/>
                <w:b/>
                <w:bCs/>
                <w:color w:val="FFFFFF" w:themeColor="background1"/>
                <w:sz w:val="19"/>
                <w:szCs w:val="19"/>
                <w:lang w:val="en-GB"/>
              </w:rPr>
            </w:pPr>
            <w:r w:rsidRPr="001E5747">
              <w:rPr>
                <w:rFonts w:ascii="Arial" w:hAnsi="Arial" w:cs="Arial"/>
                <w:b/>
                <w:bCs/>
                <w:color w:val="FFFFFF" w:themeColor="background1"/>
                <w:sz w:val="19"/>
                <w:szCs w:val="19"/>
                <w:lang w:val="en-GB"/>
              </w:rPr>
              <w:t xml:space="preserve">2. Municipal management </w:t>
            </w:r>
          </w:p>
        </w:tc>
        <w:tc>
          <w:tcPr>
            <w:tcW w:w="1710" w:type="dxa"/>
            <w:tcBorders>
              <w:top w:val="dotted" w:sz="4" w:space="0" w:color="auto"/>
              <w:left w:val="dotted" w:sz="4" w:space="0" w:color="auto"/>
              <w:bottom w:val="dotted" w:sz="4" w:space="0" w:color="auto"/>
              <w:right w:val="dotted" w:sz="4" w:space="0" w:color="auto"/>
            </w:tcBorders>
            <w:shd w:val="clear" w:color="auto" w:fill="666699"/>
            <w:noWrap/>
            <w:hideMark/>
          </w:tcPr>
          <w:p w14:paraId="0654CFF7" w14:textId="77777777" w:rsidR="00B739C3" w:rsidRPr="001E5747" w:rsidRDefault="00184600" w:rsidP="00B739C3">
            <w:pPr>
              <w:spacing w:before="40" w:after="40"/>
              <w:jc w:val="center"/>
              <w:rPr>
                <w:rFonts w:ascii="Arial" w:hAnsi="Arial" w:cs="Arial"/>
                <w:bCs/>
                <w:color w:val="FFFFFF" w:themeColor="background1"/>
                <w:sz w:val="19"/>
                <w:szCs w:val="19"/>
                <w:lang w:val="en-GB"/>
              </w:rPr>
            </w:pPr>
            <w:r>
              <w:rPr>
                <w:rFonts w:ascii="Arial" w:hAnsi="Arial" w:cs="Arial"/>
                <w:color w:val="FFFFFF" w:themeColor="background1"/>
                <w:sz w:val="19"/>
                <w:szCs w:val="19"/>
                <w:lang w:val="en-GB"/>
              </w:rPr>
              <w:t>28</w:t>
            </w:r>
          </w:p>
        </w:tc>
      </w:tr>
      <w:tr w:rsidR="00B739C3" w:rsidRPr="001E5747" w14:paraId="6A0C92DC" w14:textId="77777777" w:rsidTr="00B739C3">
        <w:trPr>
          <w:trHeight w:val="255"/>
        </w:trPr>
        <w:tc>
          <w:tcPr>
            <w:tcW w:w="851" w:type="dxa"/>
            <w:tcBorders>
              <w:top w:val="dotted" w:sz="4" w:space="0" w:color="auto"/>
              <w:left w:val="dotted" w:sz="4" w:space="0" w:color="auto"/>
              <w:bottom w:val="dotted" w:sz="4" w:space="0" w:color="auto"/>
              <w:right w:val="dotted" w:sz="4" w:space="0" w:color="auto"/>
            </w:tcBorders>
            <w:shd w:val="clear" w:color="auto" w:fill="E6E6E6"/>
            <w:noWrap/>
            <w:vAlign w:val="bottom"/>
            <w:hideMark/>
          </w:tcPr>
          <w:p w14:paraId="65D14CBD" w14:textId="77777777" w:rsidR="00B739C3" w:rsidRPr="001E5747" w:rsidRDefault="00B739C3" w:rsidP="00B739C3">
            <w:pPr>
              <w:jc w:val="right"/>
              <w:rPr>
                <w:rFonts w:ascii="Arial" w:hAnsi="Arial" w:cs="Arial"/>
                <w:color w:val="000000"/>
                <w:sz w:val="19"/>
                <w:szCs w:val="19"/>
                <w:lang w:val="en-GB"/>
              </w:rPr>
            </w:pPr>
            <w:r w:rsidRPr="001E5747">
              <w:rPr>
                <w:rFonts w:ascii="Arial" w:hAnsi="Arial" w:cs="Arial"/>
                <w:color w:val="000000"/>
                <w:sz w:val="19"/>
                <w:szCs w:val="19"/>
                <w:lang w:val="en-GB"/>
              </w:rPr>
              <w:t>IV</w:t>
            </w:r>
          </w:p>
        </w:tc>
        <w:tc>
          <w:tcPr>
            <w:tcW w:w="6282" w:type="dxa"/>
            <w:tcBorders>
              <w:top w:val="dotted" w:sz="4" w:space="0" w:color="auto"/>
              <w:left w:val="dotted" w:sz="4" w:space="0" w:color="auto"/>
              <w:bottom w:val="dotted" w:sz="4" w:space="0" w:color="auto"/>
              <w:right w:val="dotted" w:sz="4" w:space="0" w:color="auto"/>
            </w:tcBorders>
            <w:shd w:val="clear" w:color="auto" w:fill="E6E6E6"/>
            <w:noWrap/>
            <w:hideMark/>
          </w:tcPr>
          <w:p w14:paraId="2979EB1E" w14:textId="77777777" w:rsidR="00B739C3" w:rsidRPr="001E5747" w:rsidRDefault="00B739C3" w:rsidP="00B739C3">
            <w:pPr>
              <w:rPr>
                <w:rFonts w:ascii="Arial" w:hAnsi="Arial" w:cs="Arial"/>
                <w:color w:val="000000"/>
                <w:sz w:val="19"/>
                <w:szCs w:val="19"/>
                <w:lang w:val="en-GB"/>
              </w:rPr>
            </w:pPr>
            <w:r w:rsidRPr="001E5747">
              <w:rPr>
                <w:rFonts w:ascii="Arial" w:hAnsi="Arial" w:cs="Arial"/>
                <w:color w:val="000000"/>
                <w:sz w:val="19"/>
                <w:szCs w:val="19"/>
                <w:lang w:val="en-GB"/>
              </w:rPr>
              <w:t xml:space="preserve"> Financial management </w:t>
            </w:r>
          </w:p>
        </w:tc>
        <w:tc>
          <w:tcPr>
            <w:tcW w:w="1710" w:type="dxa"/>
            <w:tcBorders>
              <w:top w:val="dotted" w:sz="4" w:space="0" w:color="auto"/>
              <w:left w:val="dotted" w:sz="4" w:space="0" w:color="auto"/>
              <w:bottom w:val="dotted" w:sz="4" w:space="0" w:color="auto"/>
              <w:right w:val="dotted" w:sz="4" w:space="0" w:color="auto"/>
            </w:tcBorders>
            <w:shd w:val="clear" w:color="auto" w:fill="E6E6E6"/>
            <w:noWrap/>
            <w:vAlign w:val="bottom"/>
            <w:hideMark/>
          </w:tcPr>
          <w:p w14:paraId="453DAC6C" w14:textId="77777777" w:rsidR="00B739C3" w:rsidRPr="001E5747" w:rsidRDefault="00B739C3" w:rsidP="00B739C3">
            <w:pPr>
              <w:jc w:val="center"/>
              <w:rPr>
                <w:rFonts w:ascii="Arial" w:hAnsi="Arial" w:cs="Arial"/>
                <w:color w:val="000000"/>
                <w:sz w:val="19"/>
                <w:szCs w:val="19"/>
                <w:lang w:val="en-GB"/>
              </w:rPr>
            </w:pPr>
            <w:r w:rsidRPr="001E5747">
              <w:rPr>
                <w:rFonts w:ascii="Arial" w:hAnsi="Arial" w:cs="Arial"/>
                <w:color w:val="000000"/>
                <w:sz w:val="19"/>
                <w:szCs w:val="19"/>
                <w:lang w:val="en-GB"/>
              </w:rPr>
              <w:t>13</w:t>
            </w:r>
          </w:p>
        </w:tc>
      </w:tr>
      <w:tr w:rsidR="00B739C3" w:rsidRPr="001E5747" w14:paraId="759543F9" w14:textId="77777777" w:rsidTr="00B739C3">
        <w:trPr>
          <w:trHeight w:val="255"/>
        </w:trPr>
        <w:tc>
          <w:tcPr>
            <w:tcW w:w="851" w:type="dxa"/>
            <w:tcBorders>
              <w:top w:val="dotted" w:sz="4" w:space="0" w:color="auto"/>
              <w:left w:val="dotted" w:sz="4" w:space="0" w:color="auto"/>
              <w:bottom w:val="dotted" w:sz="4" w:space="0" w:color="auto"/>
              <w:right w:val="dotted" w:sz="4" w:space="0" w:color="auto"/>
            </w:tcBorders>
            <w:shd w:val="clear" w:color="auto" w:fill="E6E6E6"/>
            <w:noWrap/>
            <w:vAlign w:val="bottom"/>
            <w:hideMark/>
          </w:tcPr>
          <w:p w14:paraId="7F6AE3C6" w14:textId="77777777" w:rsidR="00B739C3" w:rsidRPr="001E5747" w:rsidRDefault="00B739C3" w:rsidP="00B739C3">
            <w:pPr>
              <w:jc w:val="right"/>
              <w:rPr>
                <w:rFonts w:ascii="Arial" w:hAnsi="Arial" w:cs="Arial"/>
                <w:color w:val="000000"/>
                <w:sz w:val="19"/>
                <w:szCs w:val="19"/>
                <w:lang w:val="en-GB"/>
              </w:rPr>
            </w:pPr>
            <w:r w:rsidRPr="001E5747">
              <w:rPr>
                <w:rFonts w:ascii="Arial" w:hAnsi="Arial" w:cs="Arial"/>
                <w:color w:val="000000"/>
                <w:sz w:val="19"/>
                <w:szCs w:val="19"/>
                <w:lang w:val="en-GB"/>
              </w:rPr>
              <w:t>V</w:t>
            </w:r>
          </w:p>
        </w:tc>
        <w:tc>
          <w:tcPr>
            <w:tcW w:w="6282" w:type="dxa"/>
            <w:tcBorders>
              <w:top w:val="dotted" w:sz="4" w:space="0" w:color="auto"/>
              <w:left w:val="dotted" w:sz="4" w:space="0" w:color="auto"/>
              <w:bottom w:val="dotted" w:sz="4" w:space="0" w:color="auto"/>
              <w:right w:val="dotted" w:sz="4" w:space="0" w:color="auto"/>
            </w:tcBorders>
            <w:shd w:val="clear" w:color="auto" w:fill="E6E6E6"/>
            <w:noWrap/>
            <w:hideMark/>
          </w:tcPr>
          <w:p w14:paraId="42B12BAD" w14:textId="77777777" w:rsidR="00B739C3" w:rsidRPr="001E5747" w:rsidRDefault="00B739C3" w:rsidP="00B739C3">
            <w:pPr>
              <w:rPr>
                <w:rFonts w:ascii="Arial" w:hAnsi="Arial" w:cs="Arial"/>
                <w:color w:val="000000"/>
                <w:sz w:val="19"/>
                <w:szCs w:val="19"/>
                <w:lang w:val="en-GB"/>
              </w:rPr>
            </w:pPr>
            <w:r w:rsidRPr="001E5747">
              <w:rPr>
                <w:rFonts w:ascii="Arial" w:hAnsi="Arial" w:cs="Arial"/>
                <w:color w:val="000000"/>
                <w:sz w:val="19"/>
                <w:szCs w:val="19"/>
                <w:lang w:val="en-GB"/>
              </w:rPr>
              <w:t xml:space="preserve"> Contract management </w:t>
            </w:r>
          </w:p>
        </w:tc>
        <w:tc>
          <w:tcPr>
            <w:tcW w:w="1710" w:type="dxa"/>
            <w:tcBorders>
              <w:top w:val="dotted" w:sz="4" w:space="0" w:color="auto"/>
              <w:left w:val="dotted" w:sz="4" w:space="0" w:color="auto"/>
              <w:bottom w:val="dotted" w:sz="4" w:space="0" w:color="auto"/>
              <w:right w:val="dotted" w:sz="4" w:space="0" w:color="auto"/>
            </w:tcBorders>
            <w:shd w:val="clear" w:color="auto" w:fill="E6E6E6"/>
            <w:noWrap/>
            <w:vAlign w:val="bottom"/>
            <w:hideMark/>
          </w:tcPr>
          <w:p w14:paraId="21E5525B" w14:textId="77777777" w:rsidR="00B739C3" w:rsidRPr="001E5747" w:rsidRDefault="00B739C3" w:rsidP="00B739C3">
            <w:pPr>
              <w:jc w:val="center"/>
              <w:rPr>
                <w:rFonts w:ascii="Arial" w:hAnsi="Arial" w:cs="Arial"/>
                <w:color w:val="000000"/>
                <w:sz w:val="19"/>
                <w:szCs w:val="19"/>
                <w:lang w:val="en-GB"/>
              </w:rPr>
            </w:pPr>
            <w:r w:rsidRPr="001E5747">
              <w:rPr>
                <w:rFonts w:ascii="Arial" w:hAnsi="Arial" w:cs="Arial"/>
                <w:color w:val="000000"/>
                <w:sz w:val="19"/>
                <w:szCs w:val="19"/>
                <w:lang w:val="en-GB"/>
              </w:rPr>
              <w:t>7</w:t>
            </w:r>
          </w:p>
        </w:tc>
      </w:tr>
      <w:tr w:rsidR="00B739C3" w:rsidRPr="001E5747" w14:paraId="7A4234EA" w14:textId="77777777" w:rsidTr="00B739C3">
        <w:trPr>
          <w:trHeight w:val="255"/>
        </w:trPr>
        <w:tc>
          <w:tcPr>
            <w:tcW w:w="851" w:type="dxa"/>
            <w:tcBorders>
              <w:top w:val="dotted" w:sz="4" w:space="0" w:color="auto"/>
              <w:left w:val="dotted" w:sz="4" w:space="0" w:color="auto"/>
              <w:bottom w:val="dotted" w:sz="4" w:space="0" w:color="auto"/>
              <w:right w:val="dotted" w:sz="4" w:space="0" w:color="auto"/>
            </w:tcBorders>
            <w:shd w:val="clear" w:color="auto" w:fill="E6E6E6"/>
            <w:noWrap/>
            <w:vAlign w:val="bottom"/>
            <w:hideMark/>
          </w:tcPr>
          <w:p w14:paraId="7A5D9C44" w14:textId="77777777" w:rsidR="00B739C3" w:rsidRPr="001E5747" w:rsidRDefault="00B739C3" w:rsidP="00B739C3">
            <w:pPr>
              <w:jc w:val="right"/>
              <w:rPr>
                <w:rFonts w:ascii="Arial" w:hAnsi="Arial" w:cs="Arial"/>
                <w:color w:val="000000"/>
                <w:sz w:val="19"/>
                <w:szCs w:val="19"/>
                <w:lang w:val="en-GB"/>
              </w:rPr>
            </w:pPr>
            <w:r w:rsidRPr="001E5747">
              <w:rPr>
                <w:rFonts w:ascii="Arial" w:hAnsi="Arial" w:cs="Arial"/>
                <w:color w:val="000000"/>
                <w:sz w:val="19"/>
                <w:szCs w:val="19"/>
                <w:lang w:val="en-GB"/>
              </w:rPr>
              <w:t>VI</w:t>
            </w:r>
          </w:p>
        </w:tc>
        <w:tc>
          <w:tcPr>
            <w:tcW w:w="6282" w:type="dxa"/>
            <w:tcBorders>
              <w:top w:val="dotted" w:sz="4" w:space="0" w:color="auto"/>
              <w:left w:val="dotted" w:sz="4" w:space="0" w:color="auto"/>
              <w:bottom w:val="dotted" w:sz="4" w:space="0" w:color="auto"/>
              <w:right w:val="dotted" w:sz="4" w:space="0" w:color="auto"/>
            </w:tcBorders>
            <w:shd w:val="clear" w:color="auto" w:fill="E6E6E6"/>
            <w:noWrap/>
            <w:hideMark/>
          </w:tcPr>
          <w:p w14:paraId="7440E3CC" w14:textId="77777777" w:rsidR="00B739C3" w:rsidRPr="001E5747" w:rsidRDefault="00B739C3" w:rsidP="00B739C3">
            <w:pPr>
              <w:rPr>
                <w:rFonts w:ascii="Arial" w:hAnsi="Arial" w:cs="Arial"/>
                <w:color w:val="000000"/>
                <w:sz w:val="19"/>
                <w:szCs w:val="19"/>
                <w:lang w:val="en-GB"/>
              </w:rPr>
            </w:pPr>
            <w:r w:rsidRPr="001E5747">
              <w:rPr>
                <w:rFonts w:ascii="Arial" w:hAnsi="Arial" w:cs="Arial"/>
                <w:color w:val="000000"/>
                <w:sz w:val="19"/>
                <w:szCs w:val="19"/>
                <w:lang w:val="en-GB"/>
              </w:rPr>
              <w:t>Human resource management</w:t>
            </w:r>
          </w:p>
        </w:tc>
        <w:tc>
          <w:tcPr>
            <w:tcW w:w="1710" w:type="dxa"/>
            <w:tcBorders>
              <w:top w:val="dotted" w:sz="4" w:space="0" w:color="auto"/>
              <w:left w:val="dotted" w:sz="4" w:space="0" w:color="auto"/>
              <w:bottom w:val="dotted" w:sz="4" w:space="0" w:color="auto"/>
              <w:right w:val="dotted" w:sz="4" w:space="0" w:color="auto"/>
            </w:tcBorders>
            <w:shd w:val="clear" w:color="auto" w:fill="E6E6E6"/>
            <w:noWrap/>
            <w:vAlign w:val="bottom"/>
            <w:hideMark/>
          </w:tcPr>
          <w:p w14:paraId="786FF620" w14:textId="77777777" w:rsidR="00B739C3" w:rsidRPr="001E5747" w:rsidRDefault="00184600" w:rsidP="00B739C3">
            <w:pPr>
              <w:jc w:val="center"/>
              <w:rPr>
                <w:rFonts w:ascii="Arial" w:hAnsi="Arial" w:cs="Arial"/>
                <w:color w:val="000000"/>
                <w:sz w:val="19"/>
                <w:szCs w:val="19"/>
                <w:lang w:val="en-GB"/>
              </w:rPr>
            </w:pPr>
            <w:r>
              <w:rPr>
                <w:rFonts w:ascii="Arial" w:hAnsi="Arial" w:cs="Arial"/>
                <w:color w:val="000000"/>
                <w:sz w:val="19"/>
                <w:szCs w:val="19"/>
                <w:lang w:val="en-GB"/>
              </w:rPr>
              <w:t>8</w:t>
            </w:r>
          </w:p>
        </w:tc>
      </w:tr>
      <w:tr w:rsidR="00B739C3" w:rsidRPr="001E5747" w14:paraId="2A495483" w14:textId="77777777" w:rsidTr="00B739C3">
        <w:trPr>
          <w:trHeight w:val="300"/>
        </w:trPr>
        <w:tc>
          <w:tcPr>
            <w:tcW w:w="7133" w:type="dxa"/>
            <w:gridSpan w:val="2"/>
            <w:tcBorders>
              <w:top w:val="dotted" w:sz="4" w:space="0" w:color="auto"/>
              <w:left w:val="dotted" w:sz="4" w:space="0" w:color="auto"/>
              <w:bottom w:val="dotted" w:sz="4" w:space="0" w:color="auto"/>
              <w:right w:val="dotted" w:sz="4" w:space="0" w:color="auto"/>
            </w:tcBorders>
            <w:shd w:val="clear" w:color="auto" w:fill="666699"/>
            <w:noWrap/>
            <w:vAlign w:val="bottom"/>
            <w:hideMark/>
          </w:tcPr>
          <w:p w14:paraId="58F4E89F" w14:textId="77777777" w:rsidR="00B739C3" w:rsidRPr="001E5747" w:rsidRDefault="00B739C3" w:rsidP="00B739C3">
            <w:pPr>
              <w:spacing w:before="40" w:after="40"/>
              <w:rPr>
                <w:rFonts w:ascii="Arial" w:hAnsi="Arial" w:cs="Arial"/>
                <w:b/>
                <w:bCs/>
                <w:color w:val="FFFFFF" w:themeColor="background1"/>
                <w:sz w:val="19"/>
                <w:szCs w:val="19"/>
                <w:lang w:val="en-GB"/>
              </w:rPr>
            </w:pPr>
            <w:r w:rsidRPr="001E5747">
              <w:rPr>
                <w:rFonts w:ascii="Arial" w:hAnsi="Arial" w:cs="Arial"/>
                <w:b/>
                <w:bCs/>
                <w:color w:val="FFFFFF" w:themeColor="background1"/>
                <w:sz w:val="19"/>
                <w:szCs w:val="19"/>
                <w:lang w:val="en-GB"/>
              </w:rPr>
              <w:t>3. Provision of services</w:t>
            </w:r>
          </w:p>
        </w:tc>
        <w:tc>
          <w:tcPr>
            <w:tcW w:w="1710" w:type="dxa"/>
            <w:tcBorders>
              <w:top w:val="dotted" w:sz="4" w:space="0" w:color="auto"/>
              <w:left w:val="dotted" w:sz="4" w:space="0" w:color="auto"/>
              <w:bottom w:val="dotted" w:sz="4" w:space="0" w:color="auto"/>
              <w:right w:val="dotted" w:sz="4" w:space="0" w:color="auto"/>
            </w:tcBorders>
            <w:shd w:val="clear" w:color="auto" w:fill="666699"/>
            <w:noWrap/>
            <w:hideMark/>
          </w:tcPr>
          <w:p w14:paraId="468D0017" w14:textId="77777777" w:rsidR="00B739C3" w:rsidRPr="001E5747" w:rsidRDefault="00184600" w:rsidP="00B739C3">
            <w:pPr>
              <w:spacing w:before="40" w:after="40"/>
              <w:jc w:val="center"/>
              <w:rPr>
                <w:rFonts w:ascii="Arial" w:hAnsi="Arial" w:cs="Arial"/>
                <w:color w:val="FFFFFF" w:themeColor="background1"/>
                <w:sz w:val="19"/>
                <w:szCs w:val="19"/>
                <w:lang w:val="en-GB"/>
              </w:rPr>
            </w:pPr>
            <w:r>
              <w:rPr>
                <w:rFonts w:ascii="Arial" w:hAnsi="Arial" w:cs="Arial"/>
                <w:color w:val="FFFFFF" w:themeColor="background1"/>
                <w:sz w:val="19"/>
                <w:szCs w:val="19"/>
                <w:lang w:val="en-GB"/>
              </w:rPr>
              <w:t>26</w:t>
            </w:r>
          </w:p>
        </w:tc>
      </w:tr>
      <w:tr w:rsidR="00B739C3" w:rsidRPr="001E5747" w14:paraId="52D1037A" w14:textId="77777777" w:rsidTr="00B739C3">
        <w:trPr>
          <w:trHeight w:val="255"/>
        </w:trPr>
        <w:tc>
          <w:tcPr>
            <w:tcW w:w="851" w:type="dxa"/>
            <w:tcBorders>
              <w:top w:val="dotted" w:sz="4" w:space="0" w:color="auto"/>
              <w:left w:val="dotted" w:sz="4" w:space="0" w:color="auto"/>
              <w:bottom w:val="dotted" w:sz="4" w:space="0" w:color="auto"/>
              <w:right w:val="dotted" w:sz="4" w:space="0" w:color="auto"/>
            </w:tcBorders>
            <w:shd w:val="clear" w:color="auto" w:fill="E6E6E6"/>
            <w:noWrap/>
            <w:vAlign w:val="bottom"/>
            <w:hideMark/>
          </w:tcPr>
          <w:p w14:paraId="5A3BFD7B" w14:textId="77777777" w:rsidR="00B739C3" w:rsidRPr="001E5747" w:rsidRDefault="00B739C3" w:rsidP="00B739C3">
            <w:pPr>
              <w:jc w:val="right"/>
              <w:rPr>
                <w:rFonts w:ascii="Arial" w:hAnsi="Arial" w:cs="Arial"/>
                <w:color w:val="000000"/>
                <w:sz w:val="19"/>
                <w:szCs w:val="19"/>
                <w:lang w:val="en-GB"/>
              </w:rPr>
            </w:pPr>
            <w:r w:rsidRPr="001E5747">
              <w:rPr>
                <w:rFonts w:ascii="Arial" w:hAnsi="Arial" w:cs="Arial"/>
                <w:color w:val="000000"/>
                <w:sz w:val="19"/>
                <w:szCs w:val="19"/>
                <w:lang w:val="en-GB"/>
              </w:rPr>
              <w:t>VII</w:t>
            </w:r>
          </w:p>
        </w:tc>
        <w:tc>
          <w:tcPr>
            <w:tcW w:w="6282" w:type="dxa"/>
            <w:tcBorders>
              <w:top w:val="dotted" w:sz="4" w:space="0" w:color="auto"/>
              <w:left w:val="dotted" w:sz="4" w:space="0" w:color="auto"/>
              <w:bottom w:val="dotted" w:sz="4" w:space="0" w:color="auto"/>
              <w:right w:val="dotted" w:sz="4" w:space="0" w:color="auto"/>
            </w:tcBorders>
            <w:shd w:val="clear" w:color="auto" w:fill="E6E6E6"/>
            <w:noWrap/>
            <w:hideMark/>
          </w:tcPr>
          <w:p w14:paraId="4A7833FF" w14:textId="77777777" w:rsidR="00B739C3" w:rsidRPr="001E5747" w:rsidRDefault="00B739C3" w:rsidP="00B739C3">
            <w:pPr>
              <w:rPr>
                <w:rFonts w:ascii="Arial" w:hAnsi="Arial" w:cs="Arial"/>
                <w:color w:val="000000"/>
                <w:sz w:val="19"/>
                <w:szCs w:val="19"/>
                <w:lang w:val="en-GB"/>
              </w:rPr>
            </w:pPr>
            <w:r w:rsidRPr="001E5747">
              <w:rPr>
                <w:rFonts w:ascii="Arial" w:hAnsi="Arial" w:cs="Arial"/>
                <w:color w:val="000000"/>
                <w:sz w:val="19"/>
                <w:szCs w:val="19"/>
                <w:lang w:val="en-GB"/>
              </w:rPr>
              <w:t xml:space="preserve"> Administrative services</w:t>
            </w:r>
          </w:p>
        </w:tc>
        <w:tc>
          <w:tcPr>
            <w:tcW w:w="1710" w:type="dxa"/>
            <w:tcBorders>
              <w:top w:val="dotted" w:sz="4" w:space="0" w:color="auto"/>
              <w:left w:val="dotted" w:sz="4" w:space="0" w:color="auto"/>
              <w:bottom w:val="dotted" w:sz="4" w:space="0" w:color="auto"/>
              <w:right w:val="dotted" w:sz="4" w:space="0" w:color="auto"/>
            </w:tcBorders>
            <w:shd w:val="clear" w:color="auto" w:fill="E6E6E6"/>
            <w:noWrap/>
            <w:vAlign w:val="bottom"/>
            <w:hideMark/>
          </w:tcPr>
          <w:p w14:paraId="006F8F17" w14:textId="77777777" w:rsidR="00B739C3" w:rsidRPr="001E5747" w:rsidRDefault="00B739C3" w:rsidP="00B739C3">
            <w:pPr>
              <w:jc w:val="center"/>
              <w:rPr>
                <w:rFonts w:ascii="Arial" w:hAnsi="Arial" w:cs="Arial"/>
                <w:color w:val="000000"/>
                <w:sz w:val="19"/>
                <w:szCs w:val="19"/>
                <w:lang w:val="en-GB"/>
              </w:rPr>
            </w:pPr>
            <w:r w:rsidRPr="001E5747">
              <w:rPr>
                <w:rFonts w:ascii="Arial" w:hAnsi="Arial" w:cs="Arial"/>
                <w:color w:val="000000"/>
                <w:sz w:val="19"/>
                <w:szCs w:val="19"/>
                <w:lang w:val="en-GB"/>
              </w:rPr>
              <w:t>6</w:t>
            </w:r>
          </w:p>
        </w:tc>
      </w:tr>
      <w:tr w:rsidR="00B739C3" w:rsidRPr="001E5747" w14:paraId="622CCCB3" w14:textId="77777777" w:rsidTr="00B739C3">
        <w:trPr>
          <w:trHeight w:val="255"/>
        </w:trPr>
        <w:tc>
          <w:tcPr>
            <w:tcW w:w="851" w:type="dxa"/>
            <w:tcBorders>
              <w:top w:val="dotted" w:sz="4" w:space="0" w:color="auto"/>
              <w:left w:val="dotted" w:sz="4" w:space="0" w:color="auto"/>
              <w:bottom w:val="dotted" w:sz="4" w:space="0" w:color="auto"/>
              <w:right w:val="dotted" w:sz="4" w:space="0" w:color="auto"/>
            </w:tcBorders>
            <w:shd w:val="clear" w:color="auto" w:fill="E6E6E6"/>
            <w:noWrap/>
            <w:vAlign w:val="bottom"/>
            <w:hideMark/>
          </w:tcPr>
          <w:p w14:paraId="377F39E9" w14:textId="77777777" w:rsidR="00B739C3" w:rsidRPr="001E5747" w:rsidRDefault="00B739C3" w:rsidP="00B739C3">
            <w:pPr>
              <w:jc w:val="right"/>
              <w:rPr>
                <w:rFonts w:ascii="Arial" w:hAnsi="Arial" w:cs="Arial"/>
                <w:color w:val="000000"/>
                <w:sz w:val="19"/>
                <w:szCs w:val="19"/>
                <w:lang w:val="en-GB"/>
              </w:rPr>
            </w:pPr>
            <w:r w:rsidRPr="001E5747">
              <w:rPr>
                <w:rFonts w:ascii="Arial" w:hAnsi="Arial" w:cs="Arial"/>
                <w:color w:val="000000"/>
                <w:sz w:val="19"/>
                <w:szCs w:val="19"/>
                <w:lang w:val="en-GB"/>
              </w:rPr>
              <w:t>VIII</w:t>
            </w:r>
          </w:p>
        </w:tc>
        <w:tc>
          <w:tcPr>
            <w:tcW w:w="6282" w:type="dxa"/>
            <w:tcBorders>
              <w:top w:val="dotted" w:sz="4" w:space="0" w:color="auto"/>
              <w:left w:val="dotted" w:sz="4" w:space="0" w:color="auto"/>
              <w:bottom w:val="dotted" w:sz="4" w:space="0" w:color="auto"/>
              <w:right w:val="dotted" w:sz="4" w:space="0" w:color="auto"/>
            </w:tcBorders>
            <w:shd w:val="clear" w:color="auto" w:fill="E6E6E6"/>
            <w:noWrap/>
            <w:hideMark/>
          </w:tcPr>
          <w:p w14:paraId="26DD75BD" w14:textId="77777777" w:rsidR="00B739C3" w:rsidRPr="001E5747" w:rsidRDefault="00B739C3" w:rsidP="00B739C3">
            <w:pPr>
              <w:rPr>
                <w:rFonts w:ascii="Arial" w:hAnsi="Arial" w:cs="Arial"/>
                <w:color w:val="000000"/>
                <w:sz w:val="19"/>
                <w:szCs w:val="19"/>
                <w:lang w:val="en-GB"/>
              </w:rPr>
            </w:pPr>
            <w:r w:rsidRPr="001E5747">
              <w:rPr>
                <w:rFonts w:ascii="Arial" w:hAnsi="Arial" w:cs="Arial"/>
                <w:color w:val="000000"/>
                <w:sz w:val="19"/>
                <w:szCs w:val="19"/>
                <w:lang w:val="en-GB"/>
              </w:rPr>
              <w:t>Spatial planning, public transport and the environment</w:t>
            </w:r>
          </w:p>
        </w:tc>
        <w:tc>
          <w:tcPr>
            <w:tcW w:w="1710" w:type="dxa"/>
            <w:tcBorders>
              <w:top w:val="dotted" w:sz="4" w:space="0" w:color="auto"/>
              <w:left w:val="dotted" w:sz="4" w:space="0" w:color="auto"/>
              <w:bottom w:val="dotted" w:sz="4" w:space="0" w:color="auto"/>
              <w:right w:val="dotted" w:sz="4" w:space="0" w:color="auto"/>
            </w:tcBorders>
            <w:shd w:val="clear" w:color="auto" w:fill="E6E6E6"/>
            <w:noWrap/>
            <w:vAlign w:val="bottom"/>
            <w:hideMark/>
          </w:tcPr>
          <w:p w14:paraId="18FAA230" w14:textId="77777777" w:rsidR="00B739C3" w:rsidRPr="001E5747" w:rsidRDefault="00B739C3" w:rsidP="00B739C3">
            <w:pPr>
              <w:jc w:val="center"/>
              <w:rPr>
                <w:rFonts w:ascii="Arial" w:hAnsi="Arial" w:cs="Arial"/>
                <w:color w:val="000000"/>
                <w:sz w:val="19"/>
                <w:szCs w:val="19"/>
                <w:lang w:val="en-GB"/>
              </w:rPr>
            </w:pPr>
            <w:r w:rsidRPr="001E5747">
              <w:rPr>
                <w:rFonts w:ascii="Arial" w:hAnsi="Arial" w:cs="Arial"/>
                <w:color w:val="000000"/>
                <w:sz w:val="19"/>
                <w:szCs w:val="19"/>
                <w:lang w:val="en-GB"/>
              </w:rPr>
              <w:t>8</w:t>
            </w:r>
          </w:p>
        </w:tc>
      </w:tr>
      <w:tr w:rsidR="00B739C3" w:rsidRPr="001E5747" w14:paraId="4D89FD81" w14:textId="77777777" w:rsidTr="00B739C3">
        <w:trPr>
          <w:trHeight w:val="255"/>
        </w:trPr>
        <w:tc>
          <w:tcPr>
            <w:tcW w:w="851" w:type="dxa"/>
            <w:tcBorders>
              <w:top w:val="dotted" w:sz="4" w:space="0" w:color="auto"/>
              <w:left w:val="dotted" w:sz="4" w:space="0" w:color="auto"/>
              <w:bottom w:val="dotted" w:sz="4" w:space="0" w:color="auto"/>
              <w:right w:val="dotted" w:sz="4" w:space="0" w:color="auto"/>
            </w:tcBorders>
            <w:shd w:val="clear" w:color="auto" w:fill="E6E6E6"/>
            <w:noWrap/>
            <w:vAlign w:val="bottom"/>
            <w:hideMark/>
          </w:tcPr>
          <w:p w14:paraId="6BB5D0E2" w14:textId="77777777" w:rsidR="00B739C3" w:rsidRPr="001E5747" w:rsidRDefault="00B739C3" w:rsidP="00B739C3">
            <w:pPr>
              <w:jc w:val="right"/>
              <w:rPr>
                <w:rFonts w:ascii="Arial" w:hAnsi="Arial" w:cs="Arial"/>
                <w:color w:val="000000"/>
                <w:sz w:val="19"/>
                <w:szCs w:val="19"/>
                <w:lang w:val="en-GB"/>
              </w:rPr>
            </w:pPr>
            <w:r w:rsidRPr="001E5747">
              <w:rPr>
                <w:rFonts w:ascii="Arial" w:hAnsi="Arial" w:cs="Arial"/>
                <w:color w:val="000000"/>
                <w:sz w:val="19"/>
                <w:szCs w:val="19"/>
                <w:lang w:val="en-GB"/>
              </w:rPr>
              <w:t>IX</w:t>
            </w:r>
          </w:p>
        </w:tc>
        <w:tc>
          <w:tcPr>
            <w:tcW w:w="6282" w:type="dxa"/>
            <w:tcBorders>
              <w:top w:val="dotted" w:sz="4" w:space="0" w:color="auto"/>
              <w:left w:val="dotted" w:sz="4" w:space="0" w:color="auto"/>
              <w:bottom w:val="dotted" w:sz="4" w:space="0" w:color="auto"/>
              <w:right w:val="dotted" w:sz="4" w:space="0" w:color="auto"/>
            </w:tcBorders>
            <w:shd w:val="clear" w:color="auto" w:fill="E6E6E6"/>
            <w:noWrap/>
            <w:hideMark/>
          </w:tcPr>
          <w:p w14:paraId="391B507C" w14:textId="77777777" w:rsidR="00B739C3" w:rsidRPr="001E5747" w:rsidRDefault="00B739C3" w:rsidP="00B739C3">
            <w:pPr>
              <w:rPr>
                <w:rFonts w:ascii="Arial" w:hAnsi="Arial" w:cs="Arial"/>
                <w:color w:val="000000"/>
                <w:sz w:val="19"/>
                <w:szCs w:val="19"/>
                <w:lang w:val="en-GB"/>
              </w:rPr>
            </w:pPr>
            <w:r w:rsidRPr="001E5747">
              <w:rPr>
                <w:rFonts w:ascii="Arial" w:hAnsi="Arial" w:cs="Arial"/>
                <w:color w:val="000000"/>
                <w:sz w:val="19"/>
                <w:szCs w:val="19"/>
                <w:lang w:val="en-GB"/>
              </w:rPr>
              <w:t>Pre-university education</w:t>
            </w:r>
          </w:p>
        </w:tc>
        <w:tc>
          <w:tcPr>
            <w:tcW w:w="1710" w:type="dxa"/>
            <w:tcBorders>
              <w:top w:val="dotted" w:sz="4" w:space="0" w:color="auto"/>
              <w:left w:val="dotted" w:sz="4" w:space="0" w:color="auto"/>
              <w:bottom w:val="dotted" w:sz="4" w:space="0" w:color="auto"/>
              <w:right w:val="dotted" w:sz="4" w:space="0" w:color="auto"/>
            </w:tcBorders>
            <w:shd w:val="clear" w:color="auto" w:fill="E6E6E6"/>
            <w:noWrap/>
            <w:vAlign w:val="bottom"/>
            <w:hideMark/>
          </w:tcPr>
          <w:p w14:paraId="67EB6B8D" w14:textId="77777777" w:rsidR="00B739C3" w:rsidRPr="001E5747" w:rsidRDefault="00184600" w:rsidP="00B739C3">
            <w:pPr>
              <w:jc w:val="center"/>
              <w:rPr>
                <w:rFonts w:ascii="Arial" w:hAnsi="Arial" w:cs="Arial"/>
                <w:color w:val="000000"/>
                <w:sz w:val="19"/>
                <w:szCs w:val="19"/>
                <w:lang w:val="en-GB"/>
              </w:rPr>
            </w:pPr>
            <w:r>
              <w:rPr>
                <w:rFonts w:ascii="Arial" w:hAnsi="Arial" w:cs="Arial"/>
                <w:color w:val="000000"/>
                <w:sz w:val="19"/>
                <w:szCs w:val="19"/>
                <w:lang w:val="en-GB"/>
              </w:rPr>
              <w:t>4</w:t>
            </w:r>
          </w:p>
        </w:tc>
      </w:tr>
      <w:tr w:rsidR="00B739C3" w:rsidRPr="001E5747" w14:paraId="6DC9B34B" w14:textId="77777777" w:rsidTr="00B739C3">
        <w:trPr>
          <w:trHeight w:val="255"/>
        </w:trPr>
        <w:tc>
          <w:tcPr>
            <w:tcW w:w="851" w:type="dxa"/>
            <w:tcBorders>
              <w:top w:val="dotted" w:sz="4" w:space="0" w:color="auto"/>
              <w:left w:val="dotted" w:sz="4" w:space="0" w:color="auto"/>
              <w:bottom w:val="dotted" w:sz="4" w:space="0" w:color="auto"/>
              <w:right w:val="dotted" w:sz="4" w:space="0" w:color="auto"/>
            </w:tcBorders>
            <w:shd w:val="clear" w:color="auto" w:fill="E6E6E6"/>
            <w:noWrap/>
            <w:vAlign w:val="bottom"/>
            <w:hideMark/>
          </w:tcPr>
          <w:p w14:paraId="41CF0C50" w14:textId="77777777" w:rsidR="00B739C3" w:rsidRPr="001E5747" w:rsidRDefault="00B739C3" w:rsidP="00B739C3">
            <w:pPr>
              <w:jc w:val="right"/>
              <w:rPr>
                <w:rFonts w:ascii="Arial" w:hAnsi="Arial" w:cs="Arial"/>
                <w:color w:val="000000"/>
                <w:sz w:val="19"/>
                <w:szCs w:val="19"/>
                <w:lang w:val="en-GB"/>
              </w:rPr>
            </w:pPr>
            <w:r w:rsidRPr="001E5747">
              <w:rPr>
                <w:rFonts w:ascii="Arial" w:hAnsi="Arial" w:cs="Arial"/>
                <w:color w:val="000000"/>
                <w:sz w:val="19"/>
                <w:szCs w:val="19"/>
                <w:lang w:val="en-GB"/>
              </w:rPr>
              <w:t>X</w:t>
            </w:r>
          </w:p>
        </w:tc>
        <w:tc>
          <w:tcPr>
            <w:tcW w:w="6282" w:type="dxa"/>
            <w:tcBorders>
              <w:top w:val="dotted" w:sz="4" w:space="0" w:color="auto"/>
              <w:left w:val="dotted" w:sz="4" w:space="0" w:color="auto"/>
              <w:bottom w:val="dotted" w:sz="4" w:space="0" w:color="auto"/>
              <w:right w:val="dotted" w:sz="4" w:space="0" w:color="auto"/>
            </w:tcBorders>
            <w:shd w:val="clear" w:color="auto" w:fill="E6E6E6"/>
            <w:noWrap/>
            <w:hideMark/>
          </w:tcPr>
          <w:p w14:paraId="3F1839B8" w14:textId="77777777" w:rsidR="00B739C3" w:rsidRPr="001E5747" w:rsidRDefault="00B739C3" w:rsidP="00B739C3">
            <w:pPr>
              <w:rPr>
                <w:rFonts w:ascii="Arial" w:hAnsi="Arial" w:cs="Arial"/>
                <w:color w:val="000000"/>
                <w:sz w:val="19"/>
                <w:szCs w:val="19"/>
                <w:lang w:val="en-GB"/>
              </w:rPr>
            </w:pPr>
            <w:r w:rsidRPr="001E5747">
              <w:rPr>
                <w:rFonts w:ascii="Arial" w:hAnsi="Arial" w:cs="Arial"/>
                <w:color w:val="000000"/>
                <w:sz w:val="19"/>
                <w:szCs w:val="19"/>
                <w:lang w:val="en-GB"/>
              </w:rPr>
              <w:t>Primary health care</w:t>
            </w:r>
          </w:p>
        </w:tc>
        <w:tc>
          <w:tcPr>
            <w:tcW w:w="1710" w:type="dxa"/>
            <w:tcBorders>
              <w:top w:val="dotted" w:sz="4" w:space="0" w:color="auto"/>
              <w:left w:val="dotted" w:sz="4" w:space="0" w:color="auto"/>
              <w:bottom w:val="dotted" w:sz="4" w:space="0" w:color="auto"/>
              <w:right w:val="dotted" w:sz="4" w:space="0" w:color="auto"/>
            </w:tcBorders>
            <w:shd w:val="clear" w:color="auto" w:fill="E6E6E6"/>
            <w:noWrap/>
            <w:vAlign w:val="bottom"/>
            <w:hideMark/>
          </w:tcPr>
          <w:p w14:paraId="1F6B2DD3" w14:textId="77777777" w:rsidR="00B739C3" w:rsidRPr="001E5747" w:rsidRDefault="00B739C3" w:rsidP="00B739C3">
            <w:pPr>
              <w:jc w:val="center"/>
              <w:rPr>
                <w:rFonts w:ascii="Arial" w:hAnsi="Arial" w:cs="Arial"/>
                <w:color w:val="000000"/>
                <w:sz w:val="19"/>
                <w:szCs w:val="19"/>
                <w:lang w:val="en-GB"/>
              </w:rPr>
            </w:pPr>
            <w:r w:rsidRPr="001E5747">
              <w:rPr>
                <w:rFonts w:ascii="Arial" w:hAnsi="Arial" w:cs="Arial"/>
                <w:color w:val="000000"/>
                <w:sz w:val="19"/>
                <w:szCs w:val="19"/>
                <w:lang w:val="en-GB"/>
              </w:rPr>
              <w:t>8</w:t>
            </w:r>
          </w:p>
        </w:tc>
      </w:tr>
      <w:tr w:rsidR="00B739C3" w:rsidRPr="001E5747" w14:paraId="0883614C" w14:textId="77777777" w:rsidTr="00B739C3">
        <w:trPr>
          <w:trHeight w:val="300"/>
        </w:trPr>
        <w:tc>
          <w:tcPr>
            <w:tcW w:w="7133" w:type="dxa"/>
            <w:gridSpan w:val="2"/>
            <w:tcBorders>
              <w:top w:val="dotted" w:sz="4" w:space="0" w:color="auto"/>
              <w:left w:val="dotted" w:sz="4" w:space="0" w:color="auto"/>
              <w:bottom w:val="dotted" w:sz="4" w:space="0" w:color="auto"/>
              <w:right w:val="dotted" w:sz="4" w:space="0" w:color="auto"/>
            </w:tcBorders>
            <w:shd w:val="clear" w:color="auto" w:fill="666699"/>
            <w:noWrap/>
            <w:vAlign w:val="bottom"/>
            <w:hideMark/>
          </w:tcPr>
          <w:p w14:paraId="6DF03490" w14:textId="77777777" w:rsidR="00B739C3" w:rsidRPr="001E5747" w:rsidRDefault="00B739C3" w:rsidP="00B739C3">
            <w:pPr>
              <w:rPr>
                <w:rFonts w:ascii="Arial" w:hAnsi="Arial" w:cs="Arial"/>
                <w:b/>
                <w:color w:val="FFFFFF" w:themeColor="background1"/>
                <w:sz w:val="19"/>
                <w:szCs w:val="19"/>
                <w:lang w:val="en-GB"/>
              </w:rPr>
            </w:pPr>
            <w:r w:rsidRPr="001E5747">
              <w:rPr>
                <w:rFonts w:ascii="Arial" w:hAnsi="Arial" w:cs="Arial"/>
                <w:b/>
                <w:color w:val="FFFFFF" w:themeColor="background1"/>
                <w:sz w:val="19"/>
                <w:szCs w:val="19"/>
                <w:lang w:val="en-GB"/>
              </w:rPr>
              <w:t xml:space="preserve">Maximum number of points that can be obtained </w:t>
            </w:r>
          </w:p>
        </w:tc>
        <w:tc>
          <w:tcPr>
            <w:tcW w:w="1710" w:type="dxa"/>
            <w:tcBorders>
              <w:top w:val="dotted" w:sz="4" w:space="0" w:color="auto"/>
              <w:left w:val="dotted" w:sz="4" w:space="0" w:color="auto"/>
              <w:bottom w:val="dotted" w:sz="4" w:space="0" w:color="auto"/>
              <w:right w:val="dotted" w:sz="4" w:space="0" w:color="auto"/>
            </w:tcBorders>
            <w:shd w:val="clear" w:color="auto" w:fill="666699"/>
            <w:noWrap/>
            <w:hideMark/>
          </w:tcPr>
          <w:p w14:paraId="331D5CF1" w14:textId="77777777" w:rsidR="00B739C3" w:rsidRPr="001E5747" w:rsidRDefault="00184600" w:rsidP="00B739C3">
            <w:pPr>
              <w:jc w:val="center"/>
              <w:rPr>
                <w:rFonts w:ascii="Arial" w:hAnsi="Arial" w:cs="Arial"/>
                <w:b/>
                <w:color w:val="FFFFFF" w:themeColor="background1"/>
                <w:sz w:val="19"/>
                <w:szCs w:val="19"/>
                <w:lang w:val="en-GB"/>
              </w:rPr>
            </w:pPr>
            <w:r>
              <w:rPr>
                <w:rFonts w:ascii="Arial" w:hAnsi="Arial" w:cs="Arial"/>
                <w:color w:val="FFFFFF" w:themeColor="background1"/>
                <w:sz w:val="19"/>
                <w:szCs w:val="19"/>
                <w:lang w:val="en-GB"/>
              </w:rPr>
              <w:t>92</w:t>
            </w:r>
          </w:p>
        </w:tc>
      </w:tr>
    </w:tbl>
    <w:p w14:paraId="3338489F" w14:textId="77777777" w:rsidR="00B739C3" w:rsidRPr="001E5747" w:rsidRDefault="00B739C3" w:rsidP="00B739C3">
      <w:pPr>
        <w:pStyle w:val="ListParagraph"/>
        <w:tabs>
          <w:tab w:val="left" w:pos="851"/>
        </w:tabs>
        <w:spacing w:before="120" w:after="0" w:line="264" w:lineRule="auto"/>
        <w:ind w:left="851"/>
        <w:jc w:val="both"/>
        <w:rPr>
          <w:rFonts w:ascii="Arial" w:hAnsi="Arial"/>
          <w:sz w:val="16"/>
          <w:szCs w:val="16"/>
          <w:lang w:val="en-GB"/>
        </w:rPr>
      </w:pPr>
    </w:p>
    <w:p w14:paraId="1146D574" w14:textId="77777777" w:rsidR="00B739C3" w:rsidRPr="001E5747" w:rsidRDefault="00B739C3" w:rsidP="00B739C3">
      <w:pPr>
        <w:pStyle w:val="Heading1"/>
        <w:numPr>
          <w:ilvl w:val="1"/>
          <w:numId w:val="42"/>
        </w:numPr>
        <w:tabs>
          <w:tab w:val="left" w:pos="540"/>
        </w:tabs>
        <w:ind w:left="1134" w:hanging="1134"/>
        <w:rPr>
          <w:rFonts w:asciiTheme="majorHAnsi" w:hAnsiTheme="majorHAnsi"/>
          <w:color w:val="C0504D" w:themeColor="accent2"/>
          <w:szCs w:val="28"/>
          <w:lang w:val="en-GB"/>
        </w:rPr>
      </w:pPr>
      <w:bookmarkStart w:id="24" w:name="_Toc61062516"/>
      <w:bookmarkStart w:id="25" w:name="_Toc170432959"/>
      <w:bookmarkStart w:id="26" w:name="_Toc170004017"/>
      <w:bookmarkStart w:id="27" w:name="_Toc236632741"/>
      <w:r w:rsidRPr="001E5747">
        <w:rPr>
          <w:rFonts w:asciiTheme="majorHAnsi" w:hAnsiTheme="majorHAnsi"/>
          <w:color w:val="C0504D" w:themeColor="accent2"/>
          <w:szCs w:val="28"/>
          <w:lang w:val="en-GB"/>
        </w:rPr>
        <w:t>Geographical coverage</w:t>
      </w:r>
      <w:bookmarkEnd w:id="24"/>
      <w:bookmarkEnd w:id="25"/>
      <w:bookmarkEnd w:id="26"/>
      <w:bookmarkEnd w:id="27"/>
    </w:p>
    <w:p w14:paraId="657786E0" w14:textId="77777777" w:rsidR="00B739C3" w:rsidRPr="001E5747" w:rsidRDefault="00B739C3" w:rsidP="00B739C3">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before="40" w:line="252" w:lineRule="auto"/>
        <w:jc w:val="both"/>
        <w:rPr>
          <w:rFonts w:asciiTheme="majorHAnsi" w:hAnsiTheme="majorHAnsi"/>
          <w:sz w:val="10"/>
          <w:szCs w:val="10"/>
          <w:lang w:val="en-GB"/>
        </w:rPr>
      </w:pPr>
    </w:p>
    <w:p w14:paraId="357E2102" w14:textId="77777777" w:rsidR="00B739C3" w:rsidRPr="001E5747" w:rsidRDefault="00E6596D" w:rsidP="00B739C3">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before="40" w:line="252" w:lineRule="auto"/>
        <w:jc w:val="both"/>
        <w:rPr>
          <w:rFonts w:asciiTheme="majorHAnsi" w:hAnsiTheme="majorHAnsi"/>
          <w:sz w:val="21"/>
          <w:szCs w:val="21"/>
          <w:lang w:val="en-GB"/>
        </w:rPr>
      </w:pPr>
      <w:r w:rsidRPr="001E5747">
        <w:rPr>
          <w:rFonts w:asciiTheme="majorHAnsi" w:hAnsiTheme="majorHAnsi"/>
          <w:sz w:val="21"/>
          <w:szCs w:val="21"/>
          <w:lang w:val="en-GB"/>
        </w:rPr>
        <w:t xml:space="preserve">The </w:t>
      </w:r>
      <w:r w:rsidR="00B739C3" w:rsidRPr="001E5747">
        <w:rPr>
          <w:rFonts w:asciiTheme="majorHAnsi" w:hAnsiTheme="majorHAnsi"/>
          <w:sz w:val="21"/>
          <w:szCs w:val="21"/>
          <w:lang w:val="en-GB"/>
        </w:rPr>
        <w:t xml:space="preserve">MPG is a financial instrument created for all municipalities in Kosovo. Access to the MPG is available to all municipalities that meet the minimum </w:t>
      </w:r>
      <w:r w:rsidR="009767E2">
        <w:rPr>
          <w:rFonts w:asciiTheme="majorHAnsi" w:hAnsiTheme="majorHAnsi"/>
          <w:sz w:val="21"/>
          <w:szCs w:val="21"/>
          <w:lang w:val="en-GB"/>
        </w:rPr>
        <w:t>conditions</w:t>
      </w:r>
      <w:r w:rsidR="00B739C3" w:rsidRPr="001E5747">
        <w:rPr>
          <w:rFonts w:asciiTheme="majorHAnsi" w:hAnsiTheme="majorHAnsi"/>
          <w:sz w:val="21"/>
          <w:szCs w:val="21"/>
          <w:lang w:val="en-GB"/>
        </w:rPr>
        <w:t xml:space="preserve"> set out in this document.</w:t>
      </w:r>
    </w:p>
    <w:p w14:paraId="42C51734" w14:textId="77777777" w:rsidR="00B739C3" w:rsidRPr="001E5747" w:rsidRDefault="00B739C3" w:rsidP="00B739C3">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before="40" w:line="252" w:lineRule="auto"/>
        <w:ind w:left="561"/>
        <w:jc w:val="both"/>
        <w:rPr>
          <w:rFonts w:asciiTheme="majorHAnsi" w:hAnsiTheme="majorHAnsi"/>
          <w:sz w:val="21"/>
          <w:szCs w:val="21"/>
          <w:lang w:val="en-GB"/>
        </w:rPr>
      </w:pPr>
    </w:p>
    <w:p w14:paraId="1E17F8B0" w14:textId="77777777" w:rsidR="00B739C3" w:rsidRPr="001E5747" w:rsidRDefault="00B739C3" w:rsidP="00B739C3">
      <w:pPr>
        <w:pStyle w:val="Heading1"/>
        <w:numPr>
          <w:ilvl w:val="1"/>
          <w:numId w:val="42"/>
        </w:numPr>
        <w:tabs>
          <w:tab w:val="left" w:pos="540"/>
        </w:tabs>
        <w:ind w:left="1134" w:hanging="1134"/>
        <w:rPr>
          <w:rFonts w:asciiTheme="majorHAnsi" w:hAnsiTheme="majorHAnsi"/>
          <w:color w:val="C0504D" w:themeColor="accent2"/>
          <w:szCs w:val="28"/>
          <w:lang w:val="en-GB"/>
        </w:rPr>
      </w:pPr>
      <w:bookmarkStart w:id="28" w:name="_Toc61062517"/>
      <w:r w:rsidRPr="001E5747">
        <w:rPr>
          <w:rFonts w:asciiTheme="majorHAnsi" w:hAnsiTheme="majorHAnsi"/>
          <w:color w:val="C0504D" w:themeColor="accent2"/>
          <w:szCs w:val="28"/>
          <w:lang w:val="en-GB"/>
        </w:rPr>
        <w:t>Strategic orientation</w:t>
      </w:r>
      <w:bookmarkEnd w:id="28"/>
    </w:p>
    <w:p w14:paraId="18AC46C4" w14:textId="1251D52F" w:rsidR="00B739C3" w:rsidRDefault="00B739C3" w:rsidP="00B739C3">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before="40" w:line="252" w:lineRule="auto"/>
        <w:jc w:val="both"/>
        <w:rPr>
          <w:rFonts w:asciiTheme="majorHAnsi" w:hAnsiTheme="majorHAnsi"/>
          <w:sz w:val="21"/>
          <w:szCs w:val="21"/>
          <w:lang w:val="en-GB"/>
        </w:rPr>
      </w:pPr>
      <w:bookmarkStart w:id="29" w:name="_Toc170432985"/>
      <w:r w:rsidRPr="001E5747">
        <w:rPr>
          <w:rFonts w:asciiTheme="majorHAnsi" w:hAnsiTheme="majorHAnsi"/>
          <w:sz w:val="21"/>
          <w:szCs w:val="21"/>
          <w:lang w:val="en-GB"/>
        </w:rPr>
        <w:t>The MPG is an additional grant to municipalities provided for in the Annual Law on Budget of Kosovo</w:t>
      </w:r>
      <w:r w:rsidR="001E5747">
        <w:rPr>
          <w:rFonts w:asciiTheme="majorHAnsi" w:hAnsiTheme="majorHAnsi"/>
          <w:sz w:val="21"/>
          <w:szCs w:val="21"/>
          <w:lang w:val="en-GB"/>
        </w:rPr>
        <w:t xml:space="preserve"> </w:t>
      </w:r>
      <w:r w:rsidR="001E5747" w:rsidRPr="001E5747">
        <w:rPr>
          <w:rFonts w:asciiTheme="majorHAnsi" w:hAnsiTheme="majorHAnsi"/>
          <w:sz w:val="21"/>
          <w:szCs w:val="21"/>
          <w:lang w:val="en-GB"/>
        </w:rPr>
        <w:t>- table of budget allocation of the Ministry of Local Government Administration.</w:t>
      </w:r>
      <w:r w:rsidRPr="001E5747">
        <w:rPr>
          <w:rFonts w:asciiTheme="majorHAnsi" w:hAnsiTheme="majorHAnsi"/>
          <w:sz w:val="21"/>
          <w:szCs w:val="21"/>
          <w:lang w:val="en-GB"/>
        </w:rPr>
        <w:t xml:space="preserve"> </w:t>
      </w:r>
      <w:r w:rsidR="000F22C5" w:rsidRPr="001E5747">
        <w:rPr>
          <w:rFonts w:asciiTheme="majorHAnsi" w:hAnsiTheme="majorHAnsi"/>
          <w:sz w:val="21"/>
          <w:szCs w:val="21"/>
          <w:lang w:val="en-GB"/>
        </w:rPr>
        <w:t xml:space="preserve">The </w:t>
      </w:r>
      <w:r w:rsidRPr="001E5747">
        <w:rPr>
          <w:rFonts w:asciiTheme="majorHAnsi" w:hAnsiTheme="majorHAnsi"/>
          <w:sz w:val="21"/>
          <w:szCs w:val="21"/>
          <w:lang w:val="en-GB"/>
        </w:rPr>
        <w:t xml:space="preserve">strategic goal is </w:t>
      </w:r>
      <w:r w:rsidR="000F22C5" w:rsidRPr="001E5747">
        <w:rPr>
          <w:rFonts w:asciiTheme="majorHAnsi" w:hAnsiTheme="majorHAnsi"/>
          <w:sz w:val="21"/>
          <w:szCs w:val="21"/>
          <w:lang w:val="en-GB"/>
        </w:rPr>
        <w:t xml:space="preserve">to </w:t>
      </w:r>
      <w:r w:rsidRPr="001E5747">
        <w:rPr>
          <w:rFonts w:asciiTheme="majorHAnsi" w:hAnsiTheme="majorHAnsi"/>
          <w:sz w:val="21"/>
          <w:szCs w:val="21"/>
          <w:lang w:val="en-GB"/>
        </w:rPr>
        <w:t>integrat</w:t>
      </w:r>
      <w:r w:rsidR="000F22C5" w:rsidRPr="001E5747">
        <w:rPr>
          <w:rFonts w:asciiTheme="majorHAnsi" w:hAnsiTheme="majorHAnsi"/>
          <w:sz w:val="21"/>
          <w:szCs w:val="21"/>
          <w:lang w:val="en-GB"/>
        </w:rPr>
        <w:t>e</w:t>
      </w:r>
      <w:r w:rsidRPr="001E5747">
        <w:rPr>
          <w:rFonts w:asciiTheme="majorHAnsi" w:hAnsiTheme="majorHAnsi"/>
          <w:sz w:val="21"/>
          <w:szCs w:val="21"/>
          <w:lang w:val="en-GB"/>
        </w:rPr>
        <w:t xml:space="preserve"> the municipal performance grant in the </w:t>
      </w:r>
      <w:r w:rsidR="000F22C5" w:rsidRPr="001E5747">
        <w:rPr>
          <w:rFonts w:asciiTheme="majorHAnsi" w:hAnsiTheme="majorHAnsi"/>
          <w:sz w:val="21"/>
          <w:szCs w:val="21"/>
          <w:lang w:val="en-GB"/>
        </w:rPr>
        <w:t xml:space="preserve">Law </w:t>
      </w:r>
      <w:r w:rsidRPr="001E5747">
        <w:rPr>
          <w:rFonts w:asciiTheme="majorHAnsi" w:hAnsiTheme="majorHAnsi"/>
          <w:sz w:val="21"/>
          <w:szCs w:val="21"/>
          <w:lang w:val="en-GB"/>
        </w:rPr>
        <w:t xml:space="preserve">on </w:t>
      </w:r>
      <w:r w:rsidR="000F22C5" w:rsidRPr="001E5747">
        <w:rPr>
          <w:rFonts w:asciiTheme="majorHAnsi" w:hAnsiTheme="majorHAnsi"/>
          <w:sz w:val="21"/>
          <w:szCs w:val="21"/>
          <w:lang w:val="en-GB"/>
        </w:rPr>
        <w:t xml:space="preserve">Local Government Finances </w:t>
      </w:r>
      <w:r w:rsidRPr="001E5747">
        <w:rPr>
          <w:rFonts w:asciiTheme="majorHAnsi" w:hAnsiTheme="majorHAnsi"/>
          <w:sz w:val="21"/>
          <w:szCs w:val="21"/>
          <w:lang w:val="en-GB"/>
        </w:rPr>
        <w:t>of Kosovo</w:t>
      </w:r>
      <w:r w:rsidR="00FD4A7E">
        <w:rPr>
          <w:rFonts w:asciiTheme="majorHAnsi" w:hAnsiTheme="majorHAnsi"/>
          <w:sz w:val="21"/>
          <w:szCs w:val="21"/>
          <w:lang w:val="en-GB"/>
        </w:rPr>
        <w:t xml:space="preserve"> or Law on Public Financial Management and Accountability</w:t>
      </w:r>
      <w:r w:rsidRPr="001E5747">
        <w:rPr>
          <w:rFonts w:asciiTheme="majorHAnsi" w:hAnsiTheme="majorHAnsi"/>
          <w:sz w:val="21"/>
          <w:szCs w:val="21"/>
          <w:lang w:val="en-GB"/>
        </w:rPr>
        <w:t xml:space="preserve">, </w:t>
      </w:r>
      <w:r w:rsidR="000F22C5" w:rsidRPr="001E5747">
        <w:rPr>
          <w:rFonts w:asciiTheme="majorHAnsi" w:hAnsiTheme="majorHAnsi"/>
          <w:sz w:val="21"/>
          <w:szCs w:val="21"/>
          <w:lang w:val="en-GB"/>
        </w:rPr>
        <w:t xml:space="preserve">and </w:t>
      </w:r>
      <w:r w:rsidRPr="001E5747">
        <w:rPr>
          <w:rFonts w:asciiTheme="majorHAnsi" w:hAnsiTheme="majorHAnsi"/>
          <w:sz w:val="21"/>
          <w:szCs w:val="21"/>
          <w:lang w:val="en-GB"/>
        </w:rPr>
        <w:t xml:space="preserve">regulation by </w:t>
      </w:r>
      <w:r w:rsidR="00F45AB5">
        <w:rPr>
          <w:rFonts w:asciiTheme="majorHAnsi" w:hAnsiTheme="majorHAnsi"/>
          <w:sz w:val="21"/>
          <w:szCs w:val="21"/>
          <w:lang w:val="en-GB"/>
        </w:rPr>
        <w:t>the</w:t>
      </w:r>
      <w:r w:rsidR="00F45AB5" w:rsidRPr="001E5747">
        <w:rPr>
          <w:rFonts w:asciiTheme="majorHAnsi" w:hAnsiTheme="majorHAnsi"/>
          <w:sz w:val="21"/>
          <w:szCs w:val="21"/>
          <w:lang w:val="en-GB"/>
        </w:rPr>
        <w:t xml:space="preserve"> </w:t>
      </w:r>
      <w:r w:rsidRPr="001E5747">
        <w:rPr>
          <w:rFonts w:asciiTheme="majorHAnsi" w:hAnsiTheme="majorHAnsi"/>
          <w:sz w:val="21"/>
          <w:szCs w:val="21"/>
          <w:lang w:val="en-GB"/>
        </w:rPr>
        <w:t>special law</w:t>
      </w:r>
      <w:r w:rsidR="00A55FBC">
        <w:rPr>
          <w:rFonts w:asciiTheme="majorHAnsi" w:hAnsiTheme="majorHAnsi"/>
          <w:sz w:val="21"/>
          <w:szCs w:val="21"/>
          <w:lang w:val="en-GB"/>
        </w:rPr>
        <w:t xml:space="preserve"> on municipal </w:t>
      </w:r>
      <w:r w:rsidR="00A55FBC">
        <w:rPr>
          <w:rFonts w:asciiTheme="majorHAnsi" w:hAnsiTheme="majorHAnsi"/>
          <w:sz w:val="21"/>
          <w:szCs w:val="21"/>
          <w:lang w:val="en-GB"/>
        </w:rPr>
        <w:lastRenderedPageBreak/>
        <w:t>performance</w:t>
      </w:r>
      <w:r w:rsidRPr="001E5747">
        <w:rPr>
          <w:rFonts w:asciiTheme="majorHAnsi" w:hAnsiTheme="majorHAnsi"/>
          <w:sz w:val="21"/>
          <w:szCs w:val="21"/>
          <w:lang w:val="en-GB"/>
        </w:rPr>
        <w:t>.</w:t>
      </w:r>
    </w:p>
    <w:p w14:paraId="242383FA" w14:textId="77777777" w:rsidR="00B739C3" w:rsidRPr="001E5747" w:rsidRDefault="00B739C3" w:rsidP="00B739C3">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before="40" w:line="252" w:lineRule="auto"/>
        <w:jc w:val="both"/>
        <w:rPr>
          <w:rFonts w:asciiTheme="majorHAnsi" w:hAnsiTheme="majorHAnsi"/>
          <w:sz w:val="21"/>
          <w:szCs w:val="21"/>
          <w:lang w:val="en-GB"/>
        </w:rPr>
      </w:pPr>
      <w:r w:rsidRPr="001E5747">
        <w:rPr>
          <w:rFonts w:asciiTheme="majorHAnsi" w:hAnsiTheme="majorHAnsi"/>
          <w:sz w:val="21"/>
          <w:szCs w:val="21"/>
          <w:lang w:val="en-GB"/>
        </w:rPr>
        <w:t xml:space="preserve">The MPG is </w:t>
      </w:r>
      <w:r w:rsidR="001E5747">
        <w:rPr>
          <w:rFonts w:asciiTheme="majorHAnsi" w:hAnsiTheme="majorHAnsi"/>
          <w:sz w:val="21"/>
          <w:szCs w:val="21"/>
          <w:lang w:val="en-GB"/>
        </w:rPr>
        <w:t>provided</w:t>
      </w:r>
      <w:r w:rsidRPr="001E5747">
        <w:rPr>
          <w:rFonts w:asciiTheme="majorHAnsi" w:hAnsiTheme="majorHAnsi"/>
          <w:sz w:val="21"/>
          <w:szCs w:val="21"/>
          <w:lang w:val="en-GB"/>
        </w:rPr>
        <w:t xml:space="preserve"> as </w:t>
      </w:r>
      <w:r w:rsidR="001E5747">
        <w:rPr>
          <w:rFonts w:asciiTheme="majorHAnsi" w:hAnsiTheme="majorHAnsi"/>
          <w:sz w:val="21"/>
          <w:szCs w:val="21"/>
          <w:lang w:val="en-GB"/>
        </w:rPr>
        <w:t>an additional financial support</w:t>
      </w:r>
      <w:r w:rsidRPr="001E5747">
        <w:rPr>
          <w:rFonts w:asciiTheme="majorHAnsi" w:hAnsiTheme="majorHAnsi"/>
          <w:sz w:val="21"/>
          <w:szCs w:val="21"/>
          <w:lang w:val="en-GB"/>
        </w:rPr>
        <w:t xml:space="preserve"> to the capital </w:t>
      </w:r>
      <w:r w:rsidR="001E5747">
        <w:rPr>
          <w:rFonts w:asciiTheme="majorHAnsi" w:hAnsiTheme="majorHAnsi"/>
          <w:sz w:val="21"/>
          <w:szCs w:val="21"/>
          <w:lang w:val="en-GB"/>
        </w:rPr>
        <w:t>projects of municipalities</w:t>
      </w:r>
      <w:r w:rsidRPr="001E5747">
        <w:rPr>
          <w:rFonts w:asciiTheme="majorHAnsi" w:hAnsiTheme="majorHAnsi"/>
          <w:sz w:val="21"/>
          <w:szCs w:val="21"/>
          <w:lang w:val="en-GB"/>
        </w:rPr>
        <w:t xml:space="preserve">, the amount of which is determined based on the </w:t>
      </w:r>
      <w:r w:rsidR="00580587" w:rsidRPr="001E5747">
        <w:rPr>
          <w:rFonts w:asciiTheme="majorHAnsi" w:hAnsiTheme="majorHAnsi"/>
          <w:sz w:val="21"/>
          <w:szCs w:val="21"/>
          <w:lang w:val="en-GB"/>
        </w:rPr>
        <w:t xml:space="preserve">grant allocation </w:t>
      </w:r>
      <w:r w:rsidRPr="001E5747">
        <w:rPr>
          <w:rFonts w:asciiTheme="majorHAnsi" w:hAnsiTheme="majorHAnsi"/>
          <w:sz w:val="21"/>
          <w:szCs w:val="21"/>
          <w:lang w:val="en-GB"/>
        </w:rPr>
        <w:t>formula with variables such as: population size, geographical size, ethnic composition calculated on the basis of the fixed amount</w:t>
      </w:r>
      <w:r w:rsidRPr="001E5747">
        <w:rPr>
          <w:rFonts w:asciiTheme="majorHAnsi" w:hAnsiTheme="majorHAnsi"/>
          <w:sz w:val="20"/>
          <w:vertAlign w:val="superscript"/>
          <w:lang w:val="en-GB"/>
        </w:rPr>
        <w:footnoteReference w:id="2"/>
      </w:r>
      <w:r w:rsidRPr="001E5747">
        <w:rPr>
          <w:rFonts w:asciiTheme="majorHAnsi" w:hAnsiTheme="majorHAnsi"/>
          <w:sz w:val="21"/>
          <w:szCs w:val="21"/>
          <w:lang w:val="en-GB"/>
        </w:rPr>
        <w:t>, as well as performance points</w:t>
      </w:r>
      <w:r w:rsidRPr="001E5747">
        <w:rPr>
          <w:rFonts w:asciiTheme="majorHAnsi" w:hAnsiTheme="majorHAnsi"/>
          <w:sz w:val="18"/>
          <w:szCs w:val="21"/>
          <w:lang w:val="en-GB"/>
        </w:rPr>
        <w:t>.</w:t>
      </w:r>
    </w:p>
    <w:p w14:paraId="018ADF32" w14:textId="77777777" w:rsidR="00B739C3" w:rsidRPr="001E5747" w:rsidRDefault="00D279B4" w:rsidP="00B739C3">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before="40" w:line="252" w:lineRule="auto"/>
        <w:jc w:val="both"/>
        <w:rPr>
          <w:rFonts w:asciiTheme="majorHAnsi" w:hAnsiTheme="majorHAnsi"/>
          <w:sz w:val="21"/>
          <w:szCs w:val="21"/>
          <w:lang w:val="en-GB"/>
        </w:rPr>
      </w:pPr>
      <w:r w:rsidRPr="001E5747">
        <w:rPr>
          <w:rFonts w:asciiTheme="majorHAnsi" w:hAnsiTheme="majorHAnsi"/>
          <w:sz w:val="21"/>
          <w:szCs w:val="21"/>
          <w:lang w:val="en-GB"/>
        </w:rPr>
        <w:t>With regard to spending of the municipal performance grant,</w:t>
      </w:r>
      <w:r w:rsidR="009D3A6D" w:rsidRPr="001E5747">
        <w:rPr>
          <w:rFonts w:asciiTheme="majorHAnsi" w:hAnsiTheme="majorHAnsi"/>
          <w:sz w:val="21"/>
          <w:szCs w:val="21"/>
          <w:lang w:val="en-GB"/>
        </w:rPr>
        <w:t xml:space="preserve"> </w:t>
      </w:r>
      <w:r w:rsidRPr="001E5747">
        <w:rPr>
          <w:rFonts w:asciiTheme="majorHAnsi" w:hAnsiTheme="majorHAnsi"/>
          <w:sz w:val="21"/>
          <w:szCs w:val="21"/>
          <w:lang w:val="en-GB"/>
        </w:rPr>
        <w:t>all existing government rules (which apply to capital investments within the general grant)</w:t>
      </w:r>
      <w:r w:rsidR="00B739C3" w:rsidRPr="001E5747">
        <w:rPr>
          <w:rFonts w:asciiTheme="majorHAnsi" w:hAnsiTheme="majorHAnsi"/>
          <w:sz w:val="21"/>
          <w:szCs w:val="21"/>
          <w:lang w:val="en-GB"/>
        </w:rPr>
        <w:t xml:space="preserve">, </w:t>
      </w:r>
      <w:r w:rsidRPr="001E5747">
        <w:rPr>
          <w:rFonts w:asciiTheme="majorHAnsi" w:hAnsiTheme="majorHAnsi"/>
          <w:sz w:val="21"/>
          <w:szCs w:val="21"/>
          <w:lang w:val="en-GB"/>
        </w:rPr>
        <w:t xml:space="preserve">shall </w:t>
      </w:r>
      <w:r w:rsidR="00B739C3" w:rsidRPr="001E5747">
        <w:rPr>
          <w:rFonts w:asciiTheme="majorHAnsi" w:hAnsiTheme="majorHAnsi"/>
          <w:sz w:val="21"/>
          <w:szCs w:val="21"/>
          <w:lang w:val="en-GB"/>
        </w:rPr>
        <w:t xml:space="preserve">apply in terms of grant use, planning, reporting and accountability. This means that municipalities can use </w:t>
      </w:r>
      <w:r w:rsidR="00A55FBC">
        <w:rPr>
          <w:rFonts w:asciiTheme="majorHAnsi" w:hAnsiTheme="majorHAnsi"/>
          <w:sz w:val="21"/>
          <w:szCs w:val="21"/>
          <w:lang w:val="en-GB"/>
        </w:rPr>
        <w:t xml:space="preserve">their </w:t>
      </w:r>
      <w:r w:rsidR="00B739C3" w:rsidRPr="001E5747">
        <w:rPr>
          <w:rFonts w:asciiTheme="majorHAnsi" w:hAnsiTheme="majorHAnsi"/>
          <w:sz w:val="21"/>
          <w:szCs w:val="21"/>
          <w:lang w:val="en-GB"/>
        </w:rPr>
        <w:t xml:space="preserve">legal tendering, contracting and technical acceptance procedures. The grant may be included in the regular audit of the National Audit Office. Thus, the MPG is administered as a government grant to municipalities. The only features added here are the minimum </w:t>
      </w:r>
      <w:r w:rsidR="009767E2">
        <w:rPr>
          <w:rFonts w:asciiTheme="majorHAnsi" w:hAnsiTheme="majorHAnsi"/>
          <w:sz w:val="21"/>
          <w:szCs w:val="21"/>
          <w:lang w:val="en-GB"/>
        </w:rPr>
        <w:t>conditions</w:t>
      </w:r>
      <w:r w:rsidR="00B739C3" w:rsidRPr="001E5747">
        <w:rPr>
          <w:rFonts w:asciiTheme="majorHAnsi" w:hAnsiTheme="majorHAnsi"/>
          <w:sz w:val="21"/>
          <w:szCs w:val="21"/>
          <w:lang w:val="en-GB"/>
        </w:rPr>
        <w:t xml:space="preserve"> and performance indicators.</w:t>
      </w:r>
    </w:p>
    <w:p w14:paraId="47A13EAE" w14:textId="77777777" w:rsidR="00B739C3" w:rsidRPr="001E5747" w:rsidRDefault="00B739C3" w:rsidP="00B739C3">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before="40" w:line="252" w:lineRule="auto"/>
        <w:jc w:val="both"/>
        <w:rPr>
          <w:rFonts w:asciiTheme="majorHAnsi" w:hAnsiTheme="majorHAnsi"/>
          <w:sz w:val="21"/>
          <w:szCs w:val="21"/>
          <w:lang w:val="en-GB"/>
        </w:rPr>
      </w:pPr>
      <w:r w:rsidRPr="001E5747">
        <w:rPr>
          <w:rFonts w:asciiTheme="majorHAnsi" w:hAnsiTheme="majorHAnsi"/>
          <w:sz w:val="21"/>
          <w:szCs w:val="21"/>
          <w:lang w:val="en-GB"/>
        </w:rPr>
        <w:t>Since the plan is for the MPG to become part of the legal framework for local finances in the coming years as well as the specific law on municipal performance and performance grant, it should be harmonized as much as possible with current government systems and administrative procedures of Kosovo.</w:t>
      </w:r>
    </w:p>
    <w:p w14:paraId="0FEE77ED" w14:textId="77777777" w:rsidR="00B739C3" w:rsidRPr="001E5747" w:rsidRDefault="00B739C3" w:rsidP="00B739C3">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before="40" w:line="252" w:lineRule="auto"/>
        <w:jc w:val="both"/>
        <w:rPr>
          <w:rFonts w:asciiTheme="majorHAnsi" w:hAnsiTheme="majorHAnsi"/>
          <w:sz w:val="21"/>
          <w:szCs w:val="21"/>
          <w:lang w:val="en-GB"/>
        </w:rPr>
      </w:pPr>
      <w:r w:rsidRPr="001E5747">
        <w:rPr>
          <w:rFonts w:asciiTheme="majorHAnsi" w:hAnsiTheme="majorHAnsi"/>
          <w:sz w:val="21"/>
          <w:szCs w:val="21"/>
          <w:lang w:val="en-GB"/>
        </w:rPr>
        <w:t xml:space="preserve">Line ministries and donors wishing to delegate related responsibilities and funds to local governments will be encouraged to align their grants with </w:t>
      </w:r>
      <w:r w:rsidR="00254829" w:rsidRPr="001E5747">
        <w:rPr>
          <w:rFonts w:asciiTheme="majorHAnsi" w:hAnsiTheme="majorHAnsi"/>
          <w:sz w:val="21"/>
          <w:szCs w:val="21"/>
          <w:lang w:val="en-GB"/>
        </w:rPr>
        <w:t xml:space="preserve">the </w:t>
      </w:r>
      <w:r w:rsidRPr="001E5747">
        <w:rPr>
          <w:rFonts w:asciiTheme="majorHAnsi" w:hAnsiTheme="majorHAnsi"/>
          <w:sz w:val="21"/>
          <w:szCs w:val="21"/>
          <w:lang w:val="en-GB"/>
        </w:rPr>
        <w:t xml:space="preserve">MPG provisions, which are based on the measure of good governance. This would also create an advantage for their (sectoral) grant and MPG. For example, the same minimum conditions can be used, </w:t>
      </w:r>
      <w:r w:rsidR="00F42241" w:rsidRPr="001E5747">
        <w:rPr>
          <w:rFonts w:asciiTheme="majorHAnsi" w:hAnsiTheme="majorHAnsi"/>
          <w:sz w:val="21"/>
          <w:szCs w:val="21"/>
          <w:lang w:val="en-GB"/>
        </w:rPr>
        <w:t xml:space="preserve">maybe </w:t>
      </w:r>
      <w:r w:rsidRPr="001E5747">
        <w:rPr>
          <w:rFonts w:asciiTheme="majorHAnsi" w:hAnsiTheme="majorHAnsi"/>
          <w:sz w:val="21"/>
          <w:szCs w:val="21"/>
          <w:lang w:val="en-GB"/>
        </w:rPr>
        <w:t>in combination with a minimum percentage of performance points (score). Donors wishing to invest in issues related to good governance will be encouraged to channel their funds directly into the joint MPG fund.</w:t>
      </w:r>
    </w:p>
    <w:p w14:paraId="4A7B6E74" w14:textId="77777777" w:rsidR="00B739C3" w:rsidRPr="001E5747" w:rsidRDefault="00B739C3" w:rsidP="00B739C3">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before="40" w:line="252" w:lineRule="auto"/>
        <w:ind w:left="561"/>
        <w:jc w:val="both"/>
        <w:rPr>
          <w:rFonts w:asciiTheme="majorHAnsi" w:hAnsiTheme="majorHAnsi"/>
          <w:sz w:val="21"/>
          <w:szCs w:val="21"/>
          <w:lang w:val="en-GB"/>
        </w:rPr>
      </w:pPr>
    </w:p>
    <w:p w14:paraId="7C492A2F" w14:textId="77777777" w:rsidR="00B739C3" w:rsidRPr="001E5747" w:rsidRDefault="00F42241" w:rsidP="00B739C3">
      <w:pPr>
        <w:pStyle w:val="Heading1"/>
        <w:numPr>
          <w:ilvl w:val="1"/>
          <w:numId w:val="42"/>
        </w:numPr>
        <w:tabs>
          <w:tab w:val="left" w:pos="540"/>
        </w:tabs>
        <w:ind w:left="1134" w:hanging="1134"/>
        <w:rPr>
          <w:rFonts w:asciiTheme="majorHAnsi" w:hAnsiTheme="majorHAnsi"/>
          <w:color w:val="C0504D" w:themeColor="accent2"/>
          <w:szCs w:val="28"/>
          <w:lang w:val="en-GB"/>
        </w:rPr>
      </w:pPr>
      <w:bookmarkStart w:id="30" w:name="_Toc61062518"/>
      <w:r w:rsidRPr="001E5747">
        <w:rPr>
          <w:rFonts w:asciiTheme="majorHAnsi" w:hAnsiTheme="majorHAnsi"/>
          <w:color w:val="C0504D" w:themeColor="accent2"/>
          <w:szCs w:val="28"/>
          <w:lang w:val="en-GB"/>
        </w:rPr>
        <w:t>S</w:t>
      </w:r>
      <w:r w:rsidR="00B739C3" w:rsidRPr="001E5747">
        <w:rPr>
          <w:rFonts w:asciiTheme="majorHAnsi" w:hAnsiTheme="majorHAnsi"/>
          <w:color w:val="C0504D" w:themeColor="accent2"/>
          <w:szCs w:val="28"/>
          <w:lang w:val="en-GB"/>
        </w:rPr>
        <w:t xml:space="preserve">tructure </w:t>
      </w:r>
      <w:r w:rsidR="001E5747">
        <w:rPr>
          <w:rFonts w:asciiTheme="majorHAnsi" w:hAnsiTheme="majorHAnsi"/>
          <w:color w:val="C0504D" w:themeColor="accent2"/>
          <w:szCs w:val="28"/>
          <w:lang w:val="en-GB"/>
        </w:rPr>
        <w:t xml:space="preserve">of rules </w:t>
      </w:r>
      <w:r w:rsidR="00B739C3" w:rsidRPr="001E5747">
        <w:rPr>
          <w:rFonts w:asciiTheme="majorHAnsi" w:hAnsiTheme="majorHAnsi"/>
          <w:color w:val="C0504D" w:themeColor="accent2"/>
          <w:szCs w:val="28"/>
          <w:lang w:val="en-GB"/>
        </w:rPr>
        <w:t xml:space="preserve">and </w:t>
      </w:r>
      <w:r w:rsidRPr="001E5747">
        <w:rPr>
          <w:rFonts w:asciiTheme="majorHAnsi" w:hAnsiTheme="majorHAnsi"/>
          <w:color w:val="C0504D" w:themeColor="accent2"/>
          <w:szCs w:val="28"/>
          <w:lang w:val="en-GB"/>
        </w:rPr>
        <w:t xml:space="preserve">targeted </w:t>
      </w:r>
      <w:r w:rsidR="00B739C3" w:rsidRPr="001E5747">
        <w:rPr>
          <w:rFonts w:asciiTheme="majorHAnsi" w:hAnsiTheme="majorHAnsi"/>
          <w:color w:val="C0504D" w:themeColor="accent2"/>
          <w:szCs w:val="28"/>
          <w:lang w:val="en-GB"/>
        </w:rPr>
        <w:t>audience</w:t>
      </w:r>
      <w:bookmarkEnd w:id="30"/>
    </w:p>
    <w:p w14:paraId="1DE4494F" w14:textId="77777777" w:rsidR="00B739C3" w:rsidRPr="001E5747" w:rsidRDefault="00B739C3" w:rsidP="00B739C3">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line="264" w:lineRule="auto"/>
        <w:jc w:val="both"/>
        <w:rPr>
          <w:rFonts w:asciiTheme="majorHAnsi" w:hAnsiTheme="majorHAnsi"/>
          <w:sz w:val="14"/>
          <w:szCs w:val="14"/>
          <w:lang w:val="en-GB"/>
        </w:rPr>
      </w:pPr>
    </w:p>
    <w:p w14:paraId="59DD1578" w14:textId="77777777" w:rsidR="00B739C3" w:rsidRPr="001E5747" w:rsidRDefault="00B739C3" w:rsidP="00B739C3">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line="264" w:lineRule="auto"/>
        <w:jc w:val="both"/>
        <w:rPr>
          <w:rFonts w:asciiTheme="majorHAnsi" w:hAnsiTheme="majorHAnsi"/>
          <w:sz w:val="21"/>
          <w:szCs w:val="21"/>
          <w:lang w:val="en-GB"/>
        </w:rPr>
      </w:pPr>
      <w:r w:rsidRPr="001E5747">
        <w:rPr>
          <w:rFonts w:asciiTheme="majorHAnsi" w:hAnsiTheme="majorHAnsi"/>
          <w:sz w:val="21"/>
          <w:szCs w:val="21"/>
          <w:lang w:val="en-GB"/>
        </w:rPr>
        <w:t xml:space="preserve">This document explains the criteria, rules and procedures for managing a Municipal Performance Grant: </w:t>
      </w:r>
    </w:p>
    <w:p w14:paraId="118D7829" w14:textId="77777777" w:rsidR="00B739C3" w:rsidRPr="001E5747" w:rsidRDefault="00B739C3" w:rsidP="006E2A74">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line="264" w:lineRule="auto"/>
        <w:jc w:val="both"/>
        <w:rPr>
          <w:rFonts w:asciiTheme="majorHAnsi" w:hAnsiTheme="majorHAnsi"/>
          <w:sz w:val="21"/>
          <w:szCs w:val="21"/>
          <w:lang w:val="en-GB"/>
        </w:rPr>
      </w:pPr>
      <w:r w:rsidRPr="001E5747">
        <w:rPr>
          <w:rFonts w:asciiTheme="majorHAnsi" w:hAnsiTheme="majorHAnsi"/>
          <w:sz w:val="21"/>
          <w:szCs w:val="21"/>
          <w:lang w:val="en-GB"/>
        </w:rPr>
        <w:t>Chapter 1 - provides a brief overview of the MPG justification and areas where it focuses.</w:t>
      </w:r>
    </w:p>
    <w:p w14:paraId="7B476F05" w14:textId="77777777" w:rsidR="00B739C3" w:rsidRPr="001E5747" w:rsidRDefault="00B739C3" w:rsidP="006E2A74">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line="264" w:lineRule="auto"/>
        <w:jc w:val="both"/>
        <w:rPr>
          <w:rFonts w:asciiTheme="majorHAnsi" w:hAnsiTheme="majorHAnsi"/>
          <w:sz w:val="21"/>
          <w:szCs w:val="21"/>
          <w:lang w:val="en-GB"/>
        </w:rPr>
      </w:pPr>
      <w:r w:rsidRPr="001E5747">
        <w:rPr>
          <w:rFonts w:asciiTheme="majorHAnsi" w:hAnsiTheme="majorHAnsi"/>
          <w:sz w:val="21"/>
          <w:szCs w:val="21"/>
          <w:lang w:val="en-GB"/>
        </w:rPr>
        <w:t xml:space="preserve">Chapter 2 - defines the minimum </w:t>
      </w:r>
      <w:r w:rsidR="009767E2">
        <w:rPr>
          <w:rFonts w:asciiTheme="majorHAnsi" w:hAnsiTheme="majorHAnsi"/>
          <w:sz w:val="21"/>
          <w:szCs w:val="21"/>
          <w:lang w:val="en-GB"/>
        </w:rPr>
        <w:t>conditions</w:t>
      </w:r>
      <w:r w:rsidRPr="001E5747">
        <w:rPr>
          <w:rFonts w:asciiTheme="majorHAnsi" w:hAnsiTheme="majorHAnsi"/>
          <w:sz w:val="21"/>
          <w:szCs w:val="21"/>
          <w:lang w:val="en-GB"/>
        </w:rPr>
        <w:t>, performance indicators, and principles for grant allocation and MPG auditing.</w:t>
      </w:r>
    </w:p>
    <w:p w14:paraId="7E7B0082" w14:textId="686C23BE" w:rsidR="00B739C3" w:rsidRPr="001E5747" w:rsidRDefault="00B739C3" w:rsidP="006E2A74">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line="264" w:lineRule="auto"/>
        <w:jc w:val="both"/>
        <w:rPr>
          <w:rFonts w:asciiTheme="majorHAnsi" w:hAnsiTheme="majorHAnsi"/>
          <w:sz w:val="21"/>
          <w:szCs w:val="21"/>
          <w:lang w:val="en-GB"/>
        </w:rPr>
      </w:pPr>
      <w:r w:rsidRPr="001E5747">
        <w:rPr>
          <w:rFonts w:asciiTheme="majorHAnsi" w:hAnsiTheme="majorHAnsi"/>
          <w:sz w:val="21"/>
          <w:szCs w:val="21"/>
          <w:lang w:val="en-GB"/>
        </w:rPr>
        <w:t xml:space="preserve">Chapter 3 - introduces the process of </w:t>
      </w:r>
      <w:r w:rsidR="00C2637B">
        <w:rPr>
          <w:rFonts w:asciiTheme="majorHAnsi" w:hAnsiTheme="majorHAnsi"/>
          <w:sz w:val="21"/>
          <w:szCs w:val="21"/>
          <w:lang w:val="en-GB"/>
        </w:rPr>
        <w:t>assessing</w:t>
      </w:r>
      <w:r w:rsidR="00C2637B" w:rsidRPr="001E5747">
        <w:rPr>
          <w:rFonts w:asciiTheme="majorHAnsi" w:hAnsiTheme="majorHAnsi"/>
          <w:sz w:val="21"/>
          <w:szCs w:val="21"/>
          <w:lang w:val="en-GB"/>
        </w:rPr>
        <w:t xml:space="preserve"> </w:t>
      </w:r>
      <w:r w:rsidRPr="001E5747">
        <w:rPr>
          <w:rFonts w:asciiTheme="majorHAnsi" w:hAnsiTheme="majorHAnsi"/>
          <w:sz w:val="21"/>
          <w:szCs w:val="21"/>
          <w:lang w:val="en-GB"/>
        </w:rPr>
        <w:t>municipal performance from data collection to grant allocation.</w:t>
      </w:r>
    </w:p>
    <w:p w14:paraId="4FCF786E" w14:textId="77777777" w:rsidR="00B739C3" w:rsidRPr="001E5747" w:rsidRDefault="00B739C3" w:rsidP="006E2A74">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line="264" w:lineRule="auto"/>
        <w:jc w:val="both"/>
        <w:rPr>
          <w:rFonts w:asciiTheme="majorHAnsi" w:hAnsiTheme="majorHAnsi"/>
          <w:sz w:val="21"/>
          <w:szCs w:val="21"/>
          <w:lang w:val="en-GB"/>
        </w:rPr>
      </w:pPr>
      <w:r w:rsidRPr="001E5747">
        <w:rPr>
          <w:rFonts w:asciiTheme="majorHAnsi" w:hAnsiTheme="majorHAnsi"/>
          <w:sz w:val="21"/>
          <w:szCs w:val="21"/>
          <w:lang w:val="en-GB"/>
        </w:rPr>
        <w:t xml:space="preserve">The </w:t>
      </w:r>
      <w:r w:rsidR="006231D5" w:rsidRPr="001E5747">
        <w:rPr>
          <w:rFonts w:asciiTheme="majorHAnsi" w:hAnsiTheme="majorHAnsi"/>
          <w:sz w:val="21"/>
          <w:szCs w:val="21"/>
          <w:lang w:val="en-GB"/>
        </w:rPr>
        <w:t>annexes</w:t>
      </w:r>
      <w:r w:rsidRPr="001E5747">
        <w:rPr>
          <w:rFonts w:asciiTheme="majorHAnsi" w:hAnsiTheme="majorHAnsi"/>
          <w:sz w:val="21"/>
          <w:szCs w:val="21"/>
          <w:lang w:val="en-GB"/>
        </w:rPr>
        <w:t xml:space="preserve"> provide more detailed </w:t>
      </w:r>
      <w:r w:rsidR="009767E2">
        <w:rPr>
          <w:rFonts w:asciiTheme="majorHAnsi" w:hAnsiTheme="majorHAnsi"/>
          <w:sz w:val="21"/>
          <w:szCs w:val="21"/>
          <w:lang w:val="en-GB"/>
        </w:rPr>
        <w:t>assessment</w:t>
      </w:r>
      <w:r w:rsidRPr="001E5747">
        <w:rPr>
          <w:rFonts w:asciiTheme="majorHAnsi" w:hAnsiTheme="majorHAnsi"/>
          <w:sz w:val="21"/>
          <w:szCs w:val="21"/>
          <w:lang w:val="en-GB"/>
        </w:rPr>
        <w:t xml:space="preserve"> guidelines (scoring) for the minimum </w:t>
      </w:r>
      <w:r w:rsidR="009767E2">
        <w:rPr>
          <w:rFonts w:asciiTheme="majorHAnsi" w:hAnsiTheme="majorHAnsi"/>
          <w:sz w:val="21"/>
          <w:szCs w:val="21"/>
          <w:lang w:val="en-GB"/>
        </w:rPr>
        <w:t>conditions</w:t>
      </w:r>
      <w:r w:rsidRPr="001E5747">
        <w:rPr>
          <w:rFonts w:asciiTheme="majorHAnsi" w:hAnsiTheme="majorHAnsi"/>
          <w:sz w:val="21"/>
          <w:szCs w:val="21"/>
          <w:lang w:val="en-GB"/>
        </w:rPr>
        <w:t xml:space="preserve"> (annex 1) and for performance indicators (annex 2), which provide definitions of what is measured, where the data come from</w:t>
      </w:r>
      <w:r w:rsidR="00AB44CE">
        <w:rPr>
          <w:rFonts w:asciiTheme="majorHAnsi" w:hAnsiTheme="majorHAnsi"/>
          <w:sz w:val="21"/>
          <w:szCs w:val="21"/>
          <w:lang w:val="en-GB"/>
        </w:rPr>
        <w:t xml:space="preserve"> and</w:t>
      </w:r>
      <w:r w:rsidRPr="001E5747">
        <w:rPr>
          <w:rFonts w:asciiTheme="majorHAnsi" w:hAnsiTheme="majorHAnsi"/>
          <w:sz w:val="21"/>
          <w:szCs w:val="21"/>
          <w:lang w:val="en-GB"/>
        </w:rPr>
        <w:t xml:space="preserve"> how it is measured. Annex 3 - provides the template for the scorecard </w:t>
      </w:r>
      <w:r w:rsidR="00AB44CE">
        <w:rPr>
          <w:rFonts w:asciiTheme="majorHAnsi" w:hAnsiTheme="majorHAnsi"/>
          <w:sz w:val="21"/>
          <w:szCs w:val="21"/>
          <w:lang w:val="en-GB"/>
        </w:rPr>
        <w:t xml:space="preserve">and scoring guideline </w:t>
      </w:r>
      <w:r w:rsidRPr="001E5747">
        <w:rPr>
          <w:rFonts w:asciiTheme="majorHAnsi" w:hAnsiTheme="majorHAnsi"/>
          <w:sz w:val="21"/>
          <w:szCs w:val="21"/>
          <w:lang w:val="en-GB"/>
        </w:rPr>
        <w:t xml:space="preserve">to be used </w:t>
      </w:r>
      <w:r w:rsidR="00A9432B">
        <w:rPr>
          <w:rFonts w:asciiTheme="majorHAnsi" w:hAnsiTheme="majorHAnsi"/>
          <w:sz w:val="21"/>
          <w:szCs w:val="21"/>
          <w:lang w:val="en-GB"/>
        </w:rPr>
        <w:t>for</w:t>
      </w:r>
      <w:r w:rsidRPr="001E5747">
        <w:rPr>
          <w:rFonts w:asciiTheme="majorHAnsi" w:hAnsiTheme="majorHAnsi"/>
          <w:sz w:val="21"/>
          <w:szCs w:val="21"/>
          <w:lang w:val="en-GB"/>
        </w:rPr>
        <w:t xml:space="preserve"> communicat</w:t>
      </w:r>
      <w:r w:rsidR="00A9432B">
        <w:rPr>
          <w:rFonts w:asciiTheme="majorHAnsi" w:hAnsiTheme="majorHAnsi"/>
          <w:sz w:val="21"/>
          <w:szCs w:val="21"/>
          <w:lang w:val="en-GB"/>
        </w:rPr>
        <w:t>ion of</w:t>
      </w:r>
      <w:r w:rsidRPr="001E5747">
        <w:rPr>
          <w:rFonts w:asciiTheme="majorHAnsi" w:hAnsiTheme="majorHAnsi"/>
          <w:sz w:val="21"/>
          <w:szCs w:val="21"/>
          <w:lang w:val="en-GB"/>
        </w:rPr>
        <w:t xml:space="preserve"> performance points (score) to municipalities. Annex 4 - describes in detail how grant amounts are calculated for each municipality once the performance scores are known. Annexes 5</w:t>
      </w:r>
      <w:r w:rsidR="00517222">
        <w:rPr>
          <w:rFonts w:asciiTheme="majorHAnsi" w:hAnsiTheme="majorHAnsi"/>
          <w:sz w:val="21"/>
          <w:szCs w:val="21"/>
          <w:lang w:val="en-GB"/>
        </w:rPr>
        <w:t>,</w:t>
      </w:r>
      <w:r w:rsidRPr="001E5747">
        <w:rPr>
          <w:rFonts w:asciiTheme="majorHAnsi" w:hAnsiTheme="majorHAnsi"/>
          <w:sz w:val="21"/>
          <w:szCs w:val="21"/>
          <w:lang w:val="en-GB"/>
        </w:rPr>
        <w:t xml:space="preserve"> 6</w:t>
      </w:r>
      <w:r w:rsidR="00517222">
        <w:rPr>
          <w:rFonts w:asciiTheme="majorHAnsi" w:hAnsiTheme="majorHAnsi"/>
          <w:sz w:val="21"/>
          <w:szCs w:val="21"/>
          <w:lang w:val="en-GB"/>
        </w:rPr>
        <w:t>, 7 and 8</w:t>
      </w:r>
      <w:r w:rsidRPr="001E5747">
        <w:rPr>
          <w:rFonts w:asciiTheme="majorHAnsi" w:hAnsiTheme="majorHAnsi"/>
          <w:sz w:val="21"/>
          <w:szCs w:val="21"/>
          <w:lang w:val="en-GB"/>
        </w:rPr>
        <w:t xml:space="preserve"> describe the Terms of Reference of the technical group</w:t>
      </w:r>
      <w:r w:rsidR="00517222">
        <w:rPr>
          <w:rFonts w:asciiTheme="majorHAnsi" w:hAnsiTheme="majorHAnsi"/>
          <w:sz w:val="21"/>
          <w:szCs w:val="21"/>
          <w:lang w:val="en-GB"/>
        </w:rPr>
        <w:t xml:space="preserve"> for MPG assessments;</w:t>
      </w:r>
      <w:r w:rsidRPr="001E5747">
        <w:rPr>
          <w:rFonts w:asciiTheme="majorHAnsi" w:hAnsiTheme="majorHAnsi"/>
          <w:sz w:val="21"/>
          <w:szCs w:val="21"/>
          <w:lang w:val="en-GB"/>
        </w:rPr>
        <w:t xml:space="preserve"> the </w:t>
      </w:r>
      <w:r w:rsidR="00091613" w:rsidRPr="001E5747">
        <w:rPr>
          <w:rFonts w:asciiTheme="majorHAnsi" w:hAnsiTheme="majorHAnsi"/>
          <w:sz w:val="21"/>
          <w:szCs w:val="21"/>
          <w:lang w:val="en-GB"/>
        </w:rPr>
        <w:t>municipal performance grant commission</w:t>
      </w:r>
      <w:r w:rsidR="00517222">
        <w:rPr>
          <w:rFonts w:asciiTheme="majorHAnsi" w:hAnsiTheme="majorHAnsi"/>
          <w:sz w:val="21"/>
          <w:szCs w:val="21"/>
          <w:lang w:val="en-GB"/>
        </w:rPr>
        <w:t>; the appeals commission and the technical group for drafting the MPG Rules</w:t>
      </w:r>
      <w:r w:rsidRPr="001E5747">
        <w:rPr>
          <w:rFonts w:asciiTheme="majorHAnsi" w:hAnsiTheme="majorHAnsi"/>
          <w:sz w:val="21"/>
          <w:szCs w:val="21"/>
          <w:lang w:val="en-GB"/>
        </w:rPr>
        <w:t xml:space="preserve">. Annex </w:t>
      </w:r>
      <w:r w:rsidR="00517222">
        <w:rPr>
          <w:rFonts w:asciiTheme="majorHAnsi" w:hAnsiTheme="majorHAnsi"/>
          <w:sz w:val="21"/>
          <w:szCs w:val="21"/>
          <w:lang w:val="en-GB"/>
        </w:rPr>
        <w:t>9</w:t>
      </w:r>
      <w:r w:rsidRPr="001E5747">
        <w:rPr>
          <w:rFonts w:asciiTheme="majorHAnsi" w:hAnsiTheme="majorHAnsi"/>
          <w:sz w:val="21"/>
          <w:szCs w:val="21"/>
          <w:lang w:val="en-GB"/>
        </w:rPr>
        <w:t xml:space="preserve"> provides contact information.</w:t>
      </w:r>
    </w:p>
    <w:p w14:paraId="654C01E1" w14:textId="77777777" w:rsidR="00B739C3" w:rsidRPr="001E5747" w:rsidRDefault="00B739C3" w:rsidP="00B739C3">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line="264" w:lineRule="auto"/>
        <w:jc w:val="both"/>
        <w:rPr>
          <w:rFonts w:asciiTheme="majorHAnsi" w:hAnsiTheme="majorHAnsi"/>
          <w:sz w:val="16"/>
          <w:szCs w:val="16"/>
          <w:lang w:val="en-GB"/>
        </w:rPr>
      </w:pPr>
    </w:p>
    <w:p w14:paraId="2FF1007D" w14:textId="77777777" w:rsidR="00B739C3" w:rsidRPr="001E5747" w:rsidRDefault="00B739C3" w:rsidP="00B739C3">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line="264" w:lineRule="auto"/>
        <w:jc w:val="both"/>
        <w:rPr>
          <w:rFonts w:asciiTheme="majorHAnsi" w:hAnsiTheme="majorHAnsi"/>
          <w:sz w:val="21"/>
          <w:szCs w:val="21"/>
          <w:lang w:val="en-GB"/>
        </w:rPr>
      </w:pPr>
      <w:r w:rsidRPr="001E5747">
        <w:rPr>
          <w:rFonts w:asciiTheme="majorHAnsi" w:hAnsiTheme="majorHAnsi"/>
          <w:sz w:val="21"/>
          <w:szCs w:val="21"/>
          <w:lang w:val="en-GB"/>
        </w:rPr>
        <w:t xml:space="preserve">This document aims to inform all actors of Kosovo municipalities, including mayors, directors, senior leaders, Municipal Performance Management System (MPMS) coordinators, members of municipal assemblies, as well as civil society and citizens interested. </w:t>
      </w:r>
    </w:p>
    <w:p w14:paraId="4BAC7687" w14:textId="77777777" w:rsidR="00B739C3" w:rsidRPr="001E5747" w:rsidRDefault="00B739C3" w:rsidP="00B739C3">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line="264" w:lineRule="auto"/>
        <w:jc w:val="both"/>
        <w:rPr>
          <w:rFonts w:asciiTheme="majorHAnsi" w:hAnsiTheme="majorHAnsi"/>
          <w:sz w:val="21"/>
          <w:szCs w:val="21"/>
          <w:lang w:val="en-GB"/>
        </w:rPr>
      </w:pPr>
    </w:p>
    <w:p w14:paraId="324BFEF2" w14:textId="77777777" w:rsidR="00B739C3" w:rsidRPr="001E5747" w:rsidRDefault="00B739C3" w:rsidP="00B739C3">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line="264" w:lineRule="auto"/>
        <w:jc w:val="both"/>
        <w:rPr>
          <w:rFonts w:asciiTheme="majorHAnsi" w:hAnsiTheme="majorHAnsi"/>
          <w:sz w:val="21"/>
          <w:szCs w:val="21"/>
          <w:lang w:val="en-GB"/>
        </w:rPr>
      </w:pPr>
      <w:r w:rsidRPr="001E5747">
        <w:rPr>
          <w:rFonts w:asciiTheme="majorHAnsi" w:hAnsiTheme="majorHAnsi"/>
          <w:sz w:val="21"/>
          <w:szCs w:val="21"/>
          <w:lang w:val="en-GB"/>
        </w:rPr>
        <w:t>MPG rules are of interest to all ministries that develop policies for municipalities, as well as non-governmental organizations (NGOs) that address local service delivery and local governance. This document can also serve as a summary for development partners who are considering joining a municipal performance grant.</w:t>
      </w:r>
      <w:bookmarkStart w:id="31" w:name="_Toc170432961"/>
      <w:bookmarkStart w:id="32" w:name="_Toc170004020"/>
      <w:bookmarkStart w:id="33" w:name="_Toc236632743"/>
      <w:bookmarkEnd w:id="29"/>
      <w:r w:rsidRPr="001E5747">
        <w:rPr>
          <w:rFonts w:asciiTheme="majorHAnsi" w:hAnsiTheme="majorHAnsi"/>
          <w:color w:val="FFFFFF" w:themeColor="background1"/>
          <w:sz w:val="32"/>
          <w:szCs w:val="32"/>
          <w:lang w:val="en-GB"/>
        </w:rPr>
        <w:br w:type="page"/>
      </w:r>
    </w:p>
    <w:p w14:paraId="288064F4" w14:textId="77777777" w:rsidR="00B739C3" w:rsidRPr="001E5747" w:rsidRDefault="00B739C3" w:rsidP="00B739C3">
      <w:pPr>
        <w:pStyle w:val="Heading1"/>
        <w:numPr>
          <w:ilvl w:val="0"/>
          <w:numId w:val="41"/>
        </w:numPr>
        <w:shd w:val="clear" w:color="auto" w:fill="D55635"/>
        <w:tabs>
          <w:tab w:val="left" w:pos="540"/>
        </w:tabs>
        <w:ind w:left="902" w:hanging="902"/>
        <w:rPr>
          <w:rFonts w:asciiTheme="majorHAnsi" w:hAnsiTheme="majorHAnsi"/>
          <w:color w:val="FFFFFF" w:themeColor="background1"/>
          <w:sz w:val="32"/>
          <w:szCs w:val="32"/>
          <w:lang w:val="en-GB"/>
        </w:rPr>
      </w:pPr>
      <w:bookmarkStart w:id="34" w:name="_Toc61062519"/>
      <w:r w:rsidRPr="001E5747">
        <w:rPr>
          <w:rFonts w:asciiTheme="majorHAnsi" w:hAnsiTheme="majorHAnsi"/>
          <w:color w:val="FFFFFF" w:themeColor="background1"/>
          <w:sz w:val="32"/>
          <w:szCs w:val="32"/>
          <w:lang w:val="en-GB"/>
        </w:rPr>
        <w:lastRenderedPageBreak/>
        <w:t>Municipal Performance Grant - Design Parameters</w:t>
      </w:r>
      <w:bookmarkEnd w:id="31"/>
      <w:bookmarkEnd w:id="32"/>
      <w:bookmarkEnd w:id="33"/>
      <w:bookmarkEnd w:id="34"/>
    </w:p>
    <w:p w14:paraId="60ADB2B7" w14:textId="77777777" w:rsidR="00B739C3" w:rsidRPr="001E5747" w:rsidRDefault="00B739C3" w:rsidP="00B739C3">
      <w:pPr>
        <w:bidi/>
        <w:rPr>
          <w:lang w:val="en-GB"/>
        </w:rPr>
      </w:pPr>
    </w:p>
    <w:p w14:paraId="02ADFAAA" w14:textId="77777777" w:rsidR="00B739C3" w:rsidRPr="001E5747" w:rsidRDefault="00B739C3" w:rsidP="00B739C3">
      <w:pPr>
        <w:pStyle w:val="Heading1"/>
        <w:numPr>
          <w:ilvl w:val="1"/>
          <w:numId w:val="43"/>
        </w:numPr>
        <w:tabs>
          <w:tab w:val="left" w:pos="540"/>
        </w:tabs>
        <w:ind w:hanging="1800"/>
        <w:rPr>
          <w:rFonts w:asciiTheme="majorHAnsi" w:hAnsiTheme="majorHAnsi"/>
          <w:color w:val="C0504D"/>
          <w:szCs w:val="28"/>
          <w:lang w:val="en-GB"/>
        </w:rPr>
      </w:pPr>
      <w:bookmarkStart w:id="35" w:name="_Toc61062520"/>
      <w:r w:rsidRPr="001E5747">
        <w:rPr>
          <w:rFonts w:asciiTheme="majorHAnsi" w:hAnsiTheme="majorHAnsi"/>
          <w:color w:val="C0504D"/>
          <w:szCs w:val="28"/>
          <w:lang w:val="en-GB"/>
        </w:rPr>
        <w:t>Basic principles</w:t>
      </w:r>
      <w:bookmarkEnd w:id="35"/>
    </w:p>
    <w:p w14:paraId="6775F99D" w14:textId="77777777" w:rsidR="00B739C3" w:rsidRPr="001E5747" w:rsidRDefault="00B739C3" w:rsidP="00B739C3">
      <w:pPr>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t>The MPG is based on the following principles:</w:t>
      </w:r>
    </w:p>
    <w:p w14:paraId="33F5DC2C" w14:textId="77777777" w:rsidR="00B739C3" w:rsidRPr="001E5747" w:rsidRDefault="00B739C3" w:rsidP="00B739C3">
      <w:pPr>
        <w:pStyle w:val="ListParagraph"/>
        <w:numPr>
          <w:ilvl w:val="0"/>
          <w:numId w:val="15"/>
        </w:numPr>
        <w:spacing w:before="20" w:after="0" w:line="264" w:lineRule="auto"/>
        <w:ind w:hanging="357"/>
        <w:jc w:val="both"/>
        <w:rPr>
          <w:rFonts w:asciiTheme="majorHAnsi" w:hAnsiTheme="majorHAnsi"/>
          <w:sz w:val="21"/>
          <w:szCs w:val="21"/>
          <w:lang w:val="en-GB"/>
        </w:rPr>
      </w:pPr>
      <w:r w:rsidRPr="001E5747">
        <w:rPr>
          <w:rFonts w:asciiTheme="majorHAnsi" w:hAnsiTheme="majorHAnsi"/>
          <w:sz w:val="21"/>
          <w:szCs w:val="21"/>
          <w:lang w:val="en-GB"/>
        </w:rPr>
        <w:t xml:space="preserve">Municipalities must meet a number of minimum </w:t>
      </w:r>
      <w:r w:rsidR="009767E2">
        <w:rPr>
          <w:rFonts w:asciiTheme="majorHAnsi" w:hAnsiTheme="majorHAnsi"/>
          <w:sz w:val="21"/>
          <w:szCs w:val="21"/>
          <w:lang w:val="en-GB"/>
        </w:rPr>
        <w:t xml:space="preserve">conditions </w:t>
      </w:r>
      <w:r w:rsidRPr="001E5747">
        <w:rPr>
          <w:rFonts w:asciiTheme="majorHAnsi" w:hAnsiTheme="majorHAnsi"/>
          <w:sz w:val="21"/>
          <w:szCs w:val="21"/>
          <w:lang w:val="en-GB"/>
        </w:rPr>
        <w:t>each year to be eligible for a grant on an annual basis (pursuant to Section 30.2 of the Regulation on MPMS and the Municipal Performance Grant Scheme);</w:t>
      </w:r>
    </w:p>
    <w:p w14:paraId="7A0C502F" w14:textId="4A9F94FB" w:rsidR="00B739C3" w:rsidRPr="001E5747" w:rsidRDefault="00B739C3" w:rsidP="00B739C3">
      <w:pPr>
        <w:pStyle w:val="ListParagraph"/>
        <w:numPr>
          <w:ilvl w:val="0"/>
          <w:numId w:val="15"/>
        </w:numPr>
        <w:spacing w:before="20" w:after="0" w:line="264" w:lineRule="auto"/>
        <w:ind w:hanging="357"/>
        <w:jc w:val="both"/>
        <w:rPr>
          <w:rFonts w:asciiTheme="majorHAnsi" w:hAnsiTheme="majorHAnsi"/>
          <w:sz w:val="21"/>
          <w:szCs w:val="21"/>
          <w:lang w:val="en-GB"/>
        </w:rPr>
      </w:pPr>
      <w:r w:rsidRPr="001E5747">
        <w:rPr>
          <w:rFonts w:asciiTheme="majorHAnsi" w:hAnsiTheme="majorHAnsi"/>
          <w:sz w:val="21"/>
          <w:szCs w:val="21"/>
          <w:lang w:val="en-GB"/>
        </w:rPr>
        <w:t xml:space="preserve">For all municipalities that have met the minimum </w:t>
      </w:r>
      <w:r w:rsidR="009767E2">
        <w:rPr>
          <w:rFonts w:asciiTheme="majorHAnsi" w:hAnsiTheme="majorHAnsi"/>
          <w:sz w:val="21"/>
          <w:szCs w:val="21"/>
          <w:lang w:val="en-GB"/>
        </w:rPr>
        <w:t>conditions</w:t>
      </w:r>
      <w:r w:rsidRPr="001E5747">
        <w:rPr>
          <w:rFonts w:asciiTheme="majorHAnsi" w:hAnsiTheme="majorHAnsi"/>
          <w:sz w:val="21"/>
          <w:szCs w:val="21"/>
          <w:lang w:val="en-GB"/>
        </w:rPr>
        <w:t xml:space="preserve">, the additional grant received by each municipality is based on its relative </w:t>
      </w:r>
      <w:r w:rsidR="00B60653" w:rsidRPr="001E5747">
        <w:rPr>
          <w:rFonts w:asciiTheme="majorHAnsi" w:hAnsiTheme="majorHAnsi"/>
          <w:sz w:val="21"/>
          <w:szCs w:val="21"/>
          <w:lang w:val="en-GB"/>
        </w:rPr>
        <w:t>score</w:t>
      </w:r>
      <w:r w:rsidRPr="001E5747">
        <w:rPr>
          <w:rFonts w:asciiTheme="majorHAnsi" w:hAnsiTheme="majorHAnsi"/>
          <w:sz w:val="21"/>
          <w:szCs w:val="21"/>
          <w:lang w:val="en-GB"/>
        </w:rPr>
        <w:t xml:space="preserve"> achieved in the municipal performance</w:t>
      </w:r>
      <w:r w:rsidR="00A55FBC">
        <w:rPr>
          <w:rFonts w:asciiTheme="majorHAnsi" w:hAnsiTheme="majorHAnsi"/>
          <w:sz w:val="21"/>
          <w:szCs w:val="21"/>
          <w:lang w:val="en-GB"/>
        </w:rPr>
        <w:t xml:space="preserve"> grant</w:t>
      </w:r>
      <w:r w:rsidRPr="001E5747">
        <w:rPr>
          <w:rFonts w:asciiTheme="majorHAnsi" w:hAnsiTheme="majorHAnsi"/>
          <w:sz w:val="21"/>
          <w:szCs w:val="21"/>
          <w:lang w:val="en-GB"/>
        </w:rPr>
        <w:t xml:space="preserve"> indicators (its points compared to those of all other municipaliti</w:t>
      </w:r>
      <w:r w:rsidR="00B60653" w:rsidRPr="001E5747">
        <w:rPr>
          <w:rFonts w:asciiTheme="majorHAnsi" w:hAnsiTheme="majorHAnsi"/>
          <w:sz w:val="21"/>
          <w:szCs w:val="21"/>
          <w:lang w:val="en-GB"/>
        </w:rPr>
        <w:t>es) as well as other criteria</w:t>
      </w:r>
      <w:r w:rsidR="005E0672">
        <w:rPr>
          <w:rFonts w:asciiTheme="majorHAnsi" w:hAnsiTheme="majorHAnsi"/>
          <w:sz w:val="21"/>
          <w:szCs w:val="21"/>
          <w:lang w:val="en-GB"/>
        </w:rPr>
        <w:t xml:space="preserve"> of t</w:t>
      </w:r>
      <w:r w:rsidRPr="001E5747">
        <w:rPr>
          <w:rFonts w:asciiTheme="majorHAnsi" w:hAnsiTheme="majorHAnsi"/>
          <w:sz w:val="21"/>
          <w:szCs w:val="21"/>
          <w:lang w:val="en-GB"/>
        </w:rPr>
        <w:t>he allocation formula, in accordance with Section 30.3 of the Regulation on MPMS and the Municipal Performance Grant Scheme.</w:t>
      </w:r>
    </w:p>
    <w:p w14:paraId="456D10DD" w14:textId="77777777" w:rsidR="00B739C3" w:rsidRPr="001E5747" w:rsidRDefault="00B739C3" w:rsidP="00B739C3">
      <w:pPr>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t xml:space="preserve">The minimum conditions are intended to ensure that the amount available </w:t>
      </w:r>
      <w:r w:rsidR="00B60653" w:rsidRPr="001E5747">
        <w:rPr>
          <w:rFonts w:asciiTheme="majorHAnsi" w:hAnsiTheme="majorHAnsi"/>
          <w:sz w:val="21"/>
          <w:szCs w:val="21"/>
          <w:lang w:val="en-GB"/>
        </w:rPr>
        <w:t xml:space="preserve">is </w:t>
      </w:r>
      <w:r w:rsidRPr="001E5747">
        <w:rPr>
          <w:rFonts w:asciiTheme="majorHAnsi" w:hAnsiTheme="majorHAnsi"/>
          <w:sz w:val="21"/>
          <w:szCs w:val="21"/>
          <w:lang w:val="en-GB"/>
        </w:rPr>
        <w:t xml:space="preserve">allocated only to municipalities that are able to use the funds efficiently, effectively and economically; are </w:t>
      </w:r>
      <w:r w:rsidR="00B60653" w:rsidRPr="001E5747">
        <w:rPr>
          <w:rFonts w:asciiTheme="majorHAnsi" w:hAnsiTheme="majorHAnsi"/>
          <w:sz w:val="21"/>
          <w:szCs w:val="21"/>
          <w:lang w:val="en-GB"/>
        </w:rPr>
        <w:t>cap</w:t>
      </w:r>
      <w:r w:rsidRPr="001E5747">
        <w:rPr>
          <w:rFonts w:asciiTheme="majorHAnsi" w:hAnsiTheme="majorHAnsi"/>
          <w:sz w:val="21"/>
          <w:szCs w:val="21"/>
          <w:lang w:val="en-GB"/>
        </w:rPr>
        <w:t>able to absorb funds and spend them responsibly; have reviewed municipal acts deemed illegal by the supervisory authority</w:t>
      </w:r>
      <w:r w:rsidR="005B4540">
        <w:rPr>
          <w:rFonts w:asciiTheme="majorHAnsi" w:hAnsiTheme="majorHAnsi"/>
          <w:sz w:val="21"/>
          <w:szCs w:val="21"/>
          <w:lang w:val="en-GB"/>
        </w:rPr>
        <w:t xml:space="preserve"> and</w:t>
      </w:r>
      <w:r w:rsidRPr="001E5747">
        <w:rPr>
          <w:rFonts w:asciiTheme="majorHAnsi" w:hAnsiTheme="majorHAnsi"/>
          <w:sz w:val="21"/>
          <w:szCs w:val="21"/>
          <w:lang w:val="en-GB"/>
        </w:rPr>
        <w:t xml:space="preserve"> reported in a timely manner to the MPMS.</w:t>
      </w:r>
    </w:p>
    <w:p w14:paraId="042CB672" w14:textId="77777777" w:rsidR="00B739C3" w:rsidRPr="001E5747" w:rsidRDefault="00B739C3" w:rsidP="00B739C3">
      <w:pPr>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t xml:space="preserve">Municipal performance </w:t>
      </w:r>
      <w:r w:rsidR="00A55FBC">
        <w:rPr>
          <w:rFonts w:asciiTheme="majorHAnsi" w:hAnsiTheme="majorHAnsi"/>
          <w:sz w:val="21"/>
          <w:szCs w:val="21"/>
          <w:lang w:val="en-GB"/>
        </w:rPr>
        <w:t xml:space="preserve">grant </w:t>
      </w:r>
      <w:r w:rsidRPr="001E5747">
        <w:rPr>
          <w:rFonts w:asciiTheme="majorHAnsi" w:hAnsiTheme="majorHAnsi"/>
          <w:sz w:val="21"/>
          <w:szCs w:val="21"/>
          <w:lang w:val="en-GB"/>
        </w:rPr>
        <w:t xml:space="preserve">indicators (and relative scores) aim to </w:t>
      </w:r>
      <w:r w:rsidR="00B60653" w:rsidRPr="001E5747">
        <w:rPr>
          <w:rFonts w:asciiTheme="majorHAnsi" w:hAnsiTheme="majorHAnsi"/>
          <w:sz w:val="21"/>
          <w:szCs w:val="21"/>
          <w:lang w:val="en-GB"/>
        </w:rPr>
        <w:t>incentiv</w:t>
      </w:r>
      <w:r w:rsidR="00A55FBC">
        <w:rPr>
          <w:rFonts w:asciiTheme="majorHAnsi" w:hAnsiTheme="majorHAnsi"/>
          <w:sz w:val="21"/>
          <w:szCs w:val="21"/>
          <w:lang w:val="en-GB"/>
        </w:rPr>
        <w:t>ise</w:t>
      </w:r>
      <w:r w:rsidRPr="001E5747">
        <w:rPr>
          <w:rFonts w:asciiTheme="majorHAnsi" w:hAnsiTheme="majorHAnsi"/>
          <w:sz w:val="21"/>
          <w:szCs w:val="21"/>
          <w:lang w:val="en-GB"/>
        </w:rPr>
        <w:t xml:space="preserve"> competition between municipalities to </w:t>
      </w:r>
      <w:r w:rsidR="00B60653" w:rsidRPr="001E5747">
        <w:rPr>
          <w:rFonts w:asciiTheme="majorHAnsi" w:hAnsiTheme="majorHAnsi"/>
          <w:sz w:val="21"/>
          <w:szCs w:val="21"/>
          <w:lang w:val="en-GB"/>
        </w:rPr>
        <w:t>ensure</w:t>
      </w:r>
      <w:r w:rsidRPr="001E5747">
        <w:rPr>
          <w:rFonts w:asciiTheme="majorHAnsi" w:hAnsiTheme="majorHAnsi"/>
          <w:sz w:val="21"/>
          <w:szCs w:val="21"/>
          <w:lang w:val="en-GB"/>
        </w:rPr>
        <w:t xml:space="preserve"> additional financial resources, but also the goal of being among the municipalities with the highest scores in key performance areas. Publication of </w:t>
      </w:r>
      <w:r w:rsidR="009767E2">
        <w:rPr>
          <w:rFonts w:asciiTheme="majorHAnsi" w:hAnsiTheme="majorHAnsi"/>
          <w:sz w:val="21"/>
          <w:szCs w:val="21"/>
          <w:lang w:val="en-GB"/>
        </w:rPr>
        <w:t>assessment</w:t>
      </w:r>
      <w:r w:rsidRPr="001E5747">
        <w:rPr>
          <w:rFonts w:asciiTheme="majorHAnsi" w:hAnsiTheme="majorHAnsi"/>
          <w:sz w:val="21"/>
          <w:szCs w:val="21"/>
          <w:lang w:val="en-GB"/>
        </w:rPr>
        <w:t xml:space="preserve"> results (and public discussion regarding the analysis of </w:t>
      </w:r>
      <w:r w:rsidR="009767E2">
        <w:rPr>
          <w:rFonts w:asciiTheme="majorHAnsi" w:hAnsiTheme="majorHAnsi"/>
          <w:sz w:val="21"/>
          <w:szCs w:val="21"/>
          <w:lang w:val="en-GB"/>
        </w:rPr>
        <w:t>assessment</w:t>
      </w:r>
      <w:r w:rsidRPr="001E5747">
        <w:rPr>
          <w:rFonts w:asciiTheme="majorHAnsi" w:hAnsiTheme="majorHAnsi"/>
          <w:sz w:val="21"/>
          <w:szCs w:val="21"/>
          <w:lang w:val="en-GB"/>
        </w:rPr>
        <w:t xml:space="preserve"> results) is an important aspect of the MPG.</w:t>
      </w:r>
    </w:p>
    <w:p w14:paraId="425FE3D1" w14:textId="77777777" w:rsidR="00B739C3" w:rsidRPr="001E5747" w:rsidRDefault="00B739C3" w:rsidP="00B739C3">
      <w:pPr>
        <w:bidi/>
        <w:rPr>
          <w:lang w:val="en-GB"/>
        </w:rPr>
      </w:pPr>
    </w:p>
    <w:p w14:paraId="73B3AFCD" w14:textId="77777777" w:rsidR="00B739C3" w:rsidRPr="001E5747" w:rsidRDefault="00B739C3" w:rsidP="00B739C3">
      <w:pPr>
        <w:pStyle w:val="Heading1"/>
        <w:numPr>
          <w:ilvl w:val="1"/>
          <w:numId w:val="43"/>
        </w:numPr>
        <w:tabs>
          <w:tab w:val="left" w:pos="540"/>
        </w:tabs>
        <w:ind w:hanging="1800"/>
        <w:rPr>
          <w:rFonts w:asciiTheme="majorHAnsi" w:hAnsiTheme="majorHAnsi"/>
          <w:color w:val="C0504D"/>
          <w:szCs w:val="28"/>
          <w:lang w:val="en-GB"/>
        </w:rPr>
      </w:pPr>
      <w:bookmarkStart w:id="36" w:name="_Toc61062521"/>
      <w:r w:rsidRPr="001E5747">
        <w:rPr>
          <w:rFonts w:asciiTheme="majorHAnsi" w:hAnsiTheme="majorHAnsi"/>
          <w:color w:val="C0504D"/>
          <w:szCs w:val="28"/>
          <w:lang w:val="en-GB"/>
        </w:rPr>
        <w:t>Minimum conditions</w:t>
      </w:r>
      <w:bookmarkEnd w:id="36"/>
    </w:p>
    <w:p w14:paraId="4F6C345F" w14:textId="77777777" w:rsidR="00B739C3" w:rsidRPr="001E5747" w:rsidRDefault="00B739C3" w:rsidP="00B739C3">
      <w:pPr>
        <w:spacing w:before="60" w:line="264" w:lineRule="auto"/>
        <w:jc w:val="both"/>
        <w:rPr>
          <w:rFonts w:asciiTheme="majorHAnsi" w:hAnsiTheme="majorHAnsi"/>
          <w:sz w:val="6"/>
          <w:szCs w:val="6"/>
          <w:lang w:val="en-GB"/>
        </w:rPr>
      </w:pPr>
    </w:p>
    <w:p w14:paraId="052205BE" w14:textId="3D92AB0A" w:rsidR="00B739C3" w:rsidRPr="001E5747" w:rsidRDefault="00B739C3" w:rsidP="00B739C3">
      <w:pPr>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t xml:space="preserve">The MPG </w:t>
      </w:r>
      <w:r w:rsidR="005B4540">
        <w:rPr>
          <w:rFonts w:asciiTheme="majorHAnsi" w:hAnsiTheme="majorHAnsi"/>
          <w:sz w:val="21"/>
          <w:szCs w:val="21"/>
          <w:lang w:val="en-GB"/>
        </w:rPr>
        <w:t xml:space="preserve">for </w:t>
      </w:r>
      <w:r w:rsidR="00C2637B">
        <w:rPr>
          <w:rFonts w:asciiTheme="majorHAnsi" w:hAnsiTheme="majorHAnsi"/>
          <w:sz w:val="21"/>
          <w:szCs w:val="21"/>
          <w:lang w:val="en-GB"/>
        </w:rPr>
        <w:t xml:space="preserve">2023 </w:t>
      </w:r>
      <w:r w:rsidRPr="001E5747">
        <w:rPr>
          <w:rFonts w:asciiTheme="majorHAnsi" w:hAnsiTheme="majorHAnsi"/>
          <w:sz w:val="21"/>
          <w:szCs w:val="21"/>
          <w:lang w:val="en-GB"/>
        </w:rPr>
        <w:t xml:space="preserve">sets </w:t>
      </w:r>
      <w:r w:rsidR="006E2A74">
        <w:rPr>
          <w:rFonts w:asciiTheme="majorHAnsi" w:hAnsiTheme="majorHAnsi"/>
          <w:sz w:val="21"/>
          <w:szCs w:val="21"/>
          <w:lang w:val="en-GB"/>
        </w:rPr>
        <w:t>four</w:t>
      </w:r>
      <w:r w:rsidRPr="001E5747">
        <w:rPr>
          <w:rFonts w:asciiTheme="majorHAnsi" w:hAnsiTheme="majorHAnsi"/>
          <w:sz w:val="21"/>
          <w:szCs w:val="21"/>
          <w:lang w:val="en-GB"/>
        </w:rPr>
        <w:t xml:space="preserve"> minimum conditions as follows:</w:t>
      </w:r>
    </w:p>
    <w:p w14:paraId="05430CB7" w14:textId="1613A463" w:rsidR="00B739C3" w:rsidRPr="001E5747" w:rsidRDefault="00B739C3" w:rsidP="00B739C3">
      <w:pPr>
        <w:pStyle w:val="ListParagraph"/>
        <w:numPr>
          <w:ilvl w:val="1"/>
          <w:numId w:val="44"/>
        </w:numPr>
        <w:spacing w:after="0"/>
        <w:rPr>
          <w:rFonts w:asciiTheme="majorHAnsi" w:hAnsiTheme="majorHAnsi"/>
          <w:sz w:val="21"/>
          <w:szCs w:val="21"/>
          <w:lang w:val="en-GB" w:eastAsia="en-US"/>
        </w:rPr>
      </w:pPr>
      <w:r w:rsidRPr="001E5747">
        <w:rPr>
          <w:rFonts w:asciiTheme="majorHAnsi" w:hAnsiTheme="majorHAnsi"/>
          <w:sz w:val="21"/>
          <w:szCs w:val="21"/>
          <w:lang w:val="en-GB" w:eastAsia="en-US"/>
        </w:rPr>
        <w:t>Municipalities must have reported the data to the MPMS by the deadline</w:t>
      </w:r>
      <w:r w:rsidR="005E0672">
        <w:rPr>
          <w:rFonts w:asciiTheme="majorHAnsi" w:hAnsiTheme="majorHAnsi"/>
          <w:sz w:val="21"/>
          <w:szCs w:val="21"/>
          <w:lang w:val="en-GB" w:eastAsia="en-US"/>
        </w:rPr>
        <w:t>, according to the article 13 of the MPMS/MPG Regulation</w:t>
      </w:r>
      <w:r w:rsidR="00311CD5">
        <w:rPr>
          <w:rStyle w:val="FootnoteReference"/>
          <w:rFonts w:asciiTheme="majorHAnsi" w:hAnsiTheme="majorHAnsi"/>
          <w:sz w:val="21"/>
          <w:szCs w:val="21"/>
          <w:lang w:val="en-GB" w:eastAsia="en-US"/>
        </w:rPr>
        <w:footnoteReference w:id="3"/>
      </w:r>
      <w:r w:rsidRPr="001E5747">
        <w:rPr>
          <w:rFonts w:asciiTheme="majorHAnsi" w:hAnsiTheme="majorHAnsi"/>
          <w:sz w:val="21"/>
          <w:szCs w:val="21"/>
          <w:lang w:val="en-GB" w:eastAsia="en-US"/>
        </w:rPr>
        <w:t>;</w:t>
      </w:r>
    </w:p>
    <w:p w14:paraId="784B6EEA" w14:textId="77777777" w:rsidR="00603525" w:rsidRPr="00C96E3F" w:rsidRDefault="00603525" w:rsidP="00C96E3F">
      <w:pPr>
        <w:pStyle w:val="ListParagraph"/>
        <w:numPr>
          <w:ilvl w:val="1"/>
          <w:numId w:val="44"/>
        </w:numPr>
        <w:spacing w:after="0"/>
        <w:rPr>
          <w:rFonts w:asciiTheme="majorHAnsi" w:hAnsiTheme="majorHAnsi"/>
          <w:sz w:val="21"/>
          <w:szCs w:val="21"/>
          <w:lang w:val="en-GB" w:eastAsia="en-US"/>
        </w:rPr>
      </w:pPr>
      <w:r w:rsidRPr="00A0644E">
        <w:rPr>
          <w:rFonts w:asciiTheme="majorHAnsi" w:hAnsiTheme="majorHAnsi"/>
          <w:sz w:val="21"/>
          <w:szCs w:val="21"/>
          <w:lang w:val="en-GB"/>
        </w:rPr>
        <w:t>Municipalities must have complied with the legal obligation to review municipal acts deemed illegal by the supervisory authority</w:t>
      </w:r>
      <w:r w:rsidRPr="00A0644E">
        <w:rPr>
          <w:rStyle w:val="FootnoteReference"/>
          <w:rFonts w:asciiTheme="majorHAnsi" w:hAnsiTheme="majorHAnsi"/>
          <w:sz w:val="21"/>
          <w:szCs w:val="21"/>
          <w:lang w:val="en-GB"/>
        </w:rPr>
        <w:footnoteReference w:id="4"/>
      </w:r>
      <w:r w:rsidRPr="00A0644E">
        <w:rPr>
          <w:rFonts w:asciiTheme="majorHAnsi" w:hAnsiTheme="majorHAnsi"/>
          <w:sz w:val="21"/>
          <w:szCs w:val="21"/>
          <w:lang w:val="en-GB"/>
        </w:rPr>
        <w:t>;</w:t>
      </w:r>
    </w:p>
    <w:p w14:paraId="00EB0E2F" w14:textId="77777777" w:rsidR="00B739C3" w:rsidRPr="001E5747" w:rsidRDefault="00B739C3" w:rsidP="00B739C3">
      <w:pPr>
        <w:numPr>
          <w:ilvl w:val="1"/>
          <w:numId w:val="44"/>
        </w:numPr>
        <w:spacing w:line="264" w:lineRule="auto"/>
        <w:jc w:val="both"/>
        <w:rPr>
          <w:rFonts w:asciiTheme="majorHAnsi" w:hAnsiTheme="majorHAnsi"/>
          <w:sz w:val="21"/>
          <w:szCs w:val="21"/>
          <w:lang w:val="en-GB"/>
        </w:rPr>
      </w:pPr>
      <w:r w:rsidRPr="001E5747">
        <w:rPr>
          <w:rFonts w:asciiTheme="majorHAnsi" w:hAnsiTheme="majorHAnsi"/>
          <w:sz w:val="21"/>
          <w:szCs w:val="21"/>
          <w:lang w:val="en-GB"/>
        </w:rPr>
        <w:t>The audit opinion should be at least unmo</w:t>
      </w:r>
      <w:r w:rsidR="00307244" w:rsidRPr="001E5747">
        <w:rPr>
          <w:rFonts w:asciiTheme="majorHAnsi" w:hAnsiTheme="majorHAnsi"/>
          <w:sz w:val="21"/>
          <w:szCs w:val="21"/>
          <w:lang w:val="en-GB"/>
        </w:rPr>
        <w:t>dified with an emphasis on the matter</w:t>
      </w:r>
      <w:r w:rsidRPr="001E5747">
        <w:rPr>
          <w:rFonts w:asciiTheme="majorHAnsi" w:hAnsiTheme="majorHAnsi"/>
          <w:sz w:val="21"/>
          <w:szCs w:val="21"/>
          <w:lang w:val="en-GB"/>
        </w:rPr>
        <w:t>;</w:t>
      </w:r>
      <w:r w:rsidR="00A837E7">
        <w:rPr>
          <w:rFonts w:asciiTheme="majorHAnsi" w:hAnsiTheme="majorHAnsi"/>
          <w:sz w:val="21"/>
          <w:szCs w:val="21"/>
          <w:lang w:val="en-GB"/>
        </w:rPr>
        <w:t xml:space="preserve"> and</w:t>
      </w:r>
    </w:p>
    <w:p w14:paraId="548BC843" w14:textId="77777777" w:rsidR="00B739C3" w:rsidRPr="001E5747" w:rsidRDefault="00B739C3" w:rsidP="00B739C3">
      <w:pPr>
        <w:numPr>
          <w:ilvl w:val="1"/>
          <w:numId w:val="44"/>
        </w:numPr>
        <w:spacing w:line="264" w:lineRule="auto"/>
        <w:jc w:val="both"/>
        <w:rPr>
          <w:rFonts w:asciiTheme="majorHAnsi" w:hAnsiTheme="majorHAnsi"/>
          <w:sz w:val="21"/>
          <w:szCs w:val="21"/>
          <w:lang w:val="en-GB"/>
        </w:rPr>
      </w:pPr>
      <w:r w:rsidRPr="001E5747">
        <w:rPr>
          <w:rFonts w:asciiTheme="majorHAnsi" w:hAnsiTheme="majorHAnsi"/>
          <w:sz w:val="21"/>
          <w:szCs w:val="21"/>
          <w:lang w:val="en-GB"/>
        </w:rPr>
        <w:t xml:space="preserve">Municipalities must have spent 75% or more of the final budget on capital investments; </w:t>
      </w:r>
    </w:p>
    <w:p w14:paraId="118E8C1C" w14:textId="53A39BC9" w:rsidR="00B739C3" w:rsidRPr="001E5747" w:rsidRDefault="00603525" w:rsidP="00B739C3">
      <w:pPr>
        <w:spacing w:before="60" w:line="264" w:lineRule="auto"/>
        <w:jc w:val="both"/>
        <w:rPr>
          <w:rFonts w:asciiTheme="majorHAnsi" w:hAnsiTheme="majorHAnsi"/>
          <w:sz w:val="21"/>
          <w:szCs w:val="21"/>
          <w:lang w:val="en-GB"/>
        </w:rPr>
      </w:pPr>
      <w:r>
        <w:rPr>
          <w:rFonts w:asciiTheme="majorHAnsi" w:hAnsiTheme="majorHAnsi"/>
          <w:sz w:val="21"/>
          <w:szCs w:val="21"/>
          <w:lang w:val="en-GB"/>
        </w:rPr>
        <w:t>M</w:t>
      </w:r>
      <w:r w:rsidR="00B739C3" w:rsidRPr="001E5747">
        <w:rPr>
          <w:rFonts w:asciiTheme="majorHAnsi" w:hAnsiTheme="majorHAnsi"/>
          <w:sz w:val="21"/>
          <w:szCs w:val="21"/>
          <w:lang w:val="en-GB"/>
        </w:rPr>
        <w:t xml:space="preserve">unicipalities that fail to meet </w:t>
      </w:r>
      <w:r w:rsidR="00B95782">
        <w:rPr>
          <w:rFonts w:asciiTheme="majorHAnsi" w:hAnsiTheme="majorHAnsi"/>
          <w:sz w:val="21"/>
          <w:szCs w:val="21"/>
          <w:lang w:val="en-GB"/>
        </w:rPr>
        <w:t>any of the</w:t>
      </w:r>
      <w:r w:rsidR="00B95782" w:rsidRPr="001E5747">
        <w:rPr>
          <w:rFonts w:asciiTheme="majorHAnsi" w:hAnsiTheme="majorHAnsi"/>
          <w:sz w:val="21"/>
          <w:szCs w:val="21"/>
          <w:lang w:val="en-GB"/>
        </w:rPr>
        <w:t xml:space="preserve"> </w:t>
      </w:r>
      <w:r w:rsidR="006E2A74">
        <w:rPr>
          <w:rFonts w:asciiTheme="majorHAnsi" w:hAnsiTheme="majorHAnsi"/>
          <w:sz w:val="21"/>
          <w:szCs w:val="21"/>
          <w:lang w:val="en-GB"/>
        </w:rPr>
        <w:t>4</w:t>
      </w:r>
      <w:r w:rsidR="00B739C3" w:rsidRPr="001E5747">
        <w:rPr>
          <w:rFonts w:asciiTheme="majorHAnsi" w:hAnsiTheme="majorHAnsi"/>
          <w:sz w:val="21"/>
          <w:szCs w:val="21"/>
          <w:lang w:val="en-GB"/>
        </w:rPr>
        <w:t xml:space="preserve"> o above</w:t>
      </w:r>
      <w:r w:rsidR="00B95782">
        <w:rPr>
          <w:rFonts w:asciiTheme="majorHAnsi" w:hAnsiTheme="majorHAnsi"/>
          <w:sz w:val="21"/>
          <w:szCs w:val="21"/>
          <w:lang w:val="en-GB"/>
        </w:rPr>
        <w:t>-mentioned</w:t>
      </w:r>
      <w:r w:rsidR="00B739C3" w:rsidRPr="001E5747">
        <w:rPr>
          <w:rFonts w:asciiTheme="majorHAnsi" w:hAnsiTheme="majorHAnsi"/>
          <w:sz w:val="21"/>
          <w:szCs w:val="21"/>
          <w:lang w:val="en-GB"/>
        </w:rPr>
        <w:t xml:space="preserve"> </w:t>
      </w:r>
      <w:r w:rsidR="00B95782">
        <w:rPr>
          <w:rFonts w:asciiTheme="majorHAnsi" w:hAnsiTheme="majorHAnsi"/>
          <w:sz w:val="21"/>
          <w:szCs w:val="21"/>
          <w:lang w:val="en-GB"/>
        </w:rPr>
        <w:t>conditions,</w:t>
      </w:r>
      <w:r w:rsidR="00B95782" w:rsidRPr="001E5747">
        <w:rPr>
          <w:rFonts w:asciiTheme="majorHAnsi" w:hAnsiTheme="majorHAnsi"/>
          <w:sz w:val="21"/>
          <w:szCs w:val="21"/>
          <w:lang w:val="en-GB"/>
        </w:rPr>
        <w:t xml:space="preserve"> </w:t>
      </w:r>
      <w:r w:rsidR="00B739C3" w:rsidRPr="001E5747">
        <w:rPr>
          <w:rFonts w:asciiTheme="majorHAnsi" w:hAnsiTheme="majorHAnsi"/>
          <w:sz w:val="21"/>
          <w:szCs w:val="21"/>
          <w:lang w:val="en-GB"/>
        </w:rPr>
        <w:t>cannot receive a municipal performance grant.</w:t>
      </w:r>
    </w:p>
    <w:p w14:paraId="24A1BDFA" w14:textId="77777777" w:rsidR="00B739C3" w:rsidRPr="001E5747" w:rsidRDefault="00B739C3" w:rsidP="00B739C3">
      <w:pPr>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t xml:space="preserve">The rationale for the minimum </w:t>
      </w:r>
      <w:r w:rsidR="002B5337">
        <w:rPr>
          <w:rFonts w:asciiTheme="majorHAnsi" w:hAnsiTheme="majorHAnsi"/>
          <w:sz w:val="21"/>
          <w:szCs w:val="21"/>
          <w:lang w:val="en-GB"/>
        </w:rPr>
        <w:t>conditions</w:t>
      </w:r>
      <w:r w:rsidRPr="001E5747">
        <w:rPr>
          <w:rFonts w:asciiTheme="majorHAnsi" w:hAnsiTheme="majorHAnsi"/>
          <w:sz w:val="21"/>
          <w:szCs w:val="21"/>
          <w:lang w:val="en-GB"/>
        </w:rPr>
        <w:t xml:space="preserve"> is that:</w:t>
      </w:r>
    </w:p>
    <w:p w14:paraId="6C01F550" w14:textId="734FC22C" w:rsidR="00B739C3" w:rsidRDefault="00B739C3" w:rsidP="00B739C3">
      <w:pPr>
        <w:pStyle w:val="ListParagraph"/>
        <w:numPr>
          <w:ilvl w:val="0"/>
          <w:numId w:val="16"/>
        </w:numPr>
        <w:spacing w:after="0" w:line="264" w:lineRule="auto"/>
        <w:jc w:val="both"/>
        <w:rPr>
          <w:rFonts w:asciiTheme="majorHAnsi" w:hAnsiTheme="majorHAnsi"/>
          <w:sz w:val="21"/>
          <w:szCs w:val="21"/>
          <w:lang w:val="en-GB"/>
        </w:rPr>
      </w:pPr>
      <w:r w:rsidRPr="001E5747">
        <w:rPr>
          <w:rFonts w:asciiTheme="majorHAnsi" w:hAnsiTheme="majorHAnsi"/>
          <w:sz w:val="21"/>
          <w:szCs w:val="21"/>
          <w:lang w:val="en-GB"/>
        </w:rPr>
        <w:t xml:space="preserve">Municipalities must have reported data to the MPMS on the performance of </w:t>
      </w:r>
      <w:r w:rsidR="00C2637B" w:rsidRPr="001E5747">
        <w:rPr>
          <w:rFonts w:asciiTheme="majorHAnsi" w:hAnsiTheme="majorHAnsi"/>
          <w:sz w:val="21"/>
          <w:szCs w:val="21"/>
          <w:lang w:val="en-GB"/>
        </w:rPr>
        <w:t>20</w:t>
      </w:r>
      <w:r w:rsidR="00C2637B">
        <w:rPr>
          <w:rFonts w:asciiTheme="majorHAnsi" w:hAnsiTheme="majorHAnsi"/>
          <w:sz w:val="21"/>
          <w:szCs w:val="21"/>
          <w:lang w:val="en-GB"/>
        </w:rPr>
        <w:t>21</w:t>
      </w:r>
      <w:r w:rsidRPr="001E5747">
        <w:rPr>
          <w:rFonts w:asciiTheme="majorHAnsi" w:hAnsiTheme="majorHAnsi"/>
          <w:sz w:val="21"/>
          <w:szCs w:val="21"/>
          <w:lang w:val="en-GB"/>
        </w:rPr>
        <w:t>, according to the deadline.</w:t>
      </w:r>
    </w:p>
    <w:p w14:paraId="222CE192" w14:textId="785C278F" w:rsidR="00603525" w:rsidRPr="001E5747" w:rsidRDefault="00603525" w:rsidP="00B739C3">
      <w:pPr>
        <w:pStyle w:val="ListParagraph"/>
        <w:numPr>
          <w:ilvl w:val="0"/>
          <w:numId w:val="16"/>
        </w:numPr>
        <w:spacing w:after="0" w:line="264" w:lineRule="auto"/>
        <w:jc w:val="both"/>
        <w:rPr>
          <w:rFonts w:asciiTheme="majorHAnsi" w:hAnsiTheme="majorHAnsi"/>
          <w:sz w:val="21"/>
          <w:szCs w:val="21"/>
          <w:lang w:val="en-GB"/>
        </w:rPr>
      </w:pPr>
      <w:r w:rsidRPr="00A0644E">
        <w:rPr>
          <w:rFonts w:asciiTheme="majorHAnsi" w:hAnsiTheme="majorHAnsi"/>
          <w:sz w:val="21"/>
          <w:szCs w:val="21"/>
          <w:lang w:val="en-GB"/>
        </w:rPr>
        <w:t xml:space="preserve">The grant will be awarded to those municipalities that have complied with the legal obligation to review municipal acts deemed illegal in </w:t>
      </w:r>
      <w:r w:rsidR="00C2637B" w:rsidRPr="00A0644E">
        <w:rPr>
          <w:rFonts w:asciiTheme="majorHAnsi" w:hAnsiTheme="majorHAnsi"/>
          <w:sz w:val="21"/>
          <w:szCs w:val="21"/>
          <w:lang w:val="en-GB"/>
        </w:rPr>
        <w:t>20</w:t>
      </w:r>
      <w:r w:rsidR="00C2637B">
        <w:rPr>
          <w:rFonts w:asciiTheme="majorHAnsi" w:hAnsiTheme="majorHAnsi"/>
          <w:sz w:val="21"/>
          <w:szCs w:val="21"/>
          <w:lang w:val="en-GB"/>
        </w:rPr>
        <w:t>21</w:t>
      </w:r>
      <w:r w:rsidR="00C2637B" w:rsidRPr="00A0644E">
        <w:rPr>
          <w:rFonts w:asciiTheme="majorHAnsi" w:hAnsiTheme="majorHAnsi"/>
          <w:sz w:val="21"/>
          <w:szCs w:val="21"/>
          <w:lang w:val="en-GB"/>
        </w:rPr>
        <w:t xml:space="preserve"> </w:t>
      </w:r>
      <w:r w:rsidRPr="00A0644E">
        <w:rPr>
          <w:rFonts w:asciiTheme="majorHAnsi" w:hAnsiTheme="majorHAnsi"/>
          <w:sz w:val="21"/>
          <w:szCs w:val="21"/>
          <w:lang w:val="en-GB"/>
        </w:rPr>
        <w:t>by the supervisory authority</w:t>
      </w:r>
      <w:r w:rsidRPr="00A0644E">
        <w:rPr>
          <w:rStyle w:val="FootnoteReference"/>
          <w:rFonts w:asciiTheme="majorHAnsi" w:hAnsiTheme="majorHAnsi"/>
          <w:sz w:val="21"/>
          <w:szCs w:val="21"/>
          <w:lang w:val="en-GB"/>
        </w:rPr>
        <w:footnoteReference w:id="5"/>
      </w:r>
      <w:r w:rsidRPr="00A0644E">
        <w:rPr>
          <w:rFonts w:asciiTheme="majorHAnsi" w:hAnsiTheme="majorHAnsi"/>
          <w:sz w:val="21"/>
          <w:szCs w:val="21"/>
          <w:lang w:val="en-GB"/>
        </w:rPr>
        <w:t>.</w:t>
      </w:r>
    </w:p>
    <w:p w14:paraId="2ED659E8" w14:textId="3547BC54" w:rsidR="00B739C3" w:rsidRPr="001E5747" w:rsidRDefault="00B739C3" w:rsidP="00B739C3">
      <w:pPr>
        <w:pStyle w:val="ListParagraph"/>
        <w:numPr>
          <w:ilvl w:val="0"/>
          <w:numId w:val="16"/>
        </w:numPr>
        <w:spacing w:after="0" w:line="264" w:lineRule="auto"/>
        <w:ind w:left="1077" w:hanging="357"/>
        <w:jc w:val="both"/>
        <w:rPr>
          <w:rFonts w:asciiTheme="majorHAnsi" w:hAnsiTheme="majorHAnsi"/>
          <w:sz w:val="21"/>
          <w:szCs w:val="21"/>
          <w:lang w:val="en-GB"/>
        </w:rPr>
      </w:pPr>
      <w:r w:rsidRPr="001E5747">
        <w:rPr>
          <w:rFonts w:asciiTheme="majorHAnsi" w:hAnsiTheme="majorHAnsi"/>
          <w:sz w:val="21"/>
          <w:szCs w:val="21"/>
          <w:lang w:val="en-GB"/>
        </w:rPr>
        <w:t xml:space="preserve">To receive the grant, municipalities must have a sufficiently sound financial management system, as evidenced by the individual regularity audit reports for </w:t>
      </w:r>
      <w:r w:rsidR="00C2637B" w:rsidRPr="001E5747">
        <w:rPr>
          <w:rFonts w:asciiTheme="majorHAnsi" w:hAnsiTheme="majorHAnsi"/>
          <w:sz w:val="21"/>
          <w:szCs w:val="21"/>
          <w:lang w:val="en-GB"/>
        </w:rPr>
        <w:t>20</w:t>
      </w:r>
      <w:r w:rsidR="00C2637B">
        <w:rPr>
          <w:rFonts w:asciiTheme="majorHAnsi" w:hAnsiTheme="majorHAnsi"/>
          <w:sz w:val="21"/>
          <w:szCs w:val="21"/>
          <w:lang w:val="en-GB"/>
        </w:rPr>
        <w:t>21</w:t>
      </w:r>
      <w:r w:rsidRPr="001E5747">
        <w:rPr>
          <w:rFonts w:asciiTheme="majorHAnsi" w:hAnsiTheme="majorHAnsi"/>
          <w:sz w:val="21"/>
          <w:szCs w:val="21"/>
          <w:lang w:val="en-GB"/>
        </w:rPr>
        <w:t>, published by the NAO;</w:t>
      </w:r>
      <w:r w:rsidR="00A837E7">
        <w:rPr>
          <w:rFonts w:asciiTheme="majorHAnsi" w:hAnsiTheme="majorHAnsi"/>
          <w:sz w:val="21"/>
          <w:szCs w:val="21"/>
          <w:lang w:val="en-GB"/>
        </w:rPr>
        <w:t xml:space="preserve"> and</w:t>
      </w:r>
    </w:p>
    <w:p w14:paraId="7043F823" w14:textId="14A3265E" w:rsidR="00B739C3" w:rsidRPr="001E5747" w:rsidRDefault="00B739C3" w:rsidP="002B5337">
      <w:pPr>
        <w:pStyle w:val="ListParagraph"/>
        <w:numPr>
          <w:ilvl w:val="0"/>
          <w:numId w:val="16"/>
        </w:numPr>
        <w:spacing w:before="20" w:after="0" w:line="264" w:lineRule="auto"/>
        <w:jc w:val="both"/>
        <w:rPr>
          <w:rFonts w:asciiTheme="majorHAnsi" w:hAnsiTheme="majorHAnsi"/>
          <w:sz w:val="21"/>
          <w:szCs w:val="21"/>
          <w:lang w:val="en-GB"/>
        </w:rPr>
      </w:pPr>
      <w:r w:rsidRPr="001E5747">
        <w:rPr>
          <w:rFonts w:asciiTheme="majorHAnsi" w:hAnsiTheme="majorHAnsi"/>
          <w:sz w:val="21"/>
          <w:szCs w:val="21"/>
          <w:lang w:val="en-GB"/>
        </w:rPr>
        <w:lastRenderedPageBreak/>
        <w:t xml:space="preserve">The grant will be awarded only to those municipalities that have demonstrated that they have sufficient capacity to absorb the additional funds, as indicated by the rate of expenditure of the final budget for capital investments in the individual regularity audit reports for </w:t>
      </w:r>
      <w:r w:rsidR="00B95782" w:rsidRPr="001E5747">
        <w:rPr>
          <w:rFonts w:asciiTheme="majorHAnsi" w:hAnsiTheme="majorHAnsi"/>
          <w:sz w:val="21"/>
          <w:szCs w:val="21"/>
          <w:lang w:val="en-GB"/>
        </w:rPr>
        <w:t>20</w:t>
      </w:r>
      <w:r w:rsidR="00B95782">
        <w:rPr>
          <w:rFonts w:asciiTheme="majorHAnsi" w:hAnsiTheme="majorHAnsi"/>
          <w:sz w:val="21"/>
          <w:szCs w:val="21"/>
          <w:lang w:val="en-GB"/>
        </w:rPr>
        <w:t>21</w:t>
      </w:r>
      <w:r w:rsidRPr="001E5747">
        <w:rPr>
          <w:rFonts w:asciiTheme="majorHAnsi" w:hAnsiTheme="majorHAnsi"/>
          <w:sz w:val="21"/>
          <w:szCs w:val="21"/>
          <w:lang w:val="en-GB"/>
        </w:rPr>
        <w:t>, published by NAO</w:t>
      </w:r>
      <w:r w:rsidR="002B5337">
        <w:rPr>
          <w:rFonts w:asciiTheme="majorHAnsi" w:hAnsiTheme="majorHAnsi"/>
          <w:sz w:val="21"/>
          <w:szCs w:val="21"/>
          <w:lang w:val="en-GB"/>
        </w:rPr>
        <w:t>.</w:t>
      </w:r>
    </w:p>
    <w:p w14:paraId="7A935544" w14:textId="77777777" w:rsidR="00B739C3" w:rsidRPr="001E5747" w:rsidRDefault="00B739C3" w:rsidP="00B739C3">
      <w:pPr>
        <w:pStyle w:val="ListParagraph"/>
        <w:spacing w:before="20" w:after="0" w:line="264" w:lineRule="auto"/>
        <w:ind w:left="1077"/>
        <w:jc w:val="both"/>
        <w:rPr>
          <w:rFonts w:asciiTheme="majorHAnsi" w:hAnsiTheme="majorHAnsi"/>
          <w:sz w:val="21"/>
          <w:szCs w:val="21"/>
          <w:lang w:val="en-GB"/>
        </w:rPr>
      </w:pPr>
    </w:p>
    <w:p w14:paraId="013B09F8" w14:textId="77777777" w:rsidR="00B739C3" w:rsidRDefault="00B739C3" w:rsidP="00B739C3">
      <w:pPr>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t xml:space="preserve">All </w:t>
      </w:r>
      <w:r w:rsidR="00603525">
        <w:rPr>
          <w:rFonts w:asciiTheme="majorHAnsi" w:hAnsiTheme="majorHAnsi"/>
          <w:sz w:val="21"/>
          <w:szCs w:val="21"/>
          <w:lang w:val="en-GB"/>
        </w:rPr>
        <w:t>four</w:t>
      </w:r>
      <w:r w:rsidRPr="001E5747">
        <w:rPr>
          <w:rFonts w:asciiTheme="majorHAnsi" w:hAnsiTheme="majorHAnsi"/>
          <w:sz w:val="21"/>
          <w:szCs w:val="21"/>
          <w:lang w:val="en-GB"/>
        </w:rPr>
        <w:t xml:space="preserve"> minimum </w:t>
      </w:r>
      <w:r w:rsidR="002B5337">
        <w:rPr>
          <w:rFonts w:asciiTheme="majorHAnsi" w:hAnsiTheme="majorHAnsi"/>
          <w:sz w:val="21"/>
          <w:szCs w:val="21"/>
          <w:lang w:val="en-GB"/>
        </w:rPr>
        <w:t>conditions</w:t>
      </w:r>
      <w:r w:rsidRPr="001E5747">
        <w:rPr>
          <w:rFonts w:asciiTheme="majorHAnsi" w:hAnsiTheme="majorHAnsi"/>
          <w:sz w:val="21"/>
          <w:szCs w:val="21"/>
          <w:lang w:val="en-GB"/>
        </w:rPr>
        <w:t xml:space="preserve"> must be met before the municipality qualifies for the Municipal Performance Grant. Annex 3 provides the template to communicate to each municipality the results of the minimum condition assessment.</w:t>
      </w:r>
    </w:p>
    <w:p w14:paraId="50FA10BC" w14:textId="58E0F9B5" w:rsidR="006E2A74" w:rsidRPr="001E5747" w:rsidRDefault="006E2A74" w:rsidP="00B739C3">
      <w:pPr>
        <w:spacing w:before="60" w:line="264" w:lineRule="auto"/>
        <w:jc w:val="both"/>
        <w:rPr>
          <w:rFonts w:asciiTheme="majorHAnsi" w:hAnsiTheme="majorHAnsi"/>
          <w:sz w:val="21"/>
          <w:szCs w:val="21"/>
          <w:lang w:val="en-GB"/>
        </w:rPr>
      </w:pPr>
      <w:r>
        <w:rPr>
          <w:rFonts w:asciiTheme="majorHAnsi" w:hAnsiTheme="majorHAnsi"/>
          <w:sz w:val="21"/>
          <w:szCs w:val="21"/>
          <w:lang w:val="en-GB"/>
        </w:rPr>
        <w:t>The source</w:t>
      </w:r>
      <w:r w:rsidR="00B95782">
        <w:rPr>
          <w:rFonts w:asciiTheme="majorHAnsi" w:hAnsiTheme="majorHAnsi"/>
          <w:sz w:val="21"/>
          <w:szCs w:val="21"/>
          <w:lang w:val="en-GB"/>
        </w:rPr>
        <w:t>s</w:t>
      </w:r>
      <w:r>
        <w:rPr>
          <w:rFonts w:asciiTheme="majorHAnsi" w:hAnsiTheme="majorHAnsi"/>
          <w:sz w:val="21"/>
          <w:szCs w:val="21"/>
          <w:lang w:val="en-GB"/>
        </w:rPr>
        <w:t xml:space="preserve"> of data for all four minimum conditions are set in annex 1 of these rules.</w:t>
      </w:r>
    </w:p>
    <w:p w14:paraId="2460EB7E" w14:textId="77777777" w:rsidR="00B739C3" w:rsidRPr="001E5747" w:rsidRDefault="00B739C3" w:rsidP="00B739C3">
      <w:pPr>
        <w:spacing w:before="60" w:line="264" w:lineRule="auto"/>
        <w:jc w:val="both"/>
        <w:rPr>
          <w:rFonts w:asciiTheme="majorHAnsi" w:hAnsiTheme="majorHAnsi"/>
          <w:sz w:val="21"/>
          <w:szCs w:val="21"/>
          <w:lang w:val="en-GB"/>
        </w:rPr>
      </w:pPr>
    </w:p>
    <w:p w14:paraId="353714FE" w14:textId="77777777" w:rsidR="00B739C3" w:rsidRPr="001E5747" w:rsidRDefault="00B739C3" w:rsidP="00B739C3">
      <w:pPr>
        <w:pStyle w:val="Heading1"/>
        <w:numPr>
          <w:ilvl w:val="1"/>
          <w:numId w:val="43"/>
        </w:numPr>
        <w:tabs>
          <w:tab w:val="left" w:pos="540"/>
        </w:tabs>
        <w:ind w:hanging="1800"/>
        <w:rPr>
          <w:rFonts w:asciiTheme="majorHAnsi" w:hAnsiTheme="majorHAnsi"/>
          <w:color w:val="C0504D"/>
          <w:szCs w:val="28"/>
          <w:lang w:val="en-GB"/>
        </w:rPr>
      </w:pPr>
      <w:bookmarkStart w:id="37" w:name="_Toc61062522"/>
      <w:r w:rsidRPr="001E5747">
        <w:rPr>
          <w:rFonts w:asciiTheme="majorHAnsi" w:hAnsiTheme="majorHAnsi"/>
          <w:color w:val="C0504D"/>
          <w:szCs w:val="28"/>
          <w:lang w:val="en-GB"/>
        </w:rPr>
        <w:t xml:space="preserve">Municipal performance indicators </w:t>
      </w:r>
      <w:bookmarkEnd w:id="37"/>
    </w:p>
    <w:p w14:paraId="1D2D3469" w14:textId="4D5777D5" w:rsidR="00B739C3" w:rsidRPr="001E5747" w:rsidRDefault="00B739C3" w:rsidP="00B739C3">
      <w:pPr>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t>The main source of data for the MPG</w:t>
      </w:r>
      <w:r w:rsidR="006E2A74">
        <w:rPr>
          <w:rFonts w:asciiTheme="majorHAnsi" w:hAnsiTheme="majorHAnsi"/>
          <w:sz w:val="21"/>
          <w:szCs w:val="21"/>
          <w:lang w:val="en-GB"/>
        </w:rPr>
        <w:t xml:space="preserve"> indicators</w:t>
      </w:r>
      <w:r w:rsidRPr="001E5747">
        <w:rPr>
          <w:rFonts w:asciiTheme="majorHAnsi" w:hAnsiTheme="majorHAnsi"/>
          <w:sz w:val="21"/>
          <w:szCs w:val="21"/>
          <w:lang w:val="en-GB"/>
        </w:rPr>
        <w:t xml:space="preserve"> is the MLG</w:t>
      </w:r>
      <w:r w:rsidR="002B5337">
        <w:rPr>
          <w:rFonts w:asciiTheme="majorHAnsi" w:hAnsiTheme="majorHAnsi"/>
          <w:sz w:val="21"/>
          <w:szCs w:val="21"/>
          <w:lang w:val="en-GB"/>
        </w:rPr>
        <w:t>A</w:t>
      </w:r>
      <w:r w:rsidRPr="001E5747">
        <w:rPr>
          <w:rFonts w:asciiTheme="majorHAnsi" w:hAnsiTheme="majorHAnsi"/>
          <w:sz w:val="21"/>
          <w:szCs w:val="21"/>
          <w:lang w:val="en-GB"/>
        </w:rPr>
        <w:t xml:space="preserve"> Municipal Performance Management System (M</w:t>
      </w:r>
      <w:r w:rsidR="002B5337">
        <w:rPr>
          <w:rFonts w:asciiTheme="majorHAnsi" w:hAnsiTheme="majorHAnsi"/>
          <w:sz w:val="21"/>
          <w:szCs w:val="21"/>
          <w:lang w:val="en-GB"/>
        </w:rPr>
        <w:t>PMS</w:t>
      </w:r>
      <w:r w:rsidRPr="001E5747">
        <w:rPr>
          <w:rFonts w:asciiTheme="majorHAnsi" w:hAnsiTheme="majorHAnsi"/>
          <w:sz w:val="21"/>
          <w:szCs w:val="21"/>
          <w:lang w:val="en-GB"/>
        </w:rPr>
        <w:t>).</w:t>
      </w:r>
      <w:r w:rsidR="009A4059" w:rsidRPr="001E5747" w:rsidDel="009A4059">
        <w:rPr>
          <w:rFonts w:asciiTheme="majorHAnsi" w:hAnsiTheme="majorHAnsi"/>
          <w:sz w:val="21"/>
          <w:szCs w:val="21"/>
          <w:lang w:val="en-GB"/>
        </w:rPr>
        <w:t xml:space="preserve"> </w:t>
      </w:r>
    </w:p>
    <w:p w14:paraId="6A405557" w14:textId="6499689D" w:rsidR="00B739C3" w:rsidRPr="001E5747" w:rsidRDefault="00B739C3" w:rsidP="00B739C3">
      <w:pPr>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t>As seen in Table 2 below, a total of 30 municipal performance indicators were identified (</w:t>
      </w:r>
      <w:r w:rsidR="00B95782">
        <w:rPr>
          <w:rFonts w:asciiTheme="majorHAnsi" w:hAnsiTheme="majorHAnsi"/>
          <w:sz w:val="21"/>
          <w:szCs w:val="21"/>
          <w:lang w:val="en-GB"/>
        </w:rPr>
        <w:t>3</w:t>
      </w:r>
      <w:r w:rsidR="00B95782" w:rsidRPr="001E5747">
        <w:rPr>
          <w:rFonts w:asciiTheme="majorHAnsi" w:hAnsiTheme="majorHAnsi"/>
          <w:sz w:val="21"/>
          <w:szCs w:val="21"/>
          <w:lang w:val="en-GB"/>
        </w:rPr>
        <w:t xml:space="preserve"> </w:t>
      </w:r>
      <w:r w:rsidRPr="001E5747">
        <w:rPr>
          <w:rFonts w:asciiTheme="majorHAnsi" w:hAnsiTheme="majorHAnsi"/>
          <w:sz w:val="21"/>
          <w:szCs w:val="21"/>
          <w:lang w:val="en-GB"/>
        </w:rPr>
        <w:t xml:space="preserve">frozen in this </w:t>
      </w:r>
      <w:r w:rsidR="009767E2">
        <w:rPr>
          <w:rFonts w:asciiTheme="majorHAnsi" w:hAnsiTheme="majorHAnsi"/>
          <w:sz w:val="21"/>
          <w:szCs w:val="21"/>
          <w:lang w:val="en-GB"/>
        </w:rPr>
        <w:t>assessment</w:t>
      </w:r>
      <w:r w:rsidRPr="001E5747">
        <w:rPr>
          <w:rFonts w:asciiTheme="majorHAnsi" w:hAnsiTheme="majorHAnsi"/>
          <w:sz w:val="21"/>
          <w:szCs w:val="21"/>
          <w:lang w:val="en-GB"/>
        </w:rPr>
        <w:t xml:space="preserve">) within the three main topics and ten sub-topics (see Table 1 above). </w:t>
      </w:r>
      <w:r w:rsidR="005C2523" w:rsidRPr="000C3EC3">
        <w:rPr>
          <w:rFonts w:asciiTheme="majorHAnsi" w:hAnsiTheme="majorHAnsi"/>
          <w:b/>
          <w:bCs/>
          <w:sz w:val="21"/>
          <w:szCs w:val="21"/>
          <w:lang w:val="en-GB"/>
        </w:rPr>
        <w:t xml:space="preserve">It is important to mention that </w:t>
      </w:r>
      <w:r w:rsidR="00B95782" w:rsidRPr="000C3EC3">
        <w:rPr>
          <w:rFonts w:asciiTheme="majorHAnsi" w:hAnsiTheme="majorHAnsi"/>
          <w:b/>
          <w:bCs/>
          <w:sz w:val="21"/>
          <w:szCs w:val="21"/>
          <w:lang w:val="en-GB"/>
        </w:rPr>
        <w:t>2</w:t>
      </w:r>
      <w:r w:rsidR="00B95782">
        <w:rPr>
          <w:rFonts w:asciiTheme="majorHAnsi" w:hAnsiTheme="majorHAnsi"/>
          <w:b/>
          <w:bCs/>
          <w:sz w:val="21"/>
          <w:szCs w:val="21"/>
          <w:lang w:val="en-GB"/>
        </w:rPr>
        <w:t>7</w:t>
      </w:r>
      <w:r w:rsidR="00B95782" w:rsidRPr="000C3EC3">
        <w:rPr>
          <w:rFonts w:asciiTheme="majorHAnsi" w:hAnsiTheme="majorHAnsi"/>
          <w:b/>
          <w:bCs/>
          <w:sz w:val="21"/>
          <w:szCs w:val="21"/>
          <w:lang w:val="en-GB"/>
        </w:rPr>
        <w:t xml:space="preserve"> </w:t>
      </w:r>
      <w:r w:rsidR="005C2523" w:rsidRPr="000C3EC3">
        <w:rPr>
          <w:rFonts w:asciiTheme="majorHAnsi" w:hAnsiTheme="majorHAnsi"/>
          <w:b/>
          <w:bCs/>
          <w:sz w:val="21"/>
          <w:szCs w:val="21"/>
          <w:lang w:val="en-GB"/>
        </w:rPr>
        <w:t xml:space="preserve">indicators will be evaluated to determine the grant awarded in the FY </w:t>
      </w:r>
      <w:r w:rsidR="00B95782" w:rsidRPr="000C3EC3">
        <w:rPr>
          <w:rFonts w:asciiTheme="majorHAnsi" w:hAnsiTheme="majorHAnsi"/>
          <w:b/>
          <w:bCs/>
          <w:sz w:val="21"/>
          <w:szCs w:val="21"/>
          <w:lang w:val="en-GB"/>
        </w:rPr>
        <w:t>202</w:t>
      </w:r>
      <w:r w:rsidR="00B95782">
        <w:rPr>
          <w:rFonts w:asciiTheme="majorHAnsi" w:hAnsiTheme="majorHAnsi"/>
          <w:b/>
          <w:bCs/>
          <w:sz w:val="21"/>
          <w:szCs w:val="21"/>
          <w:lang w:val="en-GB"/>
        </w:rPr>
        <w:t>3</w:t>
      </w:r>
      <w:r w:rsidR="005C2523" w:rsidRPr="000C3EC3">
        <w:rPr>
          <w:rFonts w:asciiTheme="majorHAnsi" w:hAnsiTheme="majorHAnsi"/>
          <w:b/>
          <w:bCs/>
          <w:sz w:val="21"/>
          <w:szCs w:val="21"/>
          <w:lang w:val="en-GB"/>
        </w:rPr>
        <w:t xml:space="preserve">, for which the assessment is based on the performance of </w:t>
      </w:r>
      <w:r w:rsidR="00361E4C" w:rsidRPr="000C3EC3">
        <w:rPr>
          <w:rFonts w:asciiTheme="majorHAnsi" w:hAnsiTheme="majorHAnsi"/>
          <w:b/>
          <w:bCs/>
          <w:sz w:val="21"/>
          <w:szCs w:val="21"/>
          <w:lang w:val="en-GB"/>
        </w:rPr>
        <w:t>202</w:t>
      </w:r>
      <w:r w:rsidR="00361E4C">
        <w:rPr>
          <w:rFonts w:asciiTheme="majorHAnsi" w:hAnsiTheme="majorHAnsi"/>
          <w:b/>
          <w:bCs/>
          <w:sz w:val="21"/>
          <w:szCs w:val="21"/>
          <w:lang w:val="en-GB"/>
        </w:rPr>
        <w:t>1</w:t>
      </w:r>
      <w:r w:rsidR="005C2523" w:rsidRPr="000C3EC3">
        <w:rPr>
          <w:rFonts w:asciiTheme="majorHAnsi" w:hAnsiTheme="majorHAnsi"/>
          <w:b/>
          <w:bCs/>
          <w:sz w:val="21"/>
          <w:szCs w:val="21"/>
          <w:lang w:val="en-GB"/>
        </w:rPr>
        <w:t>. The maximum number of points for the 28 indicators to be evaluated is 92 points.</w:t>
      </w:r>
    </w:p>
    <w:p w14:paraId="4116E976" w14:textId="6C4F3F1F" w:rsidR="00B739C3" w:rsidRPr="001E5747" w:rsidRDefault="00B739C3" w:rsidP="00B739C3">
      <w:pPr>
        <w:spacing w:before="60" w:line="264" w:lineRule="auto"/>
        <w:ind w:left="709"/>
        <w:jc w:val="both"/>
        <w:rPr>
          <w:rFonts w:ascii="Arial" w:hAnsi="Arial"/>
          <w:b/>
          <w:sz w:val="20"/>
          <w:szCs w:val="20"/>
          <w:lang w:val="en-GB"/>
        </w:rPr>
      </w:pPr>
      <w:r w:rsidRPr="001E5747">
        <w:rPr>
          <w:rFonts w:asciiTheme="majorHAnsi" w:hAnsiTheme="majorHAnsi"/>
          <w:sz w:val="21"/>
          <w:szCs w:val="21"/>
          <w:lang w:val="en-GB"/>
        </w:rPr>
        <w:t xml:space="preserve"> </w:t>
      </w:r>
      <w:r w:rsidRPr="001E5747">
        <w:rPr>
          <w:rFonts w:ascii="Arial" w:hAnsi="Arial"/>
          <w:b/>
          <w:sz w:val="20"/>
          <w:szCs w:val="20"/>
          <w:lang w:val="en-GB"/>
        </w:rPr>
        <w:t>Table 2: Summary of municipal performance grant topics</w:t>
      </w:r>
      <w:r w:rsidR="00CE5562">
        <w:rPr>
          <w:rFonts w:ascii="Arial" w:hAnsi="Arial"/>
          <w:b/>
          <w:sz w:val="20"/>
          <w:szCs w:val="20"/>
          <w:lang w:val="en-GB"/>
        </w:rPr>
        <w:t xml:space="preserve"> for the performance assessment 202</w:t>
      </w:r>
      <w:r w:rsidR="00361E4C">
        <w:rPr>
          <w:rFonts w:ascii="Arial" w:hAnsi="Arial"/>
          <w:b/>
          <w:sz w:val="20"/>
          <w:szCs w:val="20"/>
          <w:lang w:val="en-GB"/>
        </w:rPr>
        <w:t>1</w:t>
      </w:r>
      <w:r w:rsidR="005E0672">
        <w:rPr>
          <w:rStyle w:val="FootnoteReference"/>
          <w:rFonts w:ascii="Arial" w:hAnsi="Arial"/>
          <w:b/>
          <w:sz w:val="20"/>
          <w:szCs w:val="20"/>
          <w:lang w:val="en-GB"/>
        </w:rPr>
        <w:footnoteReference w:id="6"/>
      </w:r>
    </w:p>
    <w:tbl>
      <w:tblPr>
        <w:tblW w:w="8897" w:type="dxa"/>
        <w:jc w:val="center"/>
        <w:tblCellMar>
          <w:left w:w="0" w:type="dxa"/>
          <w:right w:w="0" w:type="dxa"/>
        </w:tblCellMar>
        <w:tblLook w:val="04A0" w:firstRow="1" w:lastRow="0" w:firstColumn="1" w:lastColumn="0" w:noHBand="0" w:noVBand="1"/>
      </w:tblPr>
      <w:tblGrid>
        <w:gridCol w:w="605"/>
        <w:gridCol w:w="7427"/>
        <w:gridCol w:w="865"/>
      </w:tblGrid>
      <w:tr w:rsidR="00B739C3" w:rsidRPr="001E5747" w14:paraId="2E94260E" w14:textId="77777777" w:rsidTr="00822DDE">
        <w:trPr>
          <w:trHeight w:val="437"/>
          <w:jc w:val="center"/>
        </w:trPr>
        <w:tc>
          <w:tcPr>
            <w:tcW w:w="605" w:type="dxa"/>
            <w:tcBorders>
              <w:top w:val="single" w:sz="12" w:space="0" w:color="auto"/>
              <w:left w:val="single" w:sz="12" w:space="0" w:color="auto"/>
              <w:bottom w:val="single" w:sz="12" w:space="0" w:color="auto"/>
              <w:right w:val="single" w:sz="8" w:space="0" w:color="auto"/>
            </w:tcBorders>
            <w:shd w:val="clear" w:color="auto" w:fill="D9D9D9"/>
            <w:noWrap/>
            <w:tcMar>
              <w:top w:w="0" w:type="dxa"/>
              <w:left w:w="108" w:type="dxa"/>
              <w:bottom w:w="0" w:type="dxa"/>
              <w:right w:w="108" w:type="dxa"/>
            </w:tcMar>
            <w:vAlign w:val="center"/>
            <w:hideMark/>
          </w:tcPr>
          <w:p w14:paraId="27071B33" w14:textId="77777777" w:rsidR="00B739C3" w:rsidRPr="001E5747" w:rsidRDefault="00B739C3" w:rsidP="00B739C3">
            <w:pPr>
              <w:jc w:val="center"/>
              <w:rPr>
                <w:rFonts w:ascii="Calibri" w:eastAsia="Calibri" w:hAnsi="Calibri"/>
                <w:b/>
                <w:bCs/>
                <w:color w:val="000000"/>
                <w:sz w:val="20"/>
                <w:szCs w:val="20"/>
                <w:lang w:val="en-GB"/>
              </w:rPr>
            </w:pPr>
            <w:r w:rsidRPr="001E5747">
              <w:rPr>
                <w:rFonts w:ascii="Calibri" w:eastAsia="Calibri" w:hAnsi="Calibri"/>
                <w:b/>
                <w:bCs/>
                <w:color w:val="000000"/>
                <w:sz w:val="20"/>
                <w:szCs w:val="20"/>
                <w:lang w:val="en-GB"/>
              </w:rPr>
              <w:t>#</w:t>
            </w:r>
          </w:p>
        </w:tc>
        <w:tc>
          <w:tcPr>
            <w:tcW w:w="7427" w:type="dxa"/>
            <w:tcBorders>
              <w:top w:val="single" w:sz="12" w:space="0" w:color="auto"/>
              <w:left w:val="nil"/>
              <w:bottom w:val="single" w:sz="12" w:space="0" w:color="auto"/>
              <w:right w:val="single" w:sz="8" w:space="0" w:color="auto"/>
            </w:tcBorders>
            <w:shd w:val="clear" w:color="auto" w:fill="D9D9D9"/>
            <w:noWrap/>
            <w:tcMar>
              <w:top w:w="0" w:type="dxa"/>
              <w:left w:w="108" w:type="dxa"/>
              <w:bottom w:w="0" w:type="dxa"/>
              <w:right w:w="108" w:type="dxa"/>
            </w:tcMar>
            <w:vAlign w:val="center"/>
            <w:hideMark/>
          </w:tcPr>
          <w:p w14:paraId="56AB4A5E" w14:textId="77777777" w:rsidR="00B739C3" w:rsidRPr="001E5747" w:rsidRDefault="00B739C3" w:rsidP="00B739C3">
            <w:pPr>
              <w:rPr>
                <w:rFonts w:ascii="Calibri" w:eastAsia="Calibri" w:hAnsi="Calibri"/>
                <w:b/>
                <w:bCs/>
                <w:color w:val="000000"/>
                <w:sz w:val="20"/>
                <w:szCs w:val="20"/>
                <w:lang w:val="en-GB"/>
              </w:rPr>
            </w:pPr>
            <w:r w:rsidRPr="001E5747">
              <w:rPr>
                <w:rFonts w:ascii="Calibri" w:eastAsia="Calibri" w:hAnsi="Calibri"/>
                <w:b/>
                <w:bCs/>
                <w:color w:val="000000"/>
                <w:sz w:val="20"/>
                <w:szCs w:val="20"/>
                <w:lang w:val="en-GB"/>
              </w:rPr>
              <w:t>Topic / Indicator field</w:t>
            </w:r>
          </w:p>
        </w:tc>
        <w:tc>
          <w:tcPr>
            <w:tcW w:w="865"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vAlign w:val="center"/>
            <w:hideMark/>
          </w:tcPr>
          <w:p w14:paraId="0450E5FF" w14:textId="77777777" w:rsidR="00B739C3" w:rsidRPr="001E5747" w:rsidRDefault="00B739C3" w:rsidP="00B739C3">
            <w:pPr>
              <w:tabs>
                <w:tab w:val="left" w:pos="743"/>
              </w:tabs>
              <w:ind w:left="-108"/>
              <w:jc w:val="center"/>
              <w:rPr>
                <w:rFonts w:ascii="Calibri" w:eastAsia="Calibri" w:hAnsi="Calibri"/>
                <w:color w:val="000000"/>
                <w:sz w:val="20"/>
                <w:szCs w:val="20"/>
                <w:lang w:val="en-GB"/>
              </w:rPr>
            </w:pPr>
            <w:r w:rsidRPr="001E5747">
              <w:rPr>
                <w:rFonts w:ascii="Calibri" w:eastAsia="Calibri" w:hAnsi="Calibri"/>
                <w:color w:val="000000"/>
                <w:sz w:val="18"/>
                <w:szCs w:val="18"/>
                <w:lang w:val="en-GB"/>
              </w:rPr>
              <w:t>#</w:t>
            </w:r>
            <w:r w:rsidR="002B5337">
              <w:rPr>
                <w:rFonts w:ascii="Calibri" w:eastAsia="Calibri" w:hAnsi="Calibri"/>
                <w:color w:val="000000"/>
                <w:sz w:val="18"/>
                <w:szCs w:val="18"/>
                <w:lang w:val="en-GB"/>
              </w:rPr>
              <w:t xml:space="preserve"> </w:t>
            </w:r>
            <w:r w:rsidRPr="001E5747">
              <w:rPr>
                <w:rFonts w:ascii="Calibri" w:eastAsia="Calibri" w:hAnsi="Calibri"/>
                <w:color w:val="000000"/>
                <w:sz w:val="18"/>
                <w:szCs w:val="18"/>
                <w:lang w:val="en-GB"/>
              </w:rPr>
              <w:t>max. of points</w:t>
            </w:r>
          </w:p>
        </w:tc>
      </w:tr>
      <w:tr w:rsidR="00B739C3" w:rsidRPr="001E5747" w14:paraId="0AAD28C6" w14:textId="77777777" w:rsidTr="00B739C3">
        <w:trPr>
          <w:trHeight w:val="274"/>
          <w:jc w:val="center"/>
        </w:trPr>
        <w:tc>
          <w:tcPr>
            <w:tcW w:w="8032" w:type="dxa"/>
            <w:gridSpan w:val="2"/>
            <w:tcBorders>
              <w:top w:val="single" w:sz="12" w:space="0" w:color="auto"/>
              <w:left w:val="single" w:sz="12" w:space="0" w:color="auto"/>
              <w:bottom w:val="single" w:sz="8" w:space="0" w:color="auto"/>
              <w:right w:val="single" w:sz="4" w:space="0" w:color="auto"/>
            </w:tcBorders>
            <w:shd w:val="clear" w:color="auto" w:fill="8DB4E2"/>
            <w:noWrap/>
            <w:tcMar>
              <w:top w:w="0" w:type="dxa"/>
              <w:left w:w="108" w:type="dxa"/>
              <w:bottom w:w="0" w:type="dxa"/>
              <w:right w:w="108" w:type="dxa"/>
            </w:tcMar>
            <w:vAlign w:val="center"/>
            <w:hideMark/>
          </w:tcPr>
          <w:p w14:paraId="0484A654" w14:textId="77777777" w:rsidR="00B739C3" w:rsidRPr="001E5747" w:rsidRDefault="00B739C3" w:rsidP="00B739C3">
            <w:pPr>
              <w:rPr>
                <w:rFonts w:ascii="Calibri" w:eastAsia="Calibri" w:hAnsi="Calibri"/>
                <w:b/>
                <w:bCs/>
                <w:color w:val="000000"/>
                <w:sz w:val="22"/>
                <w:szCs w:val="22"/>
                <w:lang w:val="en-GB"/>
              </w:rPr>
            </w:pPr>
            <w:r w:rsidRPr="001E5747">
              <w:rPr>
                <w:rFonts w:ascii="Calibri" w:eastAsia="Calibri" w:hAnsi="Calibri"/>
                <w:b/>
                <w:bCs/>
                <w:color w:val="000000"/>
                <w:sz w:val="22"/>
                <w:szCs w:val="22"/>
                <w:lang w:val="en-GB"/>
              </w:rPr>
              <w:t xml:space="preserve">I. DEMOCRATIC GOVERNANCE </w:t>
            </w:r>
          </w:p>
        </w:tc>
        <w:tc>
          <w:tcPr>
            <w:tcW w:w="865" w:type="dxa"/>
            <w:tcBorders>
              <w:top w:val="single" w:sz="12" w:space="0" w:color="auto"/>
              <w:left w:val="single" w:sz="4" w:space="0" w:color="auto"/>
              <w:bottom w:val="single" w:sz="8" w:space="0" w:color="auto"/>
              <w:right w:val="single" w:sz="12" w:space="0" w:color="auto"/>
            </w:tcBorders>
            <w:shd w:val="clear" w:color="auto" w:fill="8DB4E2"/>
            <w:noWrap/>
            <w:tcMar>
              <w:top w:w="0" w:type="dxa"/>
              <w:left w:w="108" w:type="dxa"/>
              <w:bottom w:w="0" w:type="dxa"/>
              <w:right w:w="108" w:type="dxa"/>
            </w:tcMar>
            <w:vAlign w:val="center"/>
            <w:hideMark/>
          </w:tcPr>
          <w:p w14:paraId="6FEDA3AD" w14:textId="77777777" w:rsidR="00B739C3" w:rsidRPr="001E5747" w:rsidRDefault="002B5337" w:rsidP="002B5337">
            <w:pPr>
              <w:jc w:val="center"/>
              <w:rPr>
                <w:rFonts w:ascii="Calibri" w:eastAsia="Calibri" w:hAnsi="Calibri"/>
                <w:b/>
                <w:bCs/>
                <w:color w:val="000000"/>
                <w:sz w:val="22"/>
                <w:szCs w:val="22"/>
                <w:lang w:val="en-GB"/>
              </w:rPr>
            </w:pPr>
            <w:r>
              <w:rPr>
                <w:rFonts w:ascii="Calibri" w:eastAsia="Calibri" w:hAnsi="Calibri"/>
                <w:b/>
                <w:bCs/>
                <w:color w:val="000000"/>
                <w:sz w:val="22"/>
                <w:szCs w:val="22"/>
                <w:lang w:val="en-GB"/>
              </w:rPr>
              <w:t>38</w:t>
            </w:r>
          </w:p>
        </w:tc>
      </w:tr>
      <w:tr w:rsidR="00B739C3" w:rsidRPr="001E5747" w14:paraId="697D98F6" w14:textId="77777777" w:rsidTr="00822DDE">
        <w:trPr>
          <w:trHeight w:val="237"/>
          <w:jc w:val="center"/>
        </w:trPr>
        <w:tc>
          <w:tcPr>
            <w:tcW w:w="605" w:type="dxa"/>
            <w:tcBorders>
              <w:top w:val="single" w:sz="8" w:space="0" w:color="auto"/>
              <w:left w:val="single" w:sz="12"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14:paraId="3001F066" w14:textId="77777777" w:rsidR="00B739C3" w:rsidRPr="001E5747" w:rsidRDefault="00B739C3" w:rsidP="00B739C3">
            <w:pPr>
              <w:rPr>
                <w:rFonts w:ascii="Calibri" w:eastAsia="Calibri" w:hAnsi="Calibri"/>
                <w:b/>
                <w:bCs/>
                <w:color w:val="000000"/>
                <w:sz w:val="20"/>
                <w:szCs w:val="20"/>
                <w:lang w:val="en-GB"/>
              </w:rPr>
            </w:pPr>
            <w:r w:rsidRPr="001E5747">
              <w:rPr>
                <w:rFonts w:ascii="Calibri" w:eastAsia="Calibri" w:hAnsi="Calibri"/>
                <w:b/>
                <w:bCs/>
                <w:color w:val="000000"/>
                <w:sz w:val="20"/>
                <w:szCs w:val="20"/>
                <w:lang w:val="en-GB"/>
              </w:rPr>
              <w:t>I</w:t>
            </w:r>
          </w:p>
        </w:tc>
        <w:tc>
          <w:tcPr>
            <w:tcW w:w="7427" w:type="dxa"/>
            <w:tcBorders>
              <w:top w:val="single" w:sz="8" w:space="0" w:color="auto"/>
              <w:left w:val="single" w:sz="4"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14:paraId="557042EF" w14:textId="77777777" w:rsidR="00B739C3" w:rsidRPr="001E5747" w:rsidRDefault="00B739C3" w:rsidP="00B739C3">
            <w:pPr>
              <w:rPr>
                <w:rFonts w:ascii="Calibri" w:eastAsia="Calibri" w:hAnsi="Calibri"/>
                <w:b/>
                <w:bCs/>
                <w:color w:val="000000"/>
                <w:sz w:val="20"/>
                <w:szCs w:val="20"/>
                <w:lang w:val="en-GB"/>
              </w:rPr>
            </w:pPr>
            <w:r w:rsidRPr="001E5747">
              <w:rPr>
                <w:rFonts w:ascii="Calibri" w:eastAsia="Calibri" w:hAnsi="Calibri"/>
                <w:b/>
                <w:bCs/>
                <w:color w:val="000000"/>
                <w:sz w:val="20"/>
                <w:szCs w:val="20"/>
                <w:lang w:val="en-GB"/>
              </w:rPr>
              <w:t>The role of the municipal assembly as an oversight body</w:t>
            </w:r>
          </w:p>
        </w:tc>
        <w:tc>
          <w:tcPr>
            <w:tcW w:w="865" w:type="dxa"/>
            <w:tcBorders>
              <w:top w:val="single" w:sz="8" w:space="0" w:color="auto"/>
              <w:left w:val="single" w:sz="4" w:space="0" w:color="auto"/>
              <w:bottom w:val="single" w:sz="8" w:space="0" w:color="auto"/>
              <w:right w:val="single" w:sz="12" w:space="0" w:color="auto"/>
            </w:tcBorders>
            <w:shd w:val="clear" w:color="auto" w:fill="D9D9D9"/>
            <w:noWrap/>
            <w:tcMar>
              <w:top w:w="0" w:type="dxa"/>
              <w:left w:w="108" w:type="dxa"/>
              <w:bottom w:w="0" w:type="dxa"/>
              <w:right w:w="108" w:type="dxa"/>
            </w:tcMar>
            <w:vAlign w:val="center"/>
            <w:hideMark/>
          </w:tcPr>
          <w:p w14:paraId="4EC4A869" w14:textId="373576A2" w:rsidR="00B739C3" w:rsidRPr="001E5747" w:rsidRDefault="00B739C3" w:rsidP="00B739C3">
            <w:pPr>
              <w:jc w:val="center"/>
              <w:rPr>
                <w:rFonts w:ascii="Calibri" w:eastAsia="Calibri" w:hAnsi="Calibri"/>
                <w:b/>
                <w:bCs/>
                <w:color w:val="000000"/>
                <w:sz w:val="20"/>
                <w:szCs w:val="20"/>
                <w:lang w:val="en-GB"/>
              </w:rPr>
            </w:pPr>
            <w:r w:rsidRPr="001E5747">
              <w:rPr>
                <w:rFonts w:ascii="Calibri" w:eastAsia="Calibri" w:hAnsi="Calibri"/>
                <w:b/>
                <w:bCs/>
                <w:color w:val="000000"/>
                <w:sz w:val="20"/>
                <w:szCs w:val="20"/>
                <w:lang w:val="en-GB"/>
              </w:rPr>
              <w:t>1</w:t>
            </w:r>
            <w:r w:rsidR="00736622">
              <w:rPr>
                <w:rFonts w:ascii="Calibri" w:eastAsia="Calibri" w:hAnsi="Calibri"/>
                <w:b/>
                <w:bCs/>
                <w:color w:val="000000"/>
                <w:sz w:val="20"/>
                <w:szCs w:val="20"/>
                <w:lang w:val="en-GB"/>
              </w:rPr>
              <w:t>1</w:t>
            </w:r>
          </w:p>
        </w:tc>
      </w:tr>
      <w:tr w:rsidR="00B739C3" w:rsidRPr="001E5747" w14:paraId="6BDA4FB5" w14:textId="77777777" w:rsidTr="00822DDE">
        <w:trPr>
          <w:trHeight w:val="284"/>
          <w:jc w:val="center"/>
        </w:trPr>
        <w:tc>
          <w:tcPr>
            <w:tcW w:w="605" w:type="dxa"/>
            <w:tcBorders>
              <w:top w:val="single" w:sz="8" w:space="0" w:color="auto"/>
              <w:left w:val="single" w:sz="12"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126206E3" w14:textId="77777777" w:rsidR="00B739C3" w:rsidRPr="001E5747" w:rsidRDefault="00B739C3" w:rsidP="00B739C3">
            <w:pPr>
              <w:jc w:val="center"/>
              <w:rPr>
                <w:rFonts w:ascii="Calibri" w:eastAsia="Calibri" w:hAnsi="Calibri"/>
                <w:color w:val="000000"/>
                <w:sz w:val="19"/>
                <w:szCs w:val="19"/>
                <w:lang w:val="en-GB"/>
              </w:rPr>
            </w:pPr>
            <w:r w:rsidRPr="001E5747">
              <w:rPr>
                <w:rFonts w:ascii="Calibri" w:eastAsia="Calibri" w:hAnsi="Calibri"/>
                <w:color w:val="000000"/>
                <w:sz w:val="19"/>
                <w:szCs w:val="19"/>
                <w:lang w:val="en-GB"/>
              </w:rPr>
              <w:t>1</w:t>
            </w:r>
          </w:p>
        </w:tc>
        <w:tc>
          <w:tcPr>
            <w:tcW w:w="7427" w:type="dxa"/>
            <w:tcBorders>
              <w:top w:val="single" w:sz="8" w:space="0" w:color="auto"/>
              <w:left w:val="single" w:sz="4"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55AEED0F" w14:textId="77777777" w:rsidR="00B739C3" w:rsidRPr="001E5747" w:rsidRDefault="00B739C3" w:rsidP="00B739C3">
            <w:pPr>
              <w:rPr>
                <w:rFonts w:ascii="Calibri" w:eastAsia="Calibri" w:hAnsi="Calibri"/>
                <w:color w:val="000000"/>
                <w:sz w:val="19"/>
                <w:szCs w:val="19"/>
                <w:lang w:val="en-GB"/>
              </w:rPr>
            </w:pPr>
            <w:r w:rsidRPr="001E5747">
              <w:rPr>
                <w:rFonts w:ascii="Calibri" w:hAnsi="Calibri" w:cs="Calibri"/>
                <w:color w:val="000000"/>
                <w:sz w:val="19"/>
                <w:szCs w:val="19"/>
                <w:lang w:val="en-GB"/>
              </w:rPr>
              <w:t>Timely approval of the annual municipal budget proposal</w:t>
            </w:r>
          </w:p>
        </w:tc>
        <w:tc>
          <w:tcPr>
            <w:tcW w:w="865" w:type="dxa"/>
            <w:tcBorders>
              <w:top w:val="single" w:sz="8" w:space="0" w:color="auto"/>
              <w:left w:val="single" w:sz="4" w:space="0" w:color="auto"/>
              <w:bottom w:val="single" w:sz="4" w:space="0" w:color="auto"/>
              <w:right w:val="single" w:sz="12" w:space="0" w:color="auto"/>
            </w:tcBorders>
            <w:shd w:val="clear" w:color="auto" w:fill="C2D69B" w:themeFill="accent3" w:themeFillTint="99"/>
            <w:tcMar>
              <w:top w:w="0" w:type="dxa"/>
              <w:left w:w="108" w:type="dxa"/>
              <w:bottom w:w="0" w:type="dxa"/>
              <w:right w:w="108" w:type="dxa"/>
            </w:tcMar>
            <w:vAlign w:val="center"/>
            <w:hideMark/>
          </w:tcPr>
          <w:p w14:paraId="32C933F0" w14:textId="77777777" w:rsidR="00B739C3" w:rsidRPr="001E5747" w:rsidRDefault="00B739C3" w:rsidP="00B739C3">
            <w:pPr>
              <w:jc w:val="center"/>
              <w:rPr>
                <w:rFonts w:ascii="Calibri" w:eastAsia="Calibri" w:hAnsi="Calibri"/>
                <w:color w:val="000000"/>
                <w:sz w:val="19"/>
                <w:szCs w:val="19"/>
                <w:lang w:val="en-GB"/>
              </w:rPr>
            </w:pPr>
            <w:r w:rsidRPr="001E5747">
              <w:rPr>
                <w:rFonts w:ascii="Calibri" w:eastAsia="Calibri" w:hAnsi="Calibri"/>
                <w:color w:val="000000"/>
                <w:sz w:val="19"/>
                <w:szCs w:val="19"/>
                <w:lang w:val="en-GB"/>
              </w:rPr>
              <w:t>2</w:t>
            </w:r>
          </w:p>
        </w:tc>
      </w:tr>
      <w:tr w:rsidR="00B739C3" w:rsidRPr="001E5747" w14:paraId="41EA0558" w14:textId="77777777" w:rsidTr="00822DDE">
        <w:trPr>
          <w:trHeight w:val="284"/>
          <w:jc w:val="center"/>
        </w:trPr>
        <w:tc>
          <w:tcPr>
            <w:tcW w:w="605" w:type="dxa"/>
            <w:tcBorders>
              <w:top w:val="single" w:sz="4" w:space="0" w:color="auto"/>
              <w:left w:val="single" w:sz="12" w:space="0" w:color="auto"/>
              <w:bottom w:val="single" w:sz="4" w:space="0" w:color="auto"/>
              <w:right w:val="single" w:sz="4" w:space="0" w:color="auto"/>
            </w:tcBorders>
            <w:shd w:val="clear" w:color="auto" w:fill="C4D79B"/>
            <w:tcMar>
              <w:top w:w="0" w:type="dxa"/>
              <w:left w:w="108" w:type="dxa"/>
              <w:bottom w:w="0" w:type="dxa"/>
              <w:right w:w="108" w:type="dxa"/>
            </w:tcMar>
            <w:vAlign w:val="center"/>
            <w:hideMark/>
          </w:tcPr>
          <w:p w14:paraId="3130C492" w14:textId="77777777" w:rsidR="00B739C3" w:rsidRPr="001E5747" w:rsidRDefault="00B739C3" w:rsidP="00B739C3">
            <w:pPr>
              <w:jc w:val="center"/>
              <w:rPr>
                <w:rFonts w:ascii="Calibri" w:eastAsia="Calibri" w:hAnsi="Calibri"/>
                <w:color w:val="000000"/>
                <w:sz w:val="19"/>
                <w:szCs w:val="19"/>
                <w:lang w:val="en-GB"/>
              </w:rPr>
            </w:pPr>
            <w:r w:rsidRPr="001E5747">
              <w:rPr>
                <w:rFonts w:ascii="Calibri" w:eastAsia="Calibri" w:hAnsi="Calibri"/>
                <w:color w:val="000000"/>
                <w:sz w:val="19"/>
                <w:szCs w:val="19"/>
                <w:lang w:val="en-GB"/>
              </w:rPr>
              <w:t>2</w:t>
            </w:r>
          </w:p>
        </w:tc>
        <w:tc>
          <w:tcPr>
            <w:tcW w:w="7427" w:type="dxa"/>
            <w:tcBorders>
              <w:top w:val="single" w:sz="4" w:space="0" w:color="auto"/>
              <w:left w:val="single" w:sz="4" w:space="0" w:color="auto"/>
              <w:bottom w:val="single" w:sz="4" w:space="0" w:color="auto"/>
              <w:right w:val="single" w:sz="4" w:space="0" w:color="auto"/>
            </w:tcBorders>
            <w:shd w:val="clear" w:color="auto" w:fill="C4D79B"/>
            <w:tcMar>
              <w:top w:w="0" w:type="dxa"/>
              <w:left w:w="108" w:type="dxa"/>
              <w:bottom w:w="0" w:type="dxa"/>
              <w:right w:w="108" w:type="dxa"/>
            </w:tcMar>
            <w:vAlign w:val="center"/>
            <w:hideMark/>
          </w:tcPr>
          <w:p w14:paraId="36F1EB95" w14:textId="77777777" w:rsidR="00B739C3" w:rsidRPr="001E5747" w:rsidRDefault="00B739C3" w:rsidP="00B739C3">
            <w:pPr>
              <w:ind w:right="-108"/>
              <w:rPr>
                <w:rFonts w:ascii="Calibri" w:eastAsia="Calibri" w:hAnsi="Calibri"/>
                <w:color w:val="000000"/>
                <w:sz w:val="19"/>
                <w:szCs w:val="19"/>
                <w:lang w:val="en-GB"/>
              </w:rPr>
            </w:pPr>
            <w:r w:rsidRPr="001E5747">
              <w:rPr>
                <w:rFonts w:ascii="Calibri" w:hAnsi="Calibri" w:cs="Calibri"/>
                <w:color w:val="000000"/>
                <w:sz w:val="19"/>
                <w:szCs w:val="19"/>
                <w:lang w:val="en-GB"/>
              </w:rPr>
              <w:t>Discussion of quarterly budget reports by the Municipal Assembly</w:t>
            </w:r>
          </w:p>
        </w:tc>
        <w:tc>
          <w:tcPr>
            <w:tcW w:w="865" w:type="dxa"/>
            <w:tcBorders>
              <w:top w:val="single" w:sz="4" w:space="0" w:color="auto"/>
              <w:left w:val="single" w:sz="4" w:space="0" w:color="auto"/>
              <w:bottom w:val="single" w:sz="4" w:space="0" w:color="auto"/>
              <w:right w:val="single" w:sz="12" w:space="0" w:color="auto"/>
            </w:tcBorders>
            <w:shd w:val="clear" w:color="auto" w:fill="C4D79B"/>
            <w:tcMar>
              <w:top w:w="0" w:type="dxa"/>
              <w:left w:w="108" w:type="dxa"/>
              <w:bottom w:w="0" w:type="dxa"/>
              <w:right w:w="108" w:type="dxa"/>
            </w:tcMar>
            <w:vAlign w:val="center"/>
            <w:hideMark/>
          </w:tcPr>
          <w:p w14:paraId="79E78519" w14:textId="77777777" w:rsidR="00B739C3" w:rsidRPr="001E5747" w:rsidRDefault="00B739C3" w:rsidP="00B739C3">
            <w:pPr>
              <w:jc w:val="center"/>
              <w:rPr>
                <w:rFonts w:ascii="Calibri" w:eastAsia="Calibri" w:hAnsi="Calibri"/>
                <w:color w:val="000000"/>
                <w:sz w:val="19"/>
                <w:szCs w:val="19"/>
                <w:lang w:val="en-GB"/>
              </w:rPr>
            </w:pPr>
            <w:r w:rsidRPr="001E5747">
              <w:rPr>
                <w:rFonts w:ascii="Calibri" w:eastAsia="Calibri" w:hAnsi="Calibri"/>
                <w:color w:val="000000"/>
                <w:sz w:val="19"/>
                <w:szCs w:val="19"/>
                <w:lang w:val="en-GB"/>
              </w:rPr>
              <w:t>3</w:t>
            </w:r>
          </w:p>
        </w:tc>
      </w:tr>
      <w:tr w:rsidR="00B739C3" w:rsidRPr="001E5747" w14:paraId="5E2A75A0" w14:textId="77777777" w:rsidTr="00EF13F3">
        <w:trPr>
          <w:trHeight w:val="284"/>
          <w:jc w:val="center"/>
        </w:trPr>
        <w:tc>
          <w:tcPr>
            <w:tcW w:w="605" w:type="dxa"/>
            <w:tcBorders>
              <w:top w:val="single" w:sz="4" w:space="0" w:color="auto"/>
              <w:left w:val="single" w:sz="12" w:space="0" w:color="auto"/>
              <w:bottom w:val="single" w:sz="4" w:space="0" w:color="auto"/>
              <w:right w:val="single" w:sz="4" w:space="0" w:color="auto"/>
            </w:tcBorders>
            <w:shd w:val="clear" w:color="auto" w:fill="FFC000"/>
            <w:tcMar>
              <w:top w:w="0" w:type="dxa"/>
              <w:left w:w="108" w:type="dxa"/>
              <w:bottom w:w="0" w:type="dxa"/>
              <w:right w:w="108" w:type="dxa"/>
            </w:tcMar>
            <w:vAlign w:val="center"/>
            <w:hideMark/>
          </w:tcPr>
          <w:p w14:paraId="49DBE526" w14:textId="77777777" w:rsidR="00B739C3" w:rsidRPr="001E5747" w:rsidRDefault="00B739C3" w:rsidP="00B739C3">
            <w:pPr>
              <w:jc w:val="center"/>
              <w:rPr>
                <w:rFonts w:ascii="Calibri" w:eastAsia="Calibri" w:hAnsi="Calibri"/>
                <w:color w:val="000000"/>
                <w:sz w:val="19"/>
                <w:szCs w:val="19"/>
                <w:lang w:val="en-GB"/>
              </w:rPr>
            </w:pPr>
            <w:r w:rsidRPr="001E5747">
              <w:rPr>
                <w:rFonts w:ascii="Calibri" w:eastAsia="Calibri" w:hAnsi="Calibri"/>
                <w:color w:val="000000"/>
                <w:sz w:val="19"/>
                <w:szCs w:val="19"/>
                <w:lang w:val="en-GB"/>
              </w:rPr>
              <w:t>3</w:t>
            </w:r>
          </w:p>
        </w:tc>
        <w:tc>
          <w:tcPr>
            <w:tcW w:w="7427" w:type="dxa"/>
            <w:tcBorders>
              <w:top w:val="single" w:sz="4" w:space="0" w:color="auto"/>
              <w:left w:val="single" w:sz="4" w:space="0" w:color="auto"/>
              <w:bottom w:val="single" w:sz="4" w:space="0" w:color="auto"/>
              <w:right w:val="single" w:sz="4" w:space="0" w:color="auto"/>
            </w:tcBorders>
            <w:shd w:val="clear" w:color="auto" w:fill="FFC000"/>
            <w:tcMar>
              <w:top w:w="0" w:type="dxa"/>
              <w:left w:w="108" w:type="dxa"/>
              <w:bottom w:w="0" w:type="dxa"/>
              <w:right w:w="108" w:type="dxa"/>
            </w:tcMar>
            <w:vAlign w:val="center"/>
            <w:hideMark/>
          </w:tcPr>
          <w:p w14:paraId="13F2B707" w14:textId="77777777" w:rsidR="00B739C3" w:rsidRPr="001E5747" w:rsidRDefault="00B739C3" w:rsidP="00B739C3">
            <w:pPr>
              <w:rPr>
                <w:rFonts w:ascii="Calibri" w:eastAsia="Calibri" w:hAnsi="Calibri"/>
                <w:color w:val="000000"/>
                <w:sz w:val="19"/>
                <w:szCs w:val="19"/>
                <w:lang w:val="en-GB"/>
              </w:rPr>
            </w:pPr>
            <w:r w:rsidRPr="001E5747">
              <w:rPr>
                <w:rFonts w:ascii="Calibri" w:hAnsi="Calibri" w:cs="Calibri"/>
                <w:color w:val="000000"/>
                <w:sz w:val="19"/>
                <w:szCs w:val="19"/>
                <w:lang w:val="en-GB"/>
              </w:rPr>
              <w:t>Discussion on the municipal performance report by the Municipal Assembly for the previous year</w:t>
            </w:r>
          </w:p>
        </w:tc>
        <w:tc>
          <w:tcPr>
            <w:tcW w:w="865" w:type="dxa"/>
            <w:tcBorders>
              <w:top w:val="single" w:sz="4" w:space="0" w:color="auto"/>
              <w:left w:val="single" w:sz="4" w:space="0" w:color="auto"/>
              <w:bottom w:val="single" w:sz="4" w:space="0" w:color="auto"/>
              <w:right w:val="single" w:sz="12" w:space="0" w:color="auto"/>
            </w:tcBorders>
            <w:shd w:val="clear" w:color="auto" w:fill="FFC000"/>
            <w:tcMar>
              <w:top w:w="0" w:type="dxa"/>
              <w:left w:w="108" w:type="dxa"/>
              <w:bottom w:w="0" w:type="dxa"/>
              <w:right w:w="108" w:type="dxa"/>
            </w:tcMar>
            <w:vAlign w:val="center"/>
            <w:hideMark/>
          </w:tcPr>
          <w:p w14:paraId="61644150" w14:textId="7E37FDDB" w:rsidR="00B739C3" w:rsidRPr="001E5747" w:rsidRDefault="00B739C3" w:rsidP="00B739C3">
            <w:pPr>
              <w:jc w:val="center"/>
              <w:rPr>
                <w:rFonts w:ascii="Calibri" w:eastAsia="Calibri" w:hAnsi="Calibri"/>
                <w:color w:val="000000"/>
                <w:sz w:val="19"/>
                <w:szCs w:val="19"/>
                <w:lang w:val="en-GB"/>
              </w:rPr>
            </w:pPr>
            <w:r w:rsidRPr="001E5747">
              <w:rPr>
                <w:rFonts w:ascii="Calibri" w:eastAsia="Calibri" w:hAnsi="Calibri"/>
                <w:color w:val="000000"/>
                <w:sz w:val="19"/>
                <w:szCs w:val="19"/>
                <w:lang w:val="en-GB"/>
              </w:rPr>
              <w:t>2</w:t>
            </w:r>
            <w:r w:rsidR="00AB21AF">
              <w:rPr>
                <w:rStyle w:val="FootnoteReference"/>
                <w:rFonts w:ascii="Calibri" w:eastAsia="Calibri" w:hAnsi="Calibri"/>
                <w:color w:val="000000"/>
                <w:sz w:val="19"/>
                <w:szCs w:val="19"/>
                <w:lang w:val="en-GB"/>
              </w:rPr>
              <w:footnoteReference w:id="7"/>
            </w:r>
          </w:p>
        </w:tc>
      </w:tr>
      <w:tr w:rsidR="00B739C3" w:rsidRPr="001E5747" w14:paraId="467238C7" w14:textId="77777777" w:rsidTr="00822DDE">
        <w:trPr>
          <w:trHeight w:val="284"/>
          <w:jc w:val="center"/>
        </w:trPr>
        <w:tc>
          <w:tcPr>
            <w:tcW w:w="605" w:type="dxa"/>
            <w:tcBorders>
              <w:top w:val="single" w:sz="4" w:space="0" w:color="auto"/>
              <w:left w:val="single" w:sz="12" w:space="0" w:color="auto"/>
              <w:bottom w:val="single" w:sz="4" w:space="0" w:color="auto"/>
              <w:right w:val="single" w:sz="4" w:space="0" w:color="auto"/>
            </w:tcBorders>
            <w:shd w:val="clear" w:color="auto" w:fill="C4D79B"/>
            <w:tcMar>
              <w:top w:w="0" w:type="dxa"/>
              <w:left w:w="108" w:type="dxa"/>
              <w:bottom w:w="0" w:type="dxa"/>
              <w:right w:w="108" w:type="dxa"/>
            </w:tcMar>
            <w:vAlign w:val="center"/>
            <w:hideMark/>
          </w:tcPr>
          <w:p w14:paraId="1DEF539E" w14:textId="77777777" w:rsidR="00B739C3" w:rsidRPr="001E5747" w:rsidRDefault="00B739C3" w:rsidP="00B739C3">
            <w:pPr>
              <w:jc w:val="center"/>
              <w:rPr>
                <w:rFonts w:ascii="Calibri" w:eastAsia="Calibri" w:hAnsi="Calibri"/>
                <w:color w:val="000000"/>
                <w:sz w:val="19"/>
                <w:szCs w:val="19"/>
                <w:lang w:val="en-GB"/>
              </w:rPr>
            </w:pPr>
            <w:r w:rsidRPr="001E5747">
              <w:rPr>
                <w:rFonts w:ascii="Calibri" w:eastAsia="Calibri" w:hAnsi="Calibri"/>
                <w:color w:val="000000"/>
                <w:sz w:val="19"/>
                <w:szCs w:val="19"/>
                <w:lang w:val="en-GB"/>
              </w:rPr>
              <w:t>4</w:t>
            </w:r>
          </w:p>
        </w:tc>
        <w:tc>
          <w:tcPr>
            <w:tcW w:w="7427" w:type="dxa"/>
            <w:tcBorders>
              <w:top w:val="single" w:sz="4" w:space="0" w:color="auto"/>
              <w:left w:val="single" w:sz="4" w:space="0" w:color="auto"/>
              <w:bottom w:val="single" w:sz="4" w:space="0" w:color="auto"/>
              <w:right w:val="single" w:sz="4" w:space="0" w:color="auto"/>
            </w:tcBorders>
            <w:shd w:val="clear" w:color="auto" w:fill="C4D79B"/>
            <w:tcMar>
              <w:top w:w="0" w:type="dxa"/>
              <w:left w:w="108" w:type="dxa"/>
              <w:bottom w:w="0" w:type="dxa"/>
              <w:right w:w="108" w:type="dxa"/>
            </w:tcMar>
            <w:vAlign w:val="center"/>
            <w:hideMark/>
          </w:tcPr>
          <w:p w14:paraId="01679BBC" w14:textId="77777777" w:rsidR="00B739C3" w:rsidRPr="001E5747" w:rsidRDefault="00B739C3" w:rsidP="00B739C3">
            <w:pPr>
              <w:rPr>
                <w:rFonts w:ascii="Calibri" w:eastAsia="Calibri" w:hAnsi="Calibri"/>
                <w:color w:val="000000"/>
                <w:sz w:val="19"/>
                <w:szCs w:val="19"/>
                <w:lang w:val="en-GB"/>
              </w:rPr>
            </w:pPr>
            <w:r w:rsidRPr="001E5747">
              <w:rPr>
                <w:rFonts w:ascii="Calibri" w:hAnsi="Calibri" w:cs="Calibri"/>
                <w:color w:val="000000"/>
                <w:sz w:val="19"/>
                <w:szCs w:val="19"/>
                <w:lang w:val="en-GB"/>
              </w:rPr>
              <w:t>Discussion of the external auditor's report and action plan for addressing the recommendations as well as discussion of the findings and recommendations from the internal audit in the Municipal Assembly</w:t>
            </w:r>
          </w:p>
        </w:tc>
        <w:tc>
          <w:tcPr>
            <w:tcW w:w="865" w:type="dxa"/>
            <w:tcBorders>
              <w:top w:val="single" w:sz="4" w:space="0" w:color="auto"/>
              <w:left w:val="single" w:sz="4" w:space="0" w:color="auto"/>
              <w:bottom w:val="single" w:sz="4" w:space="0" w:color="auto"/>
              <w:right w:val="single" w:sz="12" w:space="0" w:color="auto"/>
            </w:tcBorders>
            <w:shd w:val="clear" w:color="auto" w:fill="C4D79B"/>
            <w:tcMar>
              <w:top w:w="0" w:type="dxa"/>
              <w:left w:w="108" w:type="dxa"/>
              <w:bottom w:w="0" w:type="dxa"/>
              <w:right w:w="108" w:type="dxa"/>
            </w:tcMar>
            <w:vAlign w:val="center"/>
            <w:hideMark/>
          </w:tcPr>
          <w:p w14:paraId="7ECE2BC6" w14:textId="77777777" w:rsidR="00B739C3" w:rsidRPr="001E5747" w:rsidRDefault="00B739C3" w:rsidP="00B739C3">
            <w:pPr>
              <w:jc w:val="center"/>
              <w:rPr>
                <w:rFonts w:ascii="Calibri" w:eastAsia="Calibri" w:hAnsi="Calibri"/>
                <w:color w:val="000000"/>
                <w:sz w:val="19"/>
                <w:szCs w:val="19"/>
                <w:lang w:val="en-GB"/>
              </w:rPr>
            </w:pPr>
            <w:r w:rsidRPr="001E5747">
              <w:rPr>
                <w:rFonts w:ascii="Calibri" w:eastAsia="Calibri" w:hAnsi="Calibri"/>
                <w:color w:val="000000"/>
                <w:sz w:val="19"/>
                <w:szCs w:val="19"/>
                <w:lang w:val="en-GB"/>
              </w:rPr>
              <w:t>4</w:t>
            </w:r>
          </w:p>
        </w:tc>
      </w:tr>
      <w:tr w:rsidR="00B739C3" w:rsidRPr="001E5747" w14:paraId="69187547" w14:textId="77777777" w:rsidTr="00822DDE">
        <w:trPr>
          <w:trHeight w:val="284"/>
          <w:jc w:val="center"/>
        </w:trPr>
        <w:tc>
          <w:tcPr>
            <w:tcW w:w="605" w:type="dxa"/>
            <w:tcBorders>
              <w:top w:val="single" w:sz="4" w:space="0" w:color="auto"/>
              <w:left w:val="single" w:sz="12"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26F8F440" w14:textId="77777777" w:rsidR="00B739C3" w:rsidRPr="001E5747" w:rsidRDefault="00B739C3" w:rsidP="00B739C3">
            <w:pPr>
              <w:jc w:val="center"/>
              <w:rPr>
                <w:rFonts w:ascii="Calibri" w:eastAsia="Calibri" w:hAnsi="Calibri"/>
                <w:color w:val="000000"/>
                <w:sz w:val="19"/>
                <w:szCs w:val="19"/>
                <w:lang w:val="en-GB"/>
              </w:rPr>
            </w:pPr>
            <w:r w:rsidRPr="001E5747">
              <w:rPr>
                <w:rFonts w:ascii="Calibri" w:eastAsia="Calibri" w:hAnsi="Calibri"/>
                <w:color w:val="000000"/>
                <w:sz w:val="19"/>
                <w:szCs w:val="19"/>
                <w:lang w:val="en-GB"/>
              </w:rPr>
              <w:t>5</w:t>
            </w:r>
          </w:p>
        </w:tc>
        <w:tc>
          <w:tcPr>
            <w:tcW w:w="7427" w:type="dxa"/>
            <w:tcBorders>
              <w:top w:val="single" w:sz="4" w:space="0" w:color="auto"/>
              <w:left w:val="single" w:sz="4"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37BEF971" w14:textId="77777777" w:rsidR="00B739C3" w:rsidRPr="001E5747" w:rsidRDefault="00B739C3" w:rsidP="00B739C3">
            <w:pPr>
              <w:rPr>
                <w:rFonts w:ascii="Calibri" w:eastAsia="Calibri" w:hAnsi="Calibri"/>
                <w:color w:val="000000"/>
                <w:sz w:val="19"/>
                <w:szCs w:val="19"/>
                <w:lang w:val="en-GB"/>
              </w:rPr>
            </w:pPr>
            <w:r w:rsidRPr="001E5747">
              <w:rPr>
                <w:rFonts w:ascii="Calibri" w:hAnsi="Calibri" w:cs="Calibri"/>
                <w:color w:val="000000"/>
                <w:sz w:val="19"/>
                <w:szCs w:val="19"/>
                <w:lang w:val="en-GB"/>
              </w:rPr>
              <w:t>Municipal Assembly meetings with the participation of the Mayor</w:t>
            </w:r>
          </w:p>
        </w:tc>
        <w:tc>
          <w:tcPr>
            <w:tcW w:w="865" w:type="dxa"/>
            <w:tcBorders>
              <w:top w:val="single" w:sz="4" w:space="0" w:color="auto"/>
              <w:left w:val="single" w:sz="4" w:space="0" w:color="auto"/>
              <w:bottom w:val="single" w:sz="8" w:space="0" w:color="auto"/>
              <w:right w:val="single" w:sz="12" w:space="0" w:color="auto"/>
            </w:tcBorders>
            <w:shd w:val="clear" w:color="auto" w:fill="C2D69B" w:themeFill="accent3" w:themeFillTint="99"/>
            <w:tcMar>
              <w:top w:w="0" w:type="dxa"/>
              <w:left w:w="108" w:type="dxa"/>
              <w:bottom w:w="0" w:type="dxa"/>
              <w:right w:w="108" w:type="dxa"/>
            </w:tcMar>
            <w:vAlign w:val="center"/>
            <w:hideMark/>
          </w:tcPr>
          <w:p w14:paraId="347434C0" w14:textId="77777777" w:rsidR="00B739C3" w:rsidRPr="001E5747" w:rsidRDefault="00B739C3" w:rsidP="00B739C3">
            <w:pPr>
              <w:jc w:val="center"/>
              <w:rPr>
                <w:rFonts w:ascii="Calibri" w:eastAsia="Calibri" w:hAnsi="Calibri"/>
                <w:color w:val="000000"/>
                <w:sz w:val="19"/>
                <w:szCs w:val="19"/>
                <w:lang w:val="en-GB"/>
              </w:rPr>
            </w:pPr>
            <w:r w:rsidRPr="001E5747">
              <w:rPr>
                <w:rFonts w:ascii="Calibri" w:eastAsia="Calibri" w:hAnsi="Calibri"/>
                <w:color w:val="000000"/>
                <w:sz w:val="19"/>
                <w:szCs w:val="19"/>
                <w:lang w:val="en-GB"/>
              </w:rPr>
              <w:t>2</w:t>
            </w:r>
          </w:p>
        </w:tc>
      </w:tr>
      <w:tr w:rsidR="00B739C3" w:rsidRPr="001E5747" w14:paraId="3EA8CE7F" w14:textId="77777777" w:rsidTr="00822DDE">
        <w:trPr>
          <w:trHeight w:val="284"/>
          <w:jc w:val="center"/>
        </w:trPr>
        <w:tc>
          <w:tcPr>
            <w:tcW w:w="605" w:type="dxa"/>
            <w:tcBorders>
              <w:top w:val="single" w:sz="8" w:space="0" w:color="auto"/>
              <w:left w:val="single" w:sz="12" w:space="0" w:color="auto"/>
              <w:bottom w:val="single" w:sz="8"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6A58023A" w14:textId="77777777" w:rsidR="00B739C3" w:rsidRPr="001E5747" w:rsidRDefault="00B739C3" w:rsidP="00B739C3">
            <w:pPr>
              <w:rPr>
                <w:rFonts w:ascii="Calibri" w:eastAsia="Calibri" w:hAnsi="Calibri"/>
                <w:b/>
                <w:bCs/>
                <w:color w:val="000000"/>
                <w:sz w:val="20"/>
                <w:szCs w:val="20"/>
                <w:lang w:val="en-GB"/>
              </w:rPr>
            </w:pPr>
            <w:r w:rsidRPr="001E5747">
              <w:rPr>
                <w:rFonts w:ascii="Calibri" w:eastAsia="Calibri" w:hAnsi="Calibri"/>
                <w:b/>
                <w:bCs/>
                <w:color w:val="000000"/>
                <w:sz w:val="20"/>
                <w:szCs w:val="20"/>
                <w:lang w:val="en-GB"/>
              </w:rPr>
              <w:t>II</w:t>
            </w:r>
          </w:p>
        </w:tc>
        <w:tc>
          <w:tcPr>
            <w:tcW w:w="7427" w:type="dxa"/>
            <w:tcBorders>
              <w:top w:val="single" w:sz="8" w:space="0" w:color="auto"/>
              <w:left w:val="single" w:sz="4" w:space="0" w:color="auto"/>
              <w:bottom w:val="single" w:sz="8"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4D5A5851" w14:textId="77777777" w:rsidR="00B739C3" w:rsidRPr="001E5747" w:rsidRDefault="003C772E" w:rsidP="00B739C3">
            <w:pPr>
              <w:rPr>
                <w:rFonts w:ascii="Calibri" w:eastAsia="Calibri" w:hAnsi="Calibri"/>
                <w:b/>
                <w:bCs/>
                <w:color w:val="000000"/>
                <w:sz w:val="20"/>
                <w:szCs w:val="20"/>
                <w:lang w:val="en-GB"/>
              </w:rPr>
            </w:pPr>
            <w:r w:rsidRPr="001E5747">
              <w:rPr>
                <w:rFonts w:ascii="Calibri" w:eastAsia="Calibri" w:hAnsi="Calibri"/>
                <w:b/>
                <w:bCs/>
                <w:color w:val="000000"/>
                <w:sz w:val="20"/>
                <w:szCs w:val="20"/>
                <w:lang w:val="en-GB"/>
              </w:rPr>
              <w:t>Citizen participation, consultation and inclusiveness</w:t>
            </w:r>
          </w:p>
        </w:tc>
        <w:tc>
          <w:tcPr>
            <w:tcW w:w="865" w:type="dxa"/>
            <w:tcBorders>
              <w:top w:val="single" w:sz="8" w:space="0" w:color="auto"/>
              <w:left w:val="single" w:sz="4" w:space="0" w:color="auto"/>
              <w:bottom w:val="single" w:sz="8" w:space="0" w:color="auto"/>
              <w:right w:val="single" w:sz="12" w:space="0" w:color="auto"/>
            </w:tcBorders>
            <w:shd w:val="clear" w:color="auto" w:fill="D9D9D9" w:themeFill="background1" w:themeFillShade="D9"/>
            <w:tcMar>
              <w:top w:w="0" w:type="dxa"/>
              <w:left w:w="108" w:type="dxa"/>
              <w:bottom w:w="0" w:type="dxa"/>
              <w:right w:w="108" w:type="dxa"/>
            </w:tcMar>
            <w:vAlign w:val="center"/>
            <w:hideMark/>
          </w:tcPr>
          <w:p w14:paraId="1DFAEED3" w14:textId="1914EDC2" w:rsidR="00B739C3" w:rsidRPr="001E5747" w:rsidRDefault="00184600" w:rsidP="002B5337">
            <w:pPr>
              <w:jc w:val="center"/>
              <w:rPr>
                <w:rFonts w:ascii="Calibri" w:eastAsia="Calibri" w:hAnsi="Calibri"/>
                <w:b/>
                <w:bCs/>
                <w:color w:val="000000"/>
                <w:sz w:val="22"/>
                <w:szCs w:val="22"/>
                <w:lang w:val="en-GB"/>
              </w:rPr>
            </w:pPr>
            <w:r>
              <w:rPr>
                <w:rFonts w:ascii="Calibri" w:eastAsia="Calibri" w:hAnsi="Calibri"/>
                <w:b/>
                <w:bCs/>
                <w:color w:val="000000"/>
                <w:sz w:val="22"/>
                <w:szCs w:val="22"/>
                <w:lang w:val="en-GB"/>
              </w:rPr>
              <w:t>1</w:t>
            </w:r>
            <w:r w:rsidR="00736622">
              <w:rPr>
                <w:rFonts w:ascii="Calibri" w:eastAsia="Calibri" w:hAnsi="Calibri"/>
                <w:b/>
                <w:bCs/>
                <w:color w:val="000000"/>
                <w:sz w:val="22"/>
                <w:szCs w:val="22"/>
                <w:lang w:val="en-GB"/>
              </w:rPr>
              <w:t>2</w:t>
            </w:r>
          </w:p>
        </w:tc>
      </w:tr>
      <w:tr w:rsidR="00B739C3" w:rsidRPr="001E5747" w14:paraId="10B23AC0" w14:textId="77777777" w:rsidTr="00822DDE">
        <w:trPr>
          <w:trHeight w:val="300"/>
          <w:jc w:val="center"/>
        </w:trPr>
        <w:tc>
          <w:tcPr>
            <w:tcW w:w="605" w:type="dxa"/>
            <w:tcBorders>
              <w:top w:val="single" w:sz="8" w:space="0" w:color="auto"/>
              <w:left w:val="single" w:sz="12" w:space="0" w:color="auto"/>
              <w:bottom w:val="single" w:sz="4" w:space="0" w:color="auto"/>
              <w:right w:val="single" w:sz="4" w:space="0" w:color="auto"/>
            </w:tcBorders>
            <w:shd w:val="clear" w:color="auto" w:fill="C4D79B"/>
            <w:tcMar>
              <w:top w:w="0" w:type="dxa"/>
              <w:left w:w="108" w:type="dxa"/>
              <w:bottom w:w="0" w:type="dxa"/>
              <w:right w:w="108" w:type="dxa"/>
            </w:tcMar>
            <w:vAlign w:val="center"/>
            <w:hideMark/>
          </w:tcPr>
          <w:p w14:paraId="6D06C0AA" w14:textId="77777777" w:rsidR="00B739C3" w:rsidRPr="001E5747" w:rsidRDefault="00B739C3" w:rsidP="00B739C3">
            <w:pPr>
              <w:jc w:val="center"/>
              <w:rPr>
                <w:rFonts w:ascii="Calibri" w:eastAsia="Calibri" w:hAnsi="Calibri"/>
                <w:color w:val="000000"/>
                <w:sz w:val="19"/>
                <w:szCs w:val="19"/>
                <w:lang w:val="en-GB"/>
              </w:rPr>
            </w:pPr>
            <w:r w:rsidRPr="001E5747">
              <w:rPr>
                <w:rFonts w:ascii="Calibri" w:eastAsia="Calibri" w:hAnsi="Calibri"/>
                <w:color w:val="000000"/>
                <w:sz w:val="19"/>
                <w:szCs w:val="19"/>
                <w:lang w:val="en-GB"/>
              </w:rPr>
              <w:t>6</w:t>
            </w:r>
          </w:p>
        </w:tc>
        <w:tc>
          <w:tcPr>
            <w:tcW w:w="7427" w:type="dxa"/>
            <w:tcBorders>
              <w:top w:val="single" w:sz="8" w:space="0" w:color="auto"/>
              <w:left w:val="single" w:sz="4" w:space="0" w:color="auto"/>
              <w:bottom w:val="single" w:sz="4" w:space="0" w:color="auto"/>
              <w:right w:val="single" w:sz="4" w:space="0" w:color="auto"/>
            </w:tcBorders>
            <w:shd w:val="clear" w:color="auto" w:fill="C4D79B"/>
            <w:tcMar>
              <w:top w:w="0" w:type="dxa"/>
              <w:left w:w="108" w:type="dxa"/>
              <w:bottom w:w="0" w:type="dxa"/>
              <w:right w:w="108" w:type="dxa"/>
            </w:tcMar>
            <w:vAlign w:val="center"/>
            <w:hideMark/>
          </w:tcPr>
          <w:p w14:paraId="371A347E" w14:textId="77777777" w:rsidR="00B739C3" w:rsidRPr="001E5747" w:rsidRDefault="003C772E" w:rsidP="00B739C3">
            <w:pPr>
              <w:ind w:right="-108"/>
              <w:rPr>
                <w:rFonts w:ascii="Calibri" w:eastAsia="Calibri" w:hAnsi="Calibri"/>
                <w:color w:val="000000"/>
                <w:sz w:val="19"/>
                <w:szCs w:val="19"/>
                <w:lang w:val="en-GB"/>
              </w:rPr>
            </w:pPr>
            <w:r w:rsidRPr="001E5747">
              <w:rPr>
                <w:rFonts w:ascii="Calibri" w:hAnsi="Calibri" w:cs="Calibri"/>
                <w:sz w:val="19"/>
                <w:szCs w:val="19"/>
                <w:lang w:val="en-GB"/>
              </w:rPr>
              <w:t>Citizen participation in public meetings, disaggregated by gender</w:t>
            </w:r>
          </w:p>
        </w:tc>
        <w:tc>
          <w:tcPr>
            <w:tcW w:w="865" w:type="dxa"/>
            <w:tcBorders>
              <w:top w:val="single" w:sz="8" w:space="0" w:color="auto"/>
              <w:left w:val="single" w:sz="4" w:space="0" w:color="auto"/>
              <w:bottom w:val="single" w:sz="4" w:space="0" w:color="auto"/>
              <w:right w:val="single" w:sz="12" w:space="0" w:color="auto"/>
            </w:tcBorders>
            <w:shd w:val="clear" w:color="auto" w:fill="C4D79B"/>
            <w:tcMar>
              <w:top w:w="0" w:type="dxa"/>
              <w:left w:w="108" w:type="dxa"/>
              <w:bottom w:w="0" w:type="dxa"/>
              <w:right w:w="108" w:type="dxa"/>
            </w:tcMar>
            <w:vAlign w:val="center"/>
            <w:hideMark/>
          </w:tcPr>
          <w:p w14:paraId="035C8DA2" w14:textId="283EB78F" w:rsidR="00B739C3" w:rsidRPr="001E5747" w:rsidRDefault="00736622" w:rsidP="00B739C3">
            <w:pPr>
              <w:jc w:val="center"/>
              <w:rPr>
                <w:rFonts w:ascii="Calibri" w:eastAsia="Calibri" w:hAnsi="Calibri"/>
                <w:color w:val="000000"/>
                <w:sz w:val="19"/>
                <w:szCs w:val="19"/>
                <w:lang w:val="en-GB"/>
              </w:rPr>
            </w:pPr>
            <w:r>
              <w:rPr>
                <w:rFonts w:ascii="Calibri" w:eastAsia="Calibri" w:hAnsi="Calibri"/>
                <w:color w:val="000000"/>
                <w:sz w:val="19"/>
                <w:szCs w:val="19"/>
                <w:lang w:val="en-GB"/>
              </w:rPr>
              <w:t>4</w:t>
            </w:r>
          </w:p>
        </w:tc>
      </w:tr>
      <w:tr w:rsidR="00B739C3" w:rsidRPr="001E5747" w14:paraId="792A4BCE" w14:textId="77777777" w:rsidTr="00822DDE">
        <w:trPr>
          <w:trHeight w:val="300"/>
          <w:jc w:val="center"/>
        </w:trPr>
        <w:tc>
          <w:tcPr>
            <w:tcW w:w="605" w:type="dxa"/>
            <w:tcBorders>
              <w:top w:val="single" w:sz="4" w:space="0" w:color="auto"/>
              <w:left w:val="single" w:sz="12" w:space="0" w:color="auto"/>
              <w:bottom w:val="single" w:sz="4" w:space="0" w:color="auto"/>
              <w:right w:val="single" w:sz="4" w:space="0" w:color="auto"/>
            </w:tcBorders>
            <w:shd w:val="clear" w:color="auto" w:fill="C4D79B"/>
            <w:tcMar>
              <w:top w:w="0" w:type="dxa"/>
              <w:left w:w="108" w:type="dxa"/>
              <w:bottom w:w="0" w:type="dxa"/>
              <w:right w:w="108" w:type="dxa"/>
            </w:tcMar>
            <w:vAlign w:val="center"/>
            <w:hideMark/>
          </w:tcPr>
          <w:p w14:paraId="20848263" w14:textId="77777777" w:rsidR="00B739C3" w:rsidRPr="001E5747" w:rsidRDefault="00B739C3" w:rsidP="00B739C3">
            <w:pPr>
              <w:jc w:val="center"/>
              <w:rPr>
                <w:rFonts w:ascii="Calibri" w:eastAsia="Calibri" w:hAnsi="Calibri"/>
                <w:color w:val="000000"/>
                <w:sz w:val="19"/>
                <w:szCs w:val="19"/>
                <w:lang w:val="en-GB"/>
              </w:rPr>
            </w:pPr>
            <w:r w:rsidRPr="001E5747">
              <w:rPr>
                <w:rFonts w:ascii="Calibri" w:eastAsia="Calibri" w:hAnsi="Calibri"/>
                <w:color w:val="000000"/>
                <w:sz w:val="19"/>
                <w:szCs w:val="19"/>
                <w:lang w:val="en-GB"/>
              </w:rPr>
              <w:t>7</w:t>
            </w:r>
          </w:p>
        </w:tc>
        <w:tc>
          <w:tcPr>
            <w:tcW w:w="7427" w:type="dxa"/>
            <w:tcBorders>
              <w:top w:val="single" w:sz="4" w:space="0" w:color="auto"/>
              <w:left w:val="single" w:sz="4" w:space="0" w:color="auto"/>
              <w:bottom w:val="single" w:sz="4" w:space="0" w:color="auto"/>
              <w:right w:val="single" w:sz="4" w:space="0" w:color="auto"/>
            </w:tcBorders>
            <w:shd w:val="clear" w:color="auto" w:fill="C4D79B"/>
            <w:tcMar>
              <w:top w:w="0" w:type="dxa"/>
              <w:left w:w="108" w:type="dxa"/>
              <w:bottom w:w="0" w:type="dxa"/>
              <w:right w:w="108" w:type="dxa"/>
            </w:tcMar>
            <w:vAlign w:val="center"/>
            <w:hideMark/>
          </w:tcPr>
          <w:p w14:paraId="168AD101" w14:textId="77777777" w:rsidR="00B739C3" w:rsidRPr="001E5747" w:rsidRDefault="003C772E" w:rsidP="00B739C3">
            <w:pPr>
              <w:rPr>
                <w:rFonts w:ascii="Calibri" w:eastAsia="Calibri" w:hAnsi="Calibri"/>
                <w:color w:val="000000"/>
                <w:sz w:val="19"/>
                <w:szCs w:val="19"/>
                <w:lang w:val="en-GB"/>
              </w:rPr>
            </w:pPr>
            <w:r w:rsidRPr="001E5747">
              <w:rPr>
                <w:rFonts w:ascii="Calibri" w:eastAsia="Calibri" w:hAnsi="Calibri"/>
                <w:color w:val="000000"/>
                <w:sz w:val="19"/>
                <w:szCs w:val="19"/>
                <w:lang w:val="en-GB"/>
              </w:rPr>
              <w:t>Municipal acts and local policy documents consulted with the public</w:t>
            </w:r>
          </w:p>
        </w:tc>
        <w:tc>
          <w:tcPr>
            <w:tcW w:w="865" w:type="dxa"/>
            <w:tcBorders>
              <w:top w:val="single" w:sz="4" w:space="0" w:color="auto"/>
              <w:left w:val="single" w:sz="4" w:space="0" w:color="auto"/>
              <w:bottom w:val="single" w:sz="4" w:space="0" w:color="auto"/>
              <w:right w:val="single" w:sz="12" w:space="0" w:color="auto"/>
            </w:tcBorders>
            <w:shd w:val="clear" w:color="auto" w:fill="C4D79B"/>
            <w:tcMar>
              <w:top w:w="0" w:type="dxa"/>
              <w:left w:w="108" w:type="dxa"/>
              <w:bottom w:w="0" w:type="dxa"/>
              <w:right w:w="108" w:type="dxa"/>
            </w:tcMar>
            <w:vAlign w:val="center"/>
            <w:hideMark/>
          </w:tcPr>
          <w:p w14:paraId="6680E050" w14:textId="77777777" w:rsidR="00B739C3" w:rsidRPr="001E5747" w:rsidRDefault="00B739C3" w:rsidP="00B739C3">
            <w:pPr>
              <w:jc w:val="center"/>
              <w:rPr>
                <w:rFonts w:ascii="Calibri" w:eastAsia="Calibri" w:hAnsi="Calibri"/>
                <w:color w:val="000000"/>
                <w:sz w:val="19"/>
                <w:szCs w:val="19"/>
                <w:lang w:val="en-GB"/>
              </w:rPr>
            </w:pPr>
            <w:r w:rsidRPr="001E5747">
              <w:rPr>
                <w:rFonts w:ascii="Calibri" w:eastAsia="Calibri" w:hAnsi="Calibri"/>
                <w:color w:val="000000"/>
                <w:sz w:val="19"/>
                <w:szCs w:val="19"/>
                <w:lang w:val="en-GB"/>
              </w:rPr>
              <w:t>4</w:t>
            </w:r>
          </w:p>
        </w:tc>
      </w:tr>
      <w:tr w:rsidR="00B739C3" w:rsidRPr="001E5747" w14:paraId="27D33421" w14:textId="77777777" w:rsidTr="00822DDE">
        <w:trPr>
          <w:trHeight w:val="300"/>
          <w:jc w:val="center"/>
        </w:trPr>
        <w:tc>
          <w:tcPr>
            <w:tcW w:w="605" w:type="dxa"/>
            <w:tcBorders>
              <w:top w:val="single" w:sz="4" w:space="0" w:color="auto"/>
              <w:left w:val="single" w:sz="12"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66AB0982" w14:textId="77777777" w:rsidR="00B739C3" w:rsidRPr="001E5747" w:rsidRDefault="00B739C3" w:rsidP="00B739C3">
            <w:pPr>
              <w:jc w:val="center"/>
              <w:rPr>
                <w:rFonts w:ascii="Calibri" w:eastAsia="Calibri" w:hAnsi="Calibri"/>
                <w:color w:val="000000"/>
                <w:sz w:val="19"/>
                <w:szCs w:val="19"/>
                <w:lang w:val="en-GB"/>
              </w:rPr>
            </w:pPr>
            <w:r w:rsidRPr="001E5747">
              <w:rPr>
                <w:rFonts w:ascii="Calibri" w:eastAsia="Calibri" w:hAnsi="Calibri"/>
                <w:color w:val="000000"/>
                <w:sz w:val="19"/>
                <w:szCs w:val="19"/>
                <w:lang w:val="en-GB"/>
              </w:rPr>
              <w:t>8</w:t>
            </w:r>
          </w:p>
        </w:tc>
        <w:tc>
          <w:tcPr>
            <w:tcW w:w="7427" w:type="dxa"/>
            <w:tcBorders>
              <w:top w:val="single" w:sz="4" w:space="0" w:color="auto"/>
              <w:left w:val="single" w:sz="4"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4A989AD1" w14:textId="77777777" w:rsidR="00B739C3" w:rsidRPr="001E5747" w:rsidRDefault="00B739C3" w:rsidP="00B739C3">
            <w:pPr>
              <w:rPr>
                <w:rFonts w:ascii="Calibri" w:hAnsi="Calibri" w:cs="Calibri"/>
                <w:sz w:val="19"/>
                <w:szCs w:val="19"/>
                <w:lang w:val="en-GB"/>
              </w:rPr>
            </w:pPr>
            <w:r w:rsidRPr="001E5747">
              <w:rPr>
                <w:rFonts w:ascii="Calibri" w:hAnsi="Calibri" w:cs="Calibri"/>
                <w:sz w:val="19"/>
                <w:szCs w:val="19"/>
                <w:lang w:val="en-GB"/>
              </w:rPr>
              <w:t>Public hearings on the Medium Term Budget Framework (MTEF) and municipal budget</w:t>
            </w:r>
          </w:p>
        </w:tc>
        <w:tc>
          <w:tcPr>
            <w:tcW w:w="865" w:type="dxa"/>
            <w:tcBorders>
              <w:top w:val="single" w:sz="4" w:space="0" w:color="auto"/>
              <w:left w:val="single" w:sz="4" w:space="0" w:color="auto"/>
              <w:bottom w:val="single" w:sz="8" w:space="0" w:color="auto"/>
              <w:right w:val="single" w:sz="12" w:space="0" w:color="auto"/>
            </w:tcBorders>
            <w:shd w:val="clear" w:color="auto" w:fill="C2D69B" w:themeFill="accent3" w:themeFillTint="99"/>
            <w:tcMar>
              <w:top w:w="0" w:type="dxa"/>
              <w:left w:w="108" w:type="dxa"/>
              <w:bottom w:w="0" w:type="dxa"/>
              <w:right w:w="108" w:type="dxa"/>
            </w:tcMar>
            <w:vAlign w:val="center"/>
            <w:hideMark/>
          </w:tcPr>
          <w:p w14:paraId="5B780E8E" w14:textId="77777777" w:rsidR="00B739C3" w:rsidRPr="001E5747" w:rsidRDefault="00B739C3" w:rsidP="00B739C3">
            <w:pPr>
              <w:jc w:val="center"/>
              <w:rPr>
                <w:rFonts w:ascii="Calibri" w:eastAsia="Calibri" w:hAnsi="Calibri"/>
                <w:color w:val="000000"/>
                <w:sz w:val="19"/>
                <w:szCs w:val="19"/>
                <w:lang w:val="en-GB"/>
              </w:rPr>
            </w:pPr>
            <w:r w:rsidRPr="001E5747">
              <w:rPr>
                <w:rFonts w:ascii="Calibri" w:eastAsia="Calibri" w:hAnsi="Calibri"/>
                <w:color w:val="000000"/>
                <w:sz w:val="19"/>
                <w:szCs w:val="19"/>
                <w:lang w:val="en-GB"/>
              </w:rPr>
              <w:t>4</w:t>
            </w:r>
          </w:p>
        </w:tc>
      </w:tr>
      <w:tr w:rsidR="00B739C3" w:rsidRPr="001E5747" w14:paraId="578F4552" w14:textId="77777777" w:rsidTr="00822DDE">
        <w:trPr>
          <w:trHeight w:val="241"/>
          <w:jc w:val="center"/>
        </w:trPr>
        <w:tc>
          <w:tcPr>
            <w:tcW w:w="605" w:type="dxa"/>
            <w:tcBorders>
              <w:top w:val="single" w:sz="8" w:space="0" w:color="auto"/>
              <w:left w:val="single" w:sz="12"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14:paraId="6C83A7F5" w14:textId="77777777" w:rsidR="00B739C3" w:rsidRPr="001E5747" w:rsidRDefault="00B739C3" w:rsidP="00B739C3">
            <w:pPr>
              <w:rPr>
                <w:rFonts w:ascii="Calibri" w:eastAsia="Calibri" w:hAnsi="Calibri"/>
                <w:b/>
                <w:color w:val="000000"/>
                <w:sz w:val="18"/>
                <w:szCs w:val="18"/>
                <w:lang w:val="en-GB"/>
              </w:rPr>
            </w:pPr>
            <w:r w:rsidRPr="001E5747">
              <w:rPr>
                <w:rFonts w:ascii="Calibri" w:eastAsia="Calibri" w:hAnsi="Calibri"/>
                <w:b/>
                <w:color w:val="000000"/>
                <w:sz w:val="18"/>
                <w:szCs w:val="18"/>
                <w:lang w:val="en-GB"/>
              </w:rPr>
              <w:t>III</w:t>
            </w:r>
          </w:p>
        </w:tc>
        <w:tc>
          <w:tcPr>
            <w:tcW w:w="7427" w:type="dxa"/>
            <w:tcBorders>
              <w:top w:val="single" w:sz="8" w:space="0" w:color="auto"/>
              <w:left w:val="single" w:sz="4"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14:paraId="11CF5745" w14:textId="77777777" w:rsidR="00B739C3" w:rsidRPr="001E5747" w:rsidRDefault="00B739C3" w:rsidP="00B739C3">
            <w:pPr>
              <w:rPr>
                <w:rFonts w:ascii="Calibri" w:eastAsia="Calibri" w:hAnsi="Calibri"/>
                <w:b/>
                <w:bCs/>
                <w:color w:val="000000"/>
                <w:sz w:val="20"/>
                <w:szCs w:val="20"/>
                <w:lang w:val="en-GB"/>
              </w:rPr>
            </w:pPr>
            <w:r w:rsidRPr="001E5747">
              <w:rPr>
                <w:rFonts w:ascii="Calibri" w:eastAsia="Calibri" w:hAnsi="Calibri"/>
                <w:b/>
                <w:bCs/>
                <w:color w:val="000000"/>
                <w:sz w:val="20"/>
                <w:szCs w:val="20"/>
                <w:lang w:val="en-GB"/>
              </w:rPr>
              <w:t>Transparency, access to information and integrity</w:t>
            </w:r>
          </w:p>
        </w:tc>
        <w:tc>
          <w:tcPr>
            <w:tcW w:w="865" w:type="dxa"/>
            <w:tcBorders>
              <w:top w:val="single" w:sz="8" w:space="0" w:color="auto"/>
              <w:left w:val="single" w:sz="4" w:space="0" w:color="auto"/>
              <w:bottom w:val="single" w:sz="8" w:space="0" w:color="auto"/>
              <w:right w:val="single" w:sz="12" w:space="0" w:color="auto"/>
            </w:tcBorders>
            <w:shd w:val="clear" w:color="auto" w:fill="D9D9D9"/>
            <w:noWrap/>
            <w:tcMar>
              <w:top w:w="0" w:type="dxa"/>
              <w:left w:w="108" w:type="dxa"/>
              <w:bottom w:w="0" w:type="dxa"/>
              <w:right w:w="108" w:type="dxa"/>
            </w:tcMar>
            <w:vAlign w:val="center"/>
            <w:hideMark/>
          </w:tcPr>
          <w:p w14:paraId="5A53AFE2" w14:textId="77777777" w:rsidR="00B739C3" w:rsidRPr="001E5747" w:rsidRDefault="00B739C3" w:rsidP="00B739C3">
            <w:pPr>
              <w:jc w:val="center"/>
              <w:rPr>
                <w:rFonts w:ascii="Calibri" w:eastAsia="Calibri" w:hAnsi="Calibri"/>
                <w:b/>
                <w:bCs/>
                <w:color w:val="000000"/>
                <w:sz w:val="28"/>
                <w:szCs w:val="28"/>
                <w:lang w:val="en-GB"/>
              </w:rPr>
            </w:pPr>
            <w:r w:rsidRPr="001E5747">
              <w:rPr>
                <w:rFonts w:ascii="Calibri" w:eastAsia="Calibri" w:hAnsi="Calibri"/>
                <w:b/>
                <w:bCs/>
                <w:color w:val="000000"/>
                <w:sz w:val="22"/>
                <w:szCs w:val="22"/>
                <w:lang w:val="en-GB"/>
              </w:rPr>
              <w:t>15</w:t>
            </w:r>
          </w:p>
        </w:tc>
      </w:tr>
      <w:tr w:rsidR="00B739C3" w:rsidRPr="001E5747" w14:paraId="40F85BC7" w14:textId="77777777" w:rsidTr="00822DDE">
        <w:trPr>
          <w:trHeight w:val="300"/>
          <w:jc w:val="center"/>
        </w:trPr>
        <w:tc>
          <w:tcPr>
            <w:tcW w:w="605" w:type="dxa"/>
            <w:tcBorders>
              <w:top w:val="single" w:sz="8" w:space="0" w:color="auto"/>
              <w:left w:val="single" w:sz="12"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2E633AEC" w14:textId="77777777" w:rsidR="00B739C3" w:rsidRPr="001E5747" w:rsidRDefault="00B739C3" w:rsidP="00B739C3">
            <w:pPr>
              <w:jc w:val="center"/>
              <w:rPr>
                <w:rFonts w:ascii="Calibri" w:eastAsia="Calibri" w:hAnsi="Calibri"/>
                <w:sz w:val="19"/>
                <w:szCs w:val="19"/>
                <w:lang w:val="en-GB"/>
              </w:rPr>
            </w:pPr>
            <w:r w:rsidRPr="001E5747">
              <w:rPr>
                <w:rFonts w:ascii="Calibri" w:eastAsia="Calibri" w:hAnsi="Calibri"/>
                <w:sz w:val="19"/>
                <w:szCs w:val="19"/>
                <w:lang w:val="en-GB"/>
              </w:rPr>
              <w:t>9</w:t>
            </w:r>
          </w:p>
        </w:tc>
        <w:tc>
          <w:tcPr>
            <w:tcW w:w="7427" w:type="dxa"/>
            <w:tcBorders>
              <w:top w:val="single" w:sz="8" w:space="0" w:color="auto"/>
              <w:left w:val="single" w:sz="4"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2FD84B4C" w14:textId="77777777" w:rsidR="00B739C3" w:rsidRPr="001E5747" w:rsidRDefault="00B739C3" w:rsidP="00B739C3">
            <w:pPr>
              <w:rPr>
                <w:rFonts w:ascii="Calibri" w:eastAsia="Calibri" w:hAnsi="Calibri"/>
                <w:color w:val="000000"/>
                <w:sz w:val="19"/>
                <w:szCs w:val="19"/>
                <w:lang w:val="en-GB"/>
              </w:rPr>
            </w:pPr>
            <w:r w:rsidRPr="001E5747">
              <w:rPr>
                <w:rFonts w:ascii="Calibri" w:hAnsi="Calibri" w:cs="Calibri"/>
                <w:color w:val="000000"/>
                <w:sz w:val="19"/>
                <w:szCs w:val="19"/>
                <w:lang w:val="en-GB"/>
              </w:rPr>
              <w:t>Assembly meetings made public and broadcasted live online</w:t>
            </w:r>
          </w:p>
        </w:tc>
        <w:tc>
          <w:tcPr>
            <w:tcW w:w="865" w:type="dxa"/>
            <w:tcBorders>
              <w:top w:val="single" w:sz="8" w:space="0" w:color="auto"/>
              <w:left w:val="single" w:sz="4" w:space="0" w:color="auto"/>
              <w:bottom w:val="single" w:sz="4" w:space="0" w:color="auto"/>
              <w:right w:val="single" w:sz="12" w:space="0" w:color="auto"/>
            </w:tcBorders>
            <w:shd w:val="clear" w:color="auto" w:fill="C2D69B" w:themeFill="accent3" w:themeFillTint="99"/>
            <w:tcMar>
              <w:top w:w="0" w:type="dxa"/>
              <w:left w:w="108" w:type="dxa"/>
              <w:bottom w:w="0" w:type="dxa"/>
              <w:right w:w="108" w:type="dxa"/>
            </w:tcMar>
            <w:vAlign w:val="center"/>
            <w:hideMark/>
          </w:tcPr>
          <w:p w14:paraId="17CD7B1A" w14:textId="77777777" w:rsidR="00B739C3" w:rsidRPr="001E5747" w:rsidRDefault="00B739C3" w:rsidP="00B739C3">
            <w:pPr>
              <w:jc w:val="center"/>
              <w:rPr>
                <w:rFonts w:ascii="Calibri" w:eastAsia="Calibri" w:hAnsi="Calibri"/>
                <w:color w:val="000000"/>
                <w:sz w:val="19"/>
                <w:szCs w:val="19"/>
                <w:lang w:val="en-GB"/>
              </w:rPr>
            </w:pPr>
            <w:r w:rsidRPr="001E5747">
              <w:rPr>
                <w:rFonts w:ascii="Calibri" w:eastAsia="Calibri" w:hAnsi="Calibri"/>
                <w:color w:val="000000"/>
                <w:sz w:val="19"/>
                <w:szCs w:val="19"/>
                <w:lang w:val="en-GB"/>
              </w:rPr>
              <w:t>3</w:t>
            </w:r>
          </w:p>
        </w:tc>
      </w:tr>
      <w:tr w:rsidR="00B739C3" w:rsidRPr="001E5747" w14:paraId="7FF5EB26" w14:textId="77777777" w:rsidTr="00822DDE">
        <w:trPr>
          <w:trHeight w:val="300"/>
          <w:jc w:val="center"/>
        </w:trPr>
        <w:tc>
          <w:tcPr>
            <w:tcW w:w="605" w:type="dxa"/>
            <w:tcBorders>
              <w:top w:val="single" w:sz="4" w:space="0" w:color="auto"/>
              <w:left w:val="single" w:sz="12"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12E5B823" w14:textId="77777777" w:rsidR="00B739C3" w:rsidRPr="001E5747" w:rsidRDefault="00B739C3" w:rsidP="00B739C3">
            <w:pPr>
              <w:jc w:val="center"/>
              <w:rPr>
                <w:rFonts w:ascii="Calibri" w:eastAsia="Calibri" w:hAnsi="Calibri"/>
                <w:sz w:val="19"/>
                <w:szCs w:val="19"/>
                <w:lang w:val="en-GB"/>
              </w:rPr>
            </w:pPr>
            <w:r w:rsidRPr="001E5747">
              <w:rPr>
                <w:rFonts w:ascii="Calibri" w:eastAsia="Calibri" w:hAnsi="Calibri"/>
                <w:sz w:val="19"/>
                <w:szCs w:val="19"/>
                <w:lang w:val="en-GB"/>
              </w:rPr>
              <w:t>10</w:t>
            </w:r>
          </w:p>
        </w:tc>
        <w:tc>
          <w:tcPr>
            <w:tcW w:w="742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11D5DE33" w14:textId="77777777" w:rsidR="00B739C3" w:rsidRPr="001E5747" w:rsidRDefault="00B739C3" w:rsidP="00B739C3">
            <w:pPr>
              <w:rPr>
                <w:rFonts w:ascii="Calibri" w:eastAsia="Calibri" w:hAnsi="Calibri"/>
                <w:color w:val="000000"/>
                <w:sz w:val="19"/>
                <w:szCs w:val="19"/>
                <w:lang w:val="en-GB"/>
              </w:rPr>
            </w:pPr>
            <w:r w:rsidRPr="001E5747">
              <w:rPr>
                <w:rFonts w:ascii="Calibri" w:hAnsi="Calibri" w:cs="Calibri"/>
                <w:color w:val="000000"/>
                <w:sz w:val="19"/>
                <w:szCs w:val="19"/>
                <w:lang w:val="en-GB"/>
              </w:rPr>
              <w:t>Meeting the criteria of the official website of the municipality</w:t>
            </w:r>
          </w:p>
        </w:tc>
        <w:tc>
          <w:tcPr>
            <w:tcW w:w="865" w:type="dxa"/>
            <w:tcBorders>
              <w:top w:val="single" w:sz="4" w:space="0" w:color="auto"/>
              <w:left w:val="single" w:sz="4" w:space="0" w:color="auto"/>
              <w:bottom w:val="single" w:sz="4" w:space="0" w:color="auto"/>
              <w:right w:val="single" w:sz="12" w:space="0" w:color="auto"/>
            </w:tcBorders>
            <w:shd w:val="clear" w:color="auto" w:fill="C2D69B" w:themeFill="accent3" w:themeFillTint="99"/>
            <w:tcMar>
              <w:top w:w="0" w:type="dxa"/>
              <w:left w:w="108" w:type="dxa"/>
              <w:bottom w:w="0" w:type="dxa"/>
              <w:right w:w="108" w:type="dxa"/>
            </w:tcMar>
            <w:vAlign w:val="center"/>
            <w:hideMark/>
          </w:tcPr>
          <w:p w14:paraId="54BA08F1" w14:textId="77777777" w:rsidR="00B739C3" w:rsidRPr="001E5747" w:rsidRDefault="00B739C3" w:rsidP="00B739C3">
            <w:pPr>
              <w:jc w:val="center"/>
              <w:rPr>
                <w:rFonts w:ascii="Calibri" w:eastAsia="Calibri" w:hAnsi="Calibri"/>
                <w:color w:val="000000"/>
                <w:sz w:val="19"/>
                <w:szCs w:val="19"/>
                <w:lang w:val="en-GB"/>
              </w:rPr>
            </w:pPr>
            <w:r w:rsidRPr="001E5747">
              <w:rPr>
                <w:rFonts w:ascii="Calibri" w:eastAsia="Calibri" w:hAnsi="Calibri"/>
                <w:color w:val="000000"/>
                <w:sz w:val="19"/>
                <w:szCs w:val="19"/>
                <w:lang w:val="en-GB"/>
              </w:rPr>
              <w:t>4</w:t>
            </w:r>
          </w:p>
        </w:tc>
      </w:tr>
      <w:tr w:rsidR="00B739C3" w:rsidRPr="001E5747" w14:paraId="025B6A2A" w14:textId="77777777" w:rsidTr="00822DDE">
        <w:trPr>
          <w:trHeight w:val="300"/>
          <w:jc w:val="center"/>
        </w:trPr>
        <w:tc>
          <w:tcPr>
            <w:tcW w:w="605" w:type="dxa"/>
            <w:tcBorders>
              <w:top w:val="single" w:sz="4" w:space="0" w:color="auto"/>
              <w:left w:val="single" w:sz="12"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184B1CB3" w14:textId="77777777" w:rsidR="00B739C3" w:rsidRPr="001E5747" w:rsidRDefault="00B739C3" w:rsidP="00B739C3">
            <w:pPr>
              <w:jc w:val="center"/>
              <w:rPr>
                <w:rFonts w:ascii="Calibri" w:eastAsia="Calibri" w:hAnsi="Calibri"/>
                <w:sz w:val="19"/>
                <w:szCs w:val="19"/>
                <w:lang w:val="en-GB"/>
              </w:rPr>
            </w:pPr>
            <w:r w:rsidRPr="001E5747">
              <w:rPr>
                <w:rFonts w:ascii="Calibri" w:eastAsia="Calibri" w:hAnsi="Calibri"/>
                <w:sz w:val="19"/>
                <w:szCs w:val="19"/>
                <w:lang w:val="en-GB"/>
              </w:rPr>
              <w:t>11</w:t>
            </w:r>
          </w:p>
        </w:tc>
        <w:tc>
          <w:tcPr>
            <w:tcW w:w="7427" w:type="dxa"/>
            <w:tcBorders>
              <w:top w:val="single" w:sz="4" w:space="0" w:color="auto"/>
              <w:left w:val="single" w:sz="4"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1498B74D" w14:textId="77777777" w:rsidR="00B739C3" w:rsidRPr="001E5747" w:rsidRDefault="00B739C3" w:rsidP="00B739C3">
            <w:pPr>
              <w:rPr>
                <w:rFonts w:ascii="Calibri" w:eastAsia="Calibri" w:hAnsi="Calibri"/>
                <w:sz w:val="19"/>
                <w:szCs w:val="19"/>
                <w:lang w:val="en-GB"/>
              </w:rPr>
            </w:pPr>
            <w:r w:rsidRPr="001E5747">
              <w:rPr>
                <w:rFonts w:ascii="Calibri" w:eastAsia="Calibri" w:hAnsi="Calibri"/>
                <w:sz w:val="19"/>
                <w:szCs w:val="19"/>
                <w:lang w:val="en-GB"/>
              </w:rPr>
              <w:t>Publication of public procurement documents of the municipality</w:t>
            </w:r>
          </w:p>
        </w:tc>
        <w:tc>
          <w:tcPr>
            <w:tcW w:w="865" w:type="dxa"/>
            <w:tcBorders>
              <w:top w:val="single" w:sz="4" w:space="0" w:color="auto"/>
              <w:left w:val="single" w:sz="4" w:space="0" w:color="auto"/>
              <w:bottom w:val="single" w:sz="8" w:space="0" w:color="auto"/>
              <w:right w:val="single" w:sz="12" w:space="0" w:color="auto"/>
            </w:tcBorders>
            <w:shd w:val="clear" w:color="auto" w:fill="C2D69B" w:themeFill="accent3" w:themeFillTint="99"/>
            <w:tcMar>
              <w:top w:w="0" w:type="dxa"/>
              <w:left w:w="108" w:type="dxa"/>
              <w:bottom w:w="0" w:type="dxa"/>
              <w:right w:w="108" w:type="dxa"/>
            </w:tcMar>
            <w:vAlign w:val="center"/>
            <w:hideMark/>
          </w:tcPr>
          <w:p w14:paraId="41BCC842" w14:textId="77777777" w:rsidR="00B739C3" w:rsidRPr="001E5747" w:rsidRDefault="00B739C3" w:rsidP="00B739C3">
            <w:pPr>
              <w:jc w:val="center"/>
              <w:rPr>
                <w:rFonts w:ascii="Calibri" w:eastAsia="Calibri" w:hAnsi="Calibri"/>
                <w:sz w:val="19"/>
                <w:szCs w:val="19"/>
                <w:lang w:val="en-GB"/>
              </w:rPr>
            </w:pPr>
            <w:r w:rsidRPr="001E5747">
              <w:rPr>
                <w:rFonts w:ascii="Calibri" w:eastAsia="Calibri" w:hAnsi="Calibri"/>
                <w:sz w:val="19"/>
                <w:szCs w:val="19"/>
                <w:lang w:val="en-GB"/>
              </w:rPr>
              <w:t>2</w:t>
            </w:r>
          </w:p>
        </w:tc>
      </w:tr>
      <w:tr w:rsidR="00B739C3" w:rsidRPr="001E5747" w14:paraId="116C6D0E" w14:textId="77777777" w:rsidTr="00822DDE">
        <w:trPr>
          <w:trHeight w:val="300"/>
          <w:jc w:val="center"/>
        </w:trPr>
        <w:tc>
          <w:tcPr>
            <w:tcW w:w="605" w:type="dxa"/>
            <w:tcBorders>
              <w:top w:val="single" w:sz="8" w:space="0" w:color="auto"/>
              <w:left w:val="single" w:sz="12" w:space="0" w:color="auto"/>
              <w:bottom w:val="single" w:sz="8" w:space="0" w:color="auto"/>
              <w:right w:val="single" w:sz="8" w:space="0" w:color="auto"/>
            </w:tcBorders>
            <w:shd w:val="clear" w:color="auto" w:fill="C2D69B" w:themeFill="accent3" w:themeFillTint="99"/>
            <w:tcMar>
              <w:top w:w="0" w:type="dxa"/>
              <w:left w:w="108" w:type="dxa"/>
              <w:bottom w:w="0" w:type="dxa"/>
              <w:right w:w="108" w:type="dxa"/>
            </w:tcMar>
            <w:vAlign w:val="center"/>
            <w:hideMark/>
          </w:tcPr>
          <w:p w14:paraId="08048D1A" w14:textId="77777777" w:rsidR="00B739C3" w:rsidRPr="001E5747" w:rsidRDefault="00B739C3" w:rsidP="00B739C3">
            <w:pPr>
              <w:jc w:val="center"/>
              <w:rPr>
                <w:rFonts w:ascii="Calibri" w:eastAsia="Calibri" w:hAnsi="Calibri"/>
                <w:sz w:val="19"/>
                <w:szCs w:val="19"/>
                <w:lang w:val="en-GB"/>
              </w:rPr>
            </w:pPr>
            <w:r w:rsidRPr="001E5747">
              <w:rPr>
                <w:rFonts w:ascii="Calibri" w:eastAsia="Calibri" w:hAnsi="Calibri"/>
                <w:sz w:val="19"/>
                <w:szCs w:val="19"/>
                <w:lang w:val="en-GB"/>
              </w:rPr>
              <w:t>12</w:t>
            </w:r>
          </w:p>
        </w:tc>
        <w:tc>
          <w:tcPr>
            <w:tcW w:w="7427" w:type="dxa"/>
            <w:tcBorders>
              <w:top w:val="single" w:sz="8" w:space="0" w:color="auto"/>
              <w:left w:val="single" w:sz="8" w:space="0" w:color="auto"/>
              <w:bottom w:val="single" w:sz="8" w:space="0" w:color="auto"/>
              <w:right w:val="single" w:sz="8" w:space="0" w:color="auto"/>
            </w:tcBorders>
            <w:shd w:val="clear" w:color="auto" w:fill="C2D69B" w:themeFill="accent3" w:themeFillTint="99"/>
            <w:tcMar>
              <w:top w:w="0" w:type="dxa"/>
              <w:left w:w="108" w:type="dxa"/>
              <w:bottom w:w="0" w:type="dxa"/>
              <w:right w:w="108" w:type="dxa"/>
            </w:tcMar>
            <w:vAlign w:val="center"/>
            <w:hideMark/>
          </w:tcPr>
          <w:p w14:paraId="31A5C8A2" w14:textId="77777777" w:rsidR="00B739C3" w:rsidRPr="001E5747" w:rsidRDefault="00B739C3" w:rsidP="00B739C3">
            <w:pPr>
              <w:rPr>
                <w:rFonts w:ascii="Calibri" w:eastAsia="Calibri" w:hAnsi="Calibri"/>
                <w:sz w:val="19"/>
                <w:szCs w:val="19"/>
                <w:lang w:val="en-GB"/>
              </w:rPr>
            </w:pPr>
            <w:r w:rsidRPr="001E5747">
              <w:rPr>
                <w:rFonts w:ascii="Calibri" w:eastAsia="Calibri" w:hAnsi="Calibri"/>
                <w:sz w:val="19"/>
                <w:szCs w:val="19"/>
                <w:lang w:val="en-GB"/>
              </w:rPr>
              <w:t>Publication of reports on public consultation processes</w:t>
            </w:r>
          </w:p>
        </w:tc>
        <w:tc>
          <w:tcPr>
            <w:tcW w:w="865" w:type="dxa"/>
            <w:tcBorders>
              <w:top w:val="single" w:sz="8" w:space="0" w:color="auto"/>
              <w:left w:val="single" w:sz="8" w:space="0" w:color="auto"/>
              <w:bottom w:val="single" w:sz="8" w:space="0" w:color="auto"/>
              <w:right w:val="single" w:sz="12" w:space="0" w:color="auto"/>
            </w:tcBorders>
            <w:shd w:val="clear" w:color="auto" w:fill="C2D69B" w:themeFill="accent3" w:themeFillTint="99"/>
            <w:tcMar>
              <w:top w:w="0" w:type="dxa"/>
              <w:left w:w="108" w:type="dxa"/>
              <w:bottom w:w="0" w:type="dxa"/>
              <w:right w:w="108" w:type="dxa"/>
            </w:tcMar>
            <w:vAlign w:val="center"/>
            <w:hideMark/>
          </w:tcPr>
          <w:p w14:paraId="400EC370" w14:textId="77777777" w:rsidR="00B739C3" w:rsidRPr="001E5747" w:rsidRDefault="00B739C3" w:rsidP="00B739C3">
            <w:pPr>
              <w:jc w:val="center"/>
              <w:rPr>
                <w:rFonts w:ascii="Calibri" w:eastAsia="Calibri" w:hAnsi="Calibri"/>
                <w:sz w:val="19"/>
                <w:szCs w:val="19"/>
                <w:lang w:val="en-GB"/>
              </w:rPr>
            </w:pPr>
            <w:r w:rsidRPr="001E5747">
              <w:rPr>
                <w:rFonts w:ascii="Calibri" w:eastAsia="Calibri" w:hAnsi="Calibri"/>
                <w:sz w:val="19"/>
                <w:szCs w:val="19"/>
                <w:lang w:val="en-GB"/>
              </w:rPr>
              <w:t>4</w:t>
            </w:r>
          </w:p>
        </w:tc>
      </w:tr>
      <w:tr w:rsidR="00B739C3" w:rsidRPr="001E5747" w14:paraId="0D32EC14" w14:textId="77777777" w:rsidTr="00822DDE">
        <w:trPr>
          <w:trHeight w:val="300"/>
          <w:jc w:val="center"/>
        </w:trPr>
        <w:tc>
          <w:tcPr>
            <w:tcW w:w="605" w:type="dxa"/>
            <w:tcBorders>
              <w:top w:val="single" w:sz="8" w:space="0" w:color="auto"/>
              <w:left w:val="single" w:sz="12" w:space="0" w:color="auto"/>
              <w:bottom w:val="single" w:sz="12"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07A0674A" w14:textId="77777777" w:rsidR="00B739C3" w:rsidRPr="001E5747" w:rsidRDefault="00B739C3" w:rsidP="00B739C3">
            <w:pPr>
              <w:jc w:val="center"/>
              <w:rPr>
                <w:rFonts w:ascii="Calibri" w:eastAsia="Calibri" w:hAnsi="Calibri"/>
                <w:sz w:val="19"/>
                <w:szCs w:val="19"/>
                <w:lang w:val="en-GB"/>
              </w:rPr>
            </w:pPr>
            <w:r w:rsidRPr="001E5747">
              <w:rPr>
                <w:rFonts w:ascii="Calibri" w:eastAsia="Calibri" w:hAnsi="Calibri"/>
                <w:sz w:val="19"/>
                <w:szCs w:val="19"/>
                <w:lang w:val="en-GB"/>
              </w:rPr>
              <w:t>13</w:t>
            </w:r>
          </w:p>
        </w:tc>
        <w:tc>
          <w:tcPr>
            <w:tcW w:w="7427" w:type="dxa"/>
            <w:tcBorders>
              <w:top w:val="single" w:sz="8" w:space="0" w:color="auto"/>
              <w:left w:val="single" w:sz="4" w:space="0" w:color="auto"/>
              <w:bottom w:val="single" w:sz="12"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2FA73403" w14:textId="77777777" w:rsidR="00B739C3" w:rsidRPr="001E5747" w:rsidRDefault="00B739C3" w:rsidP="00B739C3">
            <w:pPr>
              <w:rPr>
                <w:rFonts w:ascii="Calibri" w:eastAsia="Calibri" w:hAnsi="Calibri"/>
                <w:sz w:val="19"/>
                <w:szCs w:val="19"/>
                <w:lang w:val="en-GB"/>
              </w:rPr>
            </w:pPr>
            <w:r w:rsidRPr="001E5747">
              <w:rPr>
                <w:rFonts w:ascii="Calibri" w:eastAsia="Calibri" w:hAnsi="Calibri"/>
                <w:sz w:val="19"/>
                <w:szCs w:val="19"/>
                <w:lang w:val="en-GB"/>
              </w:rPr>
              <w:t>Reporting the annual integrity plan to the Municipal Assembly</w:t>
            </w:r>
          </w:p>
        </w:tc>
        <w:tc>
          <w:tcPr>
            <w:tcW w:w="865" w:type="dxa"/>
            <w:tcBorders>
              <w:top w:val="single" w:sz="8" w:space="0" w:color="auto"/>
              <w:left w:val="single" w:sz="4" w:space="0" w:color="auto"/>
              <w:bottom w:val="single" w:sz="12" w:space="0" w:color="auto"/>
              <w:right w:val="single" w:sz="12" w:space="0" w:color="auto"/>
            </w:tcBorders>
            <w:shd w:val="clear" w:color="auto" w:fill="C2D69B" w:themeFill="accent3" w:themeFillTint="99"/>
            <w:tcMar>
              <w:top w:w="0" w:type="dxa"/>
              <w:left w:w="108" w:type="dxa"/>
              <w:bottom w:w="0" w:type="dxa"/>
              <w:right w:w="108" w:type="dxa"/>
            </w:tcMar>
            <w:vAlign w:val="center"/>
            <w:hideMark/>
          </w:tcPr>
          <w:p w14:paraId="3C831E6C" w14:textId="77777777" w:rsidR="00B739C3" w:rsidRPr="001E5747" w:rsidRDefault="00B739C3" w:rsidP="00B739C3">
            <w:pPr>
              <w:jc w:val="center"/>
              <w:rPr>
                <w:rFonts w:ascii="Calibri" w:eastAsia="Calibri" w:hAnsi="Calibri"/>
                <w:sz w:val="19"/>
                <w:szCs w:val="19"/>
                <w:lang w:val="en-GB"/>
              </w:rPr>
            </w:pPr>
            <w:r w:rsidRPr="001E5747">
              <w:rPr>
                <w:rFonts w:ascii="Calibri" w:eastAsia="Calibri" w:hAnsi="Calibri"/>
                <w:sz w:val="19"/>
                <w:szCs w:val="19"/>
                <w:lang w:val="en-GB"/>
              </w:rPr>
              <w:t>2</w:t>
            </w:r>
          </w:p>
        </w:tc>
      </w:tr>
      <w:tr w:rsidR="00B739C3" w:rsidRPr="001E5747" w14:paraId="4FAF36EF" w14:textId="77777777" w:rsidTr="00B739C3">
        <w:trPr>
          <w:trHeight w:val="363"/>
          <w:jc w:val="center"/>
        </w:trPr>
        <w:tc>
          <w:tcPr>
            <w:tcW w:w="8032" w:type="dxa"/>
            <w:gridSpan w:val="2"/>
            <w:tcBorders>
              <w:top w:val="single" w:sz="12" w:space="0" w:color="auto"/>
              <w:left w:val="single" w:sz="12" w:space="0" w:color="auto"/>
              <w:bottom w:val="single" w:sz="8" w:space="0" w:color="auto"/>
              <w:right w:val="single" w:sz="4" w:space="0" w:color="auto"/>
            </w:tcBorders>
            <w:shd w:val="clear" w:color="auto" w:fill="8DB4E2"/>
            <w:noWrap/>
            <w:tcMar>
              <w:top w:w="0" w:type="dxa"/>
              <w:left w:w="108" w:type="dxa"/>
              <w:bottom w:w="0" w:type="dxa"/>
              <w:right w:w="108" w:type="dxa"/>
            </w:tcMar>
            <w:vAlign w:val="center"/>
            <w:hideMark/>
          </w:tcPr>
          <w:p w14:paraId="759782BF" w14:textId="77777777" w:rsidR="00B739C3" w:rsidRPr="001E5747" w:rsidRDefault="00B739C3" w:rsidP="00B739C3">
            <w:pPr>
              <w:rPr>
                <w:rFonts w:ascii="Calibri" w:eastAsia="Calibri" w:hAnsi="Calibri"/>
                <w:b/>
                <w:bCs/>
                <w:color w:val="000000"/>
                <w:sz w:val="22"/>
                <w:szCs w:val="22"/>
                <w:lang w:val="en-GB"/>
              </w:rPr>
            </w:pPr>
            <w:r w:rsidRPr="001E5747">
              <w:rPr>
                <w:rFonts w:ascii="Calibri" w:eastAsia="Calibri" w:hAnsi="Calibri"/>
                <w:b/>
                <w:bCs/>
                <w:color w:val="000000"/>
                <w:sz w:val="22"/>
                <w:szCs w:val="22"/>
                <w:lang w:val="en-GB"/>
              </w:rPr>
              <w:lastRenderedPageBreak/>
              <w:t>II. MUNICIPAL MANAGEMENT</w:t>
            </w:r>
          </w:p>
        </w:tc>
        <w:tc>
          <w:tcPr>
            <w:tcW w:w="865" w:type="dxa"/>
            <w:tcBorders>
              <w:top w:val="single" w:sz="12" w:space="0" w:color="auto"/>
              <w:left w:val="single" w:sz="4" w:space="0" w:color="auto"/>
              <w:bottom w:val="single" w:sz="8" w:space="0" w:color="auto"/>
              <w:right w:val="single" w:sz="12" w:space="0" w:color="auto"/>
            </w:tcBorders>
            <w:shd w:val="clear" w:color="auto" w:fill="8DB4E2"/>
            <w:noWrap/>
            <w:tcMar>
              <w:top w:w="0" w:type="dxa"/>
              <w:left w:w="108" w:type="dxa"/>
              <w:bottom w:w="0" w:type="dxa"/>
              <w:right w:w="108" w:type="dxa"/>
            </w:tcMar>
            <w:vAlign w:val="center"/>
            <w:hideMark/>
          </w:tcPr>
          <w:p w14:paraId="507FBE2A" w14:textId="77777777" w:rsidR="00B739C3" w:rsidRPr="001E5747" w:rsidRDefault="0081785C" w:rsidP="0081785C">
            <w:pPr>
              <w:jc w:val="center"/>
              <w:rPr>
                <w:rFonts w:ascii="Calibri" w:eastAsia="Calibri" w:hAnsi="Calibri"/>
                <w:b/>
                <w:bCs/>
                <w:color w:val="000000"/>
                <w:sz w:val="32"/>
                <w:szCs w:val="32"/>
                <w:lang w:val="en-GB"/>
              </w:rPr>
            </w:pPr>
            <w:r>
              <w:rPr>
                <w:rFonts w:ascii="Calibri" w:eastAsia="Calibri" w:hAnsi="Calibri"/>
                <w:b/>
                <w:bCs/>
                <w:color w:val="000000"/>
                <w:sz w:val="22"/>
                <w:szCs w:val="22"/>
                <w:lang w:val="en-GB"/>
              </w:rPr>
              <w:t>28</w:t>
            </w:r>
          </w:p>
        </w:tc>
      </w:tr>
      <w:tr w:rsidR="00B739C3" w:rsidRPr="001E5747" w14:paraId="07927990" w14:textId="77777777" w:rsidTr="00822DDE">
        <w:trPr>
          <w:trHeight w:val="307"/>
          <w:jc w:val="center"/>
        </w:trPr>
        <w:tc>
          <w:tcPr>
            <w:tcW w:w="605" w:type="dxa"/>
            <w:tcBorders>
              <w:top w:val="single" w:sz="8" w:space="0" w:color="auto"/>
              <w:left w:val="single" w:sz="12"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14:paraId="0FDB5B53" w14:textId="77777777" w:rsidR="00B739C3" w:rsidRPr="001E5747" w:rsidRDefault="00B739C3" w:rsidP="00B739C3">
            <w:pPr>
              <w:rPr>
                <w:rFonts w:ascii="Calibri" w:eastAsia="Calibri" w:hAnsi="Calibri"/>
                <w:b/>
                <w:bCs/>
                <w:color w:val="000000"/>
                <w:sz w:val="32"/>
                <w:szCs w:val="32"/>
                <w:lang w:val="en-GB"/>
              </w:rPr>
            </w:pPr>
            <w:r w:rsidRPr="001E5747">
              <w:rPr>
                <w:rFonts w:ascii="Calibri" w:eastAsia="Calibri" w:hAnsi="Calibri"/>
                <w:b/>
                <w:color w:val="000000"/>
                <w:sz w:val="18"/>
                <w:szCs w:val="18"/>
                <w:lang w:val="en-GB"/>
              </w:rPr>
              <w:t>IV</w:t>
            </w:r>
          </w:p>
        </w:tc>
        <w:tc>
          <w:tcPr>
            <w:tcW w:w="7427" w:type="dxa"/>
            <w:tcBorders>
              <w:top w:val="single" w:sz="8" w:space="0" w:color="auto"/>
              <w:left w:val="single" w:sz="4"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14:paraId="6D4B333A" w14:textId="77777777" w:rsidR="00B739C3" w:rsidRPr="001E5747" w:rsidRDefault="00B739C3" w:rsidP="00B739C3">
            <w:pPr>
              <w:rPr>
                <w:rFonts w:ascii="Calibri" w:eastAsia="Calibri" w:hAnsi="Calibri"/>
                <w:b/>
                <w:bCs/>
                <w:color w:val="000000"/>
                <w:sz w:val="20"/>
                <w:szCs w:val="20"/>
                <w:lang w:val="en-GB"/>
              </w:rPr>
            </w:pPr>
            <w:r w:rsidRPr="001E5747">
              <w:rPr>
                <w:rFonts w:ascii="Calibri" w:eastAsia="Calibri" w:hAnsi="Calibri"/>
                <w:b/>
                <w:bCs/>
                <w:color w:val="000000"/>
                <w:sz w:val="20"/>
                <w:szCs w:val="20"/>
                <w:lang w:val="en-GB"/>
              </w:rPr>
              <w:t>Financial management</w:t>
            </w:r>
          </w:p>
        </w:tc>
        <w:tc>
          <w:tcPr>
            <w:tcW w:w="865" w:type="dxa"/>
            <w:tcBorders>
              <w:top w:val="single" w:sz="8" w:space="0" w:color="auto"/>
              <w:left w:val="single" w:sz="4" w:space="0" w:color="auto"/>
              <w:bottom w:val="single" w:sz="8" w:space="0" w:color="auto"/>
              <w:right w:val="single" w:sz="12" w:space="0" w:color="auto"/>
            </w:tcBorders>
            <w:shd w:val="clear" w:color="auto" w:fill="D9D9D9"/>
            <w:noWrap/>
            <w:tcMar>
              <w:top w:w="0" w:type="dxa"/>
              <w:left w:w="108" w:type="dxa"/>
              <w:bottom w:w="0" w:type="dxa"/>
              <w:right w:w="108" w:type="dxa"/>
            </w:tcMar>
            <w:vAlign w:val="center"/>
            <w:hideMark/>
          </w:tcPr>
          <w:p w14:paraId="78F91B1F" w14:textId="77777777" w:rsidR="00B739C3" w:rsidRPr="001E5747" w:rsidRDefault="00B739C3" w:rsidP="00B739C3">
            <w:pPr>
              <w:jc w:val="center"/>
              <w:rPr>
                <w:rFonts w:ascii="Calibri" w:eastAsia="Calibri" w:hAnsi="Calibri"/>
                <w:b/>
                <w:bCs/>
                <w:color w:val="000000"/>
                <w:sz w:val="28"/>
                <w:szCs w:val="28"/>
                <w:lang w:val="en-GB"/>
              </w:rPr>
            </w:pPr>
            <w:r w:rsidRPr="001E5747">
              <w:rPr>
                <w:rFonts w:ascii="Calibri" w:eastAsia="Calibri" w:hAnsi="Calibri"/>
                <w:b/>
                <w:bCs/>
                <w:color w:val="000000"/>
                <w:sz w:val="22"/>
                <w:szCs w:val="22"/>
                <w:lang w:val="en-GB"/>
              </w:rPr>
              <w:t>13</w:t>
            </w:r>
          </w:p>
        </w:tc>
      </w:tr>
      <w:tr w:rsidR="00B739C3" w:rsidRPr="001E5747" w14:paraId="7426CA24" w14:textId="77777777" w:rsidTr="00822DDE">
        <w:trPr>
          <w:trHeight w:val="224"/>
          <w:jc w:val="center"/>
        </w:trPr>
        <w:tc>
          <w:tcPr>
            <w:tcW w:w="605" w:type="dxa"/>
            <w:tcBorders>
              <w:top w:val="single" w:sz="8" w:space="0" w:color="auto"/>
              <w:left w:val="single" w:sz="12" w:space="0" w:color="auto"/>
              <w:bottom w:val="single" w:sz="4" w:space="0" w:color="auto"/>
              <w:right w:val="single" w:sz="4" w:space="0" w:color="auto"/>
            </w:tcBorders>
            <w:shd w:val="clear" w:color="auto" w:fill="C4D79B"/>
            <w:tcMar>
              <w:top w:w="0" w:type="dxa"/>
              <w:left w:w="108" w:type="dxa"/>
              <w:bottom w:w="0" w:type="dxa"/>
              <w:right w:w="108" w:type="dxa"/>
            </w:tcMar>
            <w:vAlign w:val="center"/>
            <w:hideMark/>
          </w:tcPr>
          <w:p w14:paraId="194E4230" w14:textId="77777777" w:rsidR="00B739C3" w:rsidRPr="001E5747" w:rsidRDefault="00B739C3" w:rsidP="00B739C3">
            <w:pPr>
              <w:jc w:val="center"/>
              <w:rPr>
                <w:rFonts w:ascii="Calibri" w:eastAsia="Calibri" w:hAnsi="Calibri"/>
                <w:sz w:val="19"/>
                <w:szCs w:val="19"/>
                <w:lang w:val="en-GB"/>
              </w:rPr>
            </w:pPr>
            <w:r w:rsidRPr="001E5747">
              <w:rPr>
                <w:rFonts w:ascii="Calibri" w:eastAsia="Calibri" w:hAnsi="Calibri"/>
                <w:sz w:val="19"/>
                <w:szCs w:val="19"/>
                <w:lang w:val="en-GB"/>
              </w:rPr>
              <w:t>14</w:t>
            </w:r>
          </w:p>
        </w:tc>
        <w:tc>
          <w:tcPr>
            <w:tcW w:w="7427" w:type="dxa"/>
            <w:tcBorders>
              <w:top w:val="single" w:sz="8" w:space="0" w:color="auto"/>
              <w:left w:val="single" w:sz="4" w:space="0" w:color="auto"/>
              <w:bottom w:val="single" w:sz="4" w:space="0" w:color="auto"/>
              <w:right w:val="single" w:sz="4" w:space="0" w:color="auto"/>
            </w:tcBorders>
            <w:shd w:val="clear" w:color="auto" w:fill="C4D79B"/>
            <w:tcMar>
              <w:top w:w="0" w:type="dxa"/>
              <w:left w:w="108" w:type="dxa"/>
              <w:bottom w:w="0" w:type="dxa"/>
              <w:right w:w="108" w:type="dxa"/>
            </w:tcMar>
            <w:vAlign w:val="center"/>
            <w:hideMark/>
          </w:tcPr>
          <w:p w14:paraId="6A4DD9BE" w14:textId="77777777" w:rsidR="00B739C3" w:rsidRPr="001E5747" w:rsidRDefault="00B739C3" w:rsidP="00B739C3">
            <w:pPr>
              <w:rPr>
                <w:rFonts w:ascii="Calibri" w:hAnsi="Calibri" w:cs="Calibri"/>
                <w:color w:val="000000"/>
                <w:sz w:val="19"/>
                <w:szCs w:val="19"/>
                <w:lang w:val="en-GB"/>
              </w:rPr>
            </w:pPr>
            <w:r w:rsidRPr="001E5747">
              <w:rPr>
                <w:rFonts w:ascii="Calibri" w:hAnsi="Calibri" w:cs="Calibri"/>
                <w:color w:val="000000"/>
                <w:sz w:val="19"/>
                <w:szCs w:val="19"/>
                <w:lang w:val="en-GB"/>
              </w:rPr>
              <w:t>Level of updating the property tax register</w:t>
            </w:r>
          </w:p>
        </w:tc>
        <w:tc>
          <w:tcPr>
            <w:tcW w:w="865" w:type="dxa"/>
            <w:tcBorders>
              <w:top w:val="single" w:sz="8" w:space="0" w:color="auto"/>
              <w:left w:val="single" w:sz="4" w:space="0" w:color="auto"/>
              <w:bottom w:val="single" w:sz="4" w:space="0" w:color="auto"/>
              <w:right w:val="single" w:sz="12" w:space="0" w:color="auto"/>
            </w:tcBorders>
            <w:shd w:val="clear" w:color="auto" w:fill="C4D79B"/>
            <w:tcMar>
              <w:top w:w="0" w:type="dxa"/>
              <w:left w:w="108" w:type="dxa"/>
              <w:bottom w:w="0" w:type="dxa"/>
              <w:right w:w="108" w:type="dxa"/>
            </w:tcMar>
            <w:vAlign w:val="center"/>
            <w:hideMark/>
          </w:tcPr>
          <w:p w14:paraId="47A7319A" w14:textId="77777777" w:rsidR="00B739C3" w:rsidRPr="001E5747" w:rsidRDefault="00B739C3" w:rsidP="00B739C3">
            <w:pPr>
              <w:jc w:val="center"/>
              <w:rPr>
                <w:rFonts w:ascii="Calibri" w:eastAsia="Calibri" w:hAnsi="Calibri"/>
                <w:color w:val="000000"/>
                <w:sz w:val="19"/>
                <w:szCs w:val="19"/>
                <w:lang w:val="en-GB"/>
              </w:rPr>
            </w:pPr>
            <w:r w:rsidRPr="001E5747">
              <w:rPr>
                <w:rFonts w:ascii="Calibri" w:eastAsia="Calibri" w:hAnsi="Calibri"/>
                <w:color w:val="000000"/>
                <w:sz w:val="19"/>
                <w:szCs w:val="19"/>
                <w:lang w:val="en-GB"/>
              </w:rPr>
              <w:t>3</w:t>
            </w:r>
          </w:p>
        </w:tc>
      </w:tr>
      <w:tr w:rsidR="00B739C3" w:rsidRPr="001E5747" w14:paraId="5BCC8C54" w14:textId="77777777" w:rsidTr="00822DDE">
        <w:trPr>
          <w:trHeight w:val="284"/>
          <w:jc w:val="center"/>
        </w:trPr>
        <w:tc>
          <w:tcPr>
            <w:tcW w:w="605" w:type="dxa"/>
            <w:tcBorders>
              <w:top w:val="single" w:sz="4" w:space="0" w:color="auto"/>
              <w:left w:val="single" w:sz="12"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0F25C82F" w14:textId="77777777" w:rsidR="00B739C3" w:rsidRPr="001E5747" w:rsidRDefault="00B739C3" w:rsidP="00B739C3">
            <w:pPr>
              <w:jc w:val="center"/>
              <w:rPr>
                <w:rFonts w:ascii="Calibri" w:eastAsia="Calibri" w:hAnsi="Calibri"/>
                <w:sz w:val="19"/>
                <w:szCs w:val="19"/>
                <w:lang w:val="en-GB"/>
              </w:rPr>
            </w:pPr>
            <w:r w:rsidRPr="001E5747">
              <w:rPr>
                <w:rFonts w:ascii="Calibri" w:eastAsia="Calibri" w:hAnsi="Calibri"/>
                <w:sz w:val="19"/>
                <w:szCs w:val="19"/>
                <w:lang w:val="en-GB"/>
              </w:rPr>
              <w:t>15</w:t>
            </w:r>
          </w:p>
        </w:tc>
        <w:tc>
          <w:tcPr>
            <w:tcW w:w="742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377D655A" w14:textId="77777777" w:rsidR="00B739C3" w:rsidRPr="001E5747" w:rsidRDefault="00B739C3" w:rsidP="00B739C3">
            <w:pPr>
              <w:rPr>
                <w:rFonts w:ascii="Calibri" w:eastAsia="Calibri" w:hAnsi="Calibri"/>
                <w:color w:val="000000"/>
                <w:sz w:val="19"/>
                <w:szCs w:val="19"/>
                <w:lang w:val="en-GB"/>
              </w:rPr>
            </w:pPr>
            <w:r w:rsidRPr="001E5747">
              <w:rPr>
                <w:rFonts w:ascii="Calibri" w:eastAsia="Calibri" w:hAnsi="Calibri"/>
                <w:color w:val="000000"/>
                <w:sz w:val="19"/>
                <w:szCs w:val="19"/>
                <w:lang w:val="en-GB"/>
              </w:rPr>
              <w:t>Level of property tax bill collection (no debts, interest, penalties)</w:t>
            </w:r>
          </w:p>
        </w:tc>
        <w:tc>
          <w:tcPr>
            <w:tcW w:w="865" w:type="dxa"/>
            <w:tcBorders>
              <w:top w:val="single" w:sz="4" w:space="0" w:color="auto"/>
              <w:left w:val="single" w:sz="4" w:space="0" w:color="auto"/>
              <w:bottom w:val="single" w:sz="4" w:space="0" w:color="auto"/>
              <w:right w:val="single" w:sz="12" w:space="0" w:color="auto"/>
            </w:tcBorders>
            <w:shd w:val="clear" w:color="auto" w:fill="C2D69B" w:themeFill="accent3" w:themeFillTint="99"/>
            <w:tcMar>
              <w:top w:w="0" w:type="dxa"/>
              <w:left w:w="108" w:type="dxa"/>
              <w:bottom w:w="0" w:type="dxa"/>
              <w:right w:w="108" w:type="dxa"/>
            </w:tcMar>
            <w:vAlign w:val="center"/>
            <w:hideMark/>
          </w:tcPr>
          <w:p w14:paraId="60A602F6" w14:textId="77777777" w:rsidR="00B739C3" w:rsidRPr="001E5747" w:rsidRDefault="00B739C3" w:rsidP="00B739C3">
            <w:pPr>
              <w:jc w:val="center"/>
              <w:rPr>
                <w:rFonts w:ascii="Calibri" w:eastAsia="Calibri" w:hAnsi="Calibri"/>
                <w:color w:val="000000"/>
                <w:sz w:val="19"/>
                <w:szCs w:val="19"/>
                <w:lang w:val="en-GB"/>
              </w:rPr>
            </w:pPr>
            <w:r w:rsidRPr="001E5747">
              <w:rPr>
                <w:rFonts w:ascii="Calibri" w:eastAsia="Calibri" w:hAnsi="Calibri"/>
                <w:color w:val="000000"/>
                <w:sz w:val="19"/>
                <w:szCs w:val="19"/>
                <w:lang w:val="en-GB"/>
              </w:rPr>
              <w:t>5</w:t>
            </w:r>
          </w:p>
        </w:tc>
      </w:tr>
      <w:tr w:rsidR="00B739C3" w:rsidRPr="001E5747" w14:paraId="6C59998B" w14:textId="77777777" w:rsidTr="00822DDE">
        <w:trPr>
          <w:trHeight w:val="284"/>
          <w:jc w:val="center"/>
        </w:trPr>
        <w:tc>
          <w:tcPr>
            <w:tcW w:w="605" w:type="dxa"/>
            <w:tcBorders>
              <w:top w:val="single" w:sz="4" w:space="0" w:color="auto"/>
              <w:left w:val="single" w:sz="12" w:space="0" w:color="auto"/>
              <w:bottom w:val="single" w:sz="4" w:space="0" w:color="auto"/>
              <w:right w:val="single" w:sz="4" w:space="0" w:color="auto"/>
            </w:tcBorders>
            <w:shd w:val="clear" w:color="auto" w:fill="C4D79B"/>
            <w:tcMar>
              <w:top w:w="0" w:type="dxa"/>
              <w:left w:w="108" w:type="dxa"/>
              <w:bottom w:w="0" w:type="dxa"/>
              <w:right w:w="108" w:type="dxa"/>
            </w:tcMar>
            <w:vAlign w:val="center"/>
            <w:hideMark/>
          </w:tcPr>
          <w:p w14:paraId="5130611C" w14:textId="77777777" w:rsidR="00B739C3" w:rsidRPr="001E5747" w:rsidRDefault="00B739C3" w:rsidP="00B739C3">
            <w:pPr>
              <w:jc w:val="center"/>
              <w:rPr>
                <w:rFonts w:ascii="Calibri" w:eastAsia="Calibri" w:hAnsi="Calibri"/>
                <w:sz w:val="19"/>
                <w:szCs w:val="19"/>
                <w:lang w:val="en-GB"/>
              </w:rPr>
            </w:pPr>
            <w:r w:rsidRPr="001E5747">
              <w:rPr>
                <w:rFonts w:ascii="Calibri" w:eastAsia="Calibri" w:hAnsi="Calibri"/>
                <w:sz w:val="19"/>
                <w:szCs w:val="19"/>
                <w:lang w:val="en-GB"/>
              </w:rPr>
              <w:t>16</w:t>
            </w:r>
          </w:p>
        </w:tc>
        <w:tc>
          <w:tcPr>
            <w:tcW w:w="7427" w:type="dxa"/>
            <w:tcBorders>
              <w:top w:val="single" w:sz="4" w:space="0" w:color="auto"/>
              <w:left w:val="single" w:sz="4" w:space="0" w:color="auto"/>
              <w:bottom w:val="single" w:sz="4" w:space="0" w:color="auto"/>
              <w:right w:val="single" w:sz="4" w:space="0" w:color="auto"/>
            </w:tcBorders>
            <w:shd w:val="clear" w:color="auto" w:fill="C4D79B"/>
            <w:tcMar>
              <w:top w:w="0" w:type="dxa"/>
              <w:left w:w="108" w:type="dxa"/>
              <w:bottom w:w="0" w:type="dxa"/>
              <w:right w:w="108" w:type="dxa"/>
            </w:tcMar>
            <w:vAlign w:val="center"/>
            <w:hideMark/>
          </w:tcPr>
          <w:p w14:paraId="480A4CE8" w14:textId="77777777" w:rsidR="00B739C3" w:rsidRPr="001E5747" w:rsidRDefault="00B739C3" w:rsidP="00B739C3">
            <w:pPr>
              <w:rPr>
                <w:rFonts w:ascii="Calibri" w:eastAsia="Calibri" w:hAnsi="Calibri"/>
                <w:color w:val="000000"/>
                <w:sz w:val="19"/>
                <w:szCs w:val="19"/>
                <w:lang w:val="en-GB"/>
              </w:rPr>
            </w:pPr>
            <w:r w:rsidRPr="001E5747">
              <w:rPr>
                <w:rFonts w:ascii="Calibri" w:hAnsi="Calibri" w:cs="Calibri"/>
                <w:color w:val="000000"/>
                <w:sz w:val="19"/>
                <w:szCs w:val="19"/>
                <w:lang w:val="en-GB"/>
              </w:rPr>
              <w:t>Level of addressing the recommendations of the National Audit Office</w:t>
            </w:r>
          </w:p>
        </w:tc>
        <w:tc>
          <w:tcPr>
            <w:tcW w:w="865" w:type="dxa"/>
            <w:tcBorders>
              <w:top w:val="single" w:sz="4" w:space="0" w:color="auto"/>
              <w:left w:val="single" w:sz="4" w:space="0" w:color="auto"/>
              <w:bottom w:val="single" w:sz="4" w:space="0" w:color="auto"/>
              <w:right w:val="single" w:sz="12" w:space="0" w:color="auto"/>
            </w:tcBorders>
            <w:shd w:val="clear" w:color="auto" w:fill="C4D79B"/>
            <w:tcMar>
              <w:top w:w="0" w:type="dxa"/>
              <w:left w:w="108" w:type="dxa"/>
              <w:bottom w:w="0" w:type="dxa"/>
              <w:right w:w="108" w:type="dxa"/>
            </w:tcMar>
            <w:vAlign w:val="center"/>
            <w:hideMark/>
          </w:tcPr>
          <w:p w14:paraId="4E354309" w14:textId="77777777" w:rsidR="00B739C3" w:rsidRPr="001E5747" w:rsidRDefault="00B739C3" w:rsidP="00B739C3">
            <w:pPr>
              <w:jc w:val="center"/>
              <w:rPr>
                <w:rFonts w:ascii="Calibri" w:eastAsia="Calibri" w:hAnsi="Calibri"/>
                <w:color w:val="000000"/>
                <w:sz w:val="19"/>
                <w:szCs w:val="19"/>
                <w:lang w:val="en-GB"/>
              </w:rPr>
            </w:pPr>
            <w:r w:rsidRPr="001E5747">
              <w:rPr>
                <w:rFonts w:ascii="Calibri" w:eastAsia="Calibri" w:hAnsi="Calibri"/>
                <w:color w:val="000000"/>
                <w:sz w:val="19"/>
                <w:szCs w:val="19"/>
                <w:lang w:val="en-GB"/>
              </w:rPr>
              <w:t>5</w:t>
            </w:r>
          </w:p>
        </w:tc>
      </w:tr>
      <w:tr w:rsidR="00B739C3" w:rsidRPr="001E5747" w14:paraId="62ECA192" w14:textId="77777777" w:rsidTr="00822DDE">
        <w:trPr>
          <w:trHeight w:val="199"/>
          <w:jc w:val="center"/>
        </w:trPr>
        <w:tc>
          <w:tcPr>
            <w:tcW w:w="605" w:type="dxa"/>
            <w:tcBorders>
              <w:top w:val="single" w:sz="8" w:space="0" w:color="auto"/>
              <w:left w:val="single" w:sz="12"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14:paraId="44644B34" w14:textId="77777777" w:rsidR="00B739C3" w:rsidRPr="001E5747" w:rsidRDefault="00B739C3" w:rsidP="00B739C3">
            <w:pPr>
              <w:rPr>
                <w:rFonts w:ascii="Calibri" w:eastAsia="Calibri" w:hAnsi="Calibri"/>
                <w:b/>
                <w:color w:val="000000"/>
                <w:sz w:val="18"/>
                <w:szCs w:val="18"/>
                <w:lang w:val="en-GB"/>
              </w:rPr>
            </w:pPr>
            <w:r w:rsidRPr="001E5747">
              <w:rPr>
                <w:rFonts w:ascii="Calibri" w:eastAsia="Calibri" w:hAnsi="Calibri"/>
                <w:b/>
                <w:color w:val="000000"/>
                <w:sz w:val="18"/>
                <w:szCs w:val="18"/>
                <w:lang w:val="en-GB"/>
              </w:rPr>
              <w:t>V</w:t>
            </w:r>
          </w:p>
        </w:tc>
        <w:tc>
          <w:tcPr>
            <w:tcW w:w="7427" w:type="dxa"/>
            <w:tcBorders>
              <w:top w:val="single" w:sz="8" w:space="0" w:color="auto"/>
              <w:left w:val="single" w:sz="4"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14:paraId="56A5DE55" w14:textId="77777777" w:rsidR="00B739C3" w:rsidRPr="001E5747" w:rsidRDefault="00B739C3" w:rsidP="00B739C3">
            <w:pPr>
              <w:rPr>
                <w:rFonts w:ascii="Calibri" w:eastAsia="Calibri" w:hAnsi="Calibri"/>
                <w:b/>
                <w:bCs/>
                <w:color w:val="000000"/>
                <w:sz w:val="20"/>
                <w:szCs w:val="20"/>
                <w:lang w:val="en-GB"/>
              </w:rPr>
            </w:pPr>
            <w:r w:rsidRPr="001E5747">
              <w:rPr>
                <w:rFonts w:ascii="Calibri" w:eastAsia="Calibri" w:hAnsi="Calibri"/>
                <w:b/>
                <w:bCs/>
                <w:color w:val="000000"/>
                <w:sz w:val="20"/>
                <w:szCs w:val="20"/>
                <w:lang w:val="en-GB"/>
              </w:rPr>
              <w:t>Contract management</w:t>
            </w:r>
          </w:p>
        </w:tc>
        <w:tc>
          <w:tcPr>
            <w:tcW w:w="865" w:type="dxa"/>
            <w:tcBorders>
              <w:top w:val="single" w:sz="8" w:space="0" w:color="auto"/>
              <w:left w:val="single" w:sz="4" w:space="0" w:color="auto"/>
              <w:bottom w:val="single" w:sz="8" w:space="0" w:color="auto"/>
              <w:right w:val="single" w:sz="12" w:space="0" w:color="auto"/>
            </w:tcBorders>
            <w:shd w:val="clear" w:color="auto" w:fill="D9D9D9"/>
            <w:noWrap/>
            <w:tcMar>
              <w:top w:w="0" w:type="dxa"/>
              <w:left w:w="108" w:type="dxa"/>
              <w:bottom w:w="0" w:type="dxa"/>
              <w:right w:w="108" w:type="dxa"/>
            </w:tcMar>
            <w:vAlign w:val="center"/>
            <w:hideMark/>
          </w:tcPr>
          <w:p w14:paraId="344F57EB" w14:textId="77777777" w:rsidR="00B739C3" w:rsidRPr="001E5747" w:rsidRDefault="00B739C3" w:rsidP="00B739C3">
            <w:pPr>
              <w:jc w:val="center"/>
              <w:rPr>
                <w:rFonts w:ascii="Calibri" w:eastAsia="Calibri" w:hAnsi="Calibri"/>
                <w:b/>
                <w:bCs/>
                <w:color w:val="000000"/>
                <w:sz w:val="28"/>
                <w:szCs w:val="28"/>
                <w:lang w:val="en-GB"/>
              </w:rPr>
            </w:pPr>
            <w:r w:rsidRPr="001E5747">
              <w:rPr>
                <w:rFonts w:ascii="Calibri" w:eastAsia="Calibri" w:hAnsi="Calibri"/>
                <w:b/>
                <w:bCs/>
                <w:color w:val="000000"/>
                <w:sz w:val="22"/>
                <w:szCs w:val="22"/>
                <w:lang w:val="en-GB"/>
              </w:rPr>
              <w:t>7</w:t>
            </w:r>
          </w:p>
        </w:tc>
      </w:tr>
      <w:tr w:rsidR="00B739C3" w:rsidRPr="001E5747" w14:paraId="215F2A63" w14:textId="77777777" w:rsidTr="00822DDE">
        <w:trPr>
          <w:trHeight w:val="300"/>
          <w:jc w:val="center"/>
        </w:trPr>
        <w:tc>
          <w:tcPr>
            <w:tcW w:w="605" w:type="dxa"/>
            <w:tcBorders>
              <w:top w:val="single" w:sz="8" w:space="0" w:color="auto"/>
              <w:left w:val="single" w:sz="12"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2AFF37A8" w14:textId="77777777" w:rsidR="00B739C3" w:rsidRPr="001E5747" w:rsidRDefault="00B739C3" w:rsidP="00B739C3">
            <w:pPr>
              <w:jc w:val="center"/>
              <w:rPr>
                <w:rFonts w:ascii="Calibri" w:eastAsia="Calibri" w:hAnsi="Calibri"/>
                <w:sz w:val="19"/>
                <w:szCs w:val="19"/>
                <w:lang w:val="en-GB"/>
              </w:rPr>
            </w:pPr>
            <w:r w:rsidRPr="001E5747">
              <w:rPr>
                <w:rFonts w:ascii="Calibri" w:eastAsia="Calibri" w:hAnsi="Calibri"/>
                <w:sz w:val="19"/>
                <w:szCs w:val="19"/>
                <w:lang w:val="en-GB"/>
              </w:rPr>
              <w:t>17</w:t>
            </w:r>
          </w:p>
        </w:tc>
        <w:tc>
          <w:tcPr>
            <w:tcW w:w="7427" w:type="dxa"/>
            <w:tcBorders>
              <w:top w:val="single" w:sz="8" w:space="0" w:color="auto"/>
              <w:left w:val="single" w:sz="4"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1C06E4CD" w14:textId="77777777" w:rsidR="00B739C3" w:rsidRPr="001E5747" w:rsidRDefault="00B739C3" w:rsidP="00B739C3">
            <w:pPr>
              <w:rPr>
                <w:rFonts w:ascii="Calibri" w:eastAsia="Calibri" w:hAnsi="Calibri"/>
                <w:sz w:val="19"/>
                <w:szCs w:val="19"/>
                <w:lang w:val="en-GB"/>
              </w:rPr>
            </w:pPr>
            <w:r w:rsidRPr="001E5747">
              <w:rPr>
                <w:rFonts w:ascii="Calibri" w:hAnsi="Calibri" w:cs="Calibri"/>
                <w:color w:val="000000"/>
                <w:sz w:val="19"/>
                <w:szCs w:val="19"/>
                <w:lang w:val="en-GB"/>
              </w:rPr>
              <w:t>Level of Implementation of the procurement plan</w:t>
            </w:r>
          </w:p>
        </w:tc>
        <w:tc>
          <w:tcPr>
            <w:tcW w:w="865" w:type="dxa"/>
            <w:tcBorders>
              <w:top w:val="single" w:sz="8" w:space="0" w:color="auto"/>
              <w:left w:val="single" w:sz="4" w:space="0" w:color="auto"/>
              <w:bottom w:val="single" w:sz="4" w:space="0" w:color="auto"/>
              <w:right w:val="single" w:sz="12" w:space="0" w:color="auto"/>
            </w:tcBorders>
            <w:shd w:val="clear" w:color="auto" w:fill="C2D69B" w:themeFill="accent3" w:themeFillTint="99"/>
            <w:tcMar>
              <w:top w:w="0" w:type="dxa"/>
              <w:left w:w="108" w:type="dxa"/>
              <w:bottom w:w="0" w:type="dxa"/>
              <w:right w:w="108" w:type="dxa"/>
            </w:tcMar>
            <w:vAlign w:val="center"/>
            <w:hideMark/>
          </w:tcPr>
          <w:p w14:paraId="4F844BDD" w14:textId="77777777" w:rsidR="00B739C3" w:rsidRPr="001E5747" w:rsidRDefault="00B739C3" w:rsidP="00B739C3">
            <w:pPr>
              <w:jc w:val="center"/>
              <w:rPr>
                <w:rFonts w:ascii="Calibri" w:eastAsia="Calibri" w:hAnsi="Calibri"/>
                <w:color w:val="000000"/>
                <w:sz w:val="19"/>
                <w:szCs w:val="19"/>
                <w:lang w:val="en-GB"/>
              </w:rPr>
            </w:pPr>
            <w:r w:rsidRPr="001E5747">
              <w:rPr>
                <w:rFonts w:ascii="Calibri" w:eastAsia="Calibri" w:hAnsi="Calibri"/>
                <w:color w:val="000000"/>
                <w:sz w:val="19"/>
                <w:szCs w:val="19"/>
                <w:lang w:val="en-GB"/>
              </w:rPr>
              <w:t>3</w:t>
            </w:r>
          </w:p>
        </w:tc>
      </w:tr>
      <w:tr w:rsidR="00B739C3" w:rsidRPr="001E5747" w14:paraId="3B6F2B18" w14:textId="77777777" w:rsidTr="00822DDE">
        <w:trPr>
          <w:trHeight w:val="300"/>
          <w:jc w:val="center"/>
        </w:trPr>
        <w:tc>
          <w:tcPr>
            <w:tcW w:w="605" w:type="dxa"/>
            <w:tcBorders>
              <w:top w:val="single" w:sz="4" w:space="0" w:color="auto"/>
              <w:left w:val="single" w:sz="12"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5AE9EE48" w14:textId="77777777" w:rsidR="00B739C3" w:rsidRPr="001E5747" w:rsidRDefault="00B739C3" w:rsidP="00B739C3">
            <w:pPr>
              <w:jc w:val="center"/>
              <w:rPr>
                <w:rFonts w:ascii="Calibri" w:eastAsia="Calibri" w:hAnsi="Calibri"/>
                <w:color w:val="000000"/>
                <w:sz w:val="19"/>
                <w:szCs w:val="19"/>
                <w:lang w:val="en-GB"/>
              </w:rPr>
            </w:pPr>
            <w:r w:rsidRPr="001E5747">
              <w:rPr>
                <w:rFonts w:ascii="Calibri" w:eastAsia="Calibri" w:hAnsi="Calibri"/>
                <w:color w:val="000000"/>
                <w:sz w:val="19"/>
                <w:szCs w:val="19"/>
                <w:lang w:val="en-GB"/>
              </w:rPr>
              <w:t>18</w:t>
            </w:r>
          </w:p>
        </w:tc>
        <w:tc>
          <w:tcPr>
            <w:tcW w:w="742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bottom"/>
            <w:hideMark/>
          </w:tcPr>
          <w:p w14:paraId="5B672396" w14:textId="77777777" w:rsidR="00B739C3" w:rsidRPr="001E5747" w:rsidRDefault="003C772E" w:rsidP="00B739C3">
            <w:pPr>
              <w:spacing w:after="40"/>
              <w:rPr>
                <w:rFonts w:ascii="Calibri" w:eastAsia="Calibri" w:hAnsi="Calibri"/>
                <w:color w:val="000000"/>
                <w:sz w:val="19"/>
                <w:szCs w:val="19"/>
                <w:lang w:val="en-GB"/>
              </w:rPr>
            </w:pPr>
            <w:r w:rsidRPr="001E5747">
              <w:rPr>
                <w:rFonts w:ascii="Calibri" w:hAnsi="Calibri" w:cs="Calibri"/>
                <w:color w:val="000000"/>
                <w:sz w:val="19"/>
                <w:szCs w:val="19"/>
                <w:lang w:val="en-GB"/>
              </w:rPr>
              <w:t>Compilation</w:t>
            </w:r>
            <w:r w:rsidR="00B739C3" w:rsidRPr="001E5747">
              <w:rPr>
                <w:rFonts w:ascii="Calibri" w:hAnsi="Calibri" w:cs="Calibri"/>
                <w:color w:val="000000"/>
                <w:sz w:val="19"/>
                <w:szCs w:val="19"/>
                <w:lang w:val="en-GB"/>
              </w:rPr>
              <w:t xml:space="preserve"> and publication of the list of municipal properties planned for commissioning</w:t>
            </w:r>
          </w:p>
        </w:tc>
        <w:tc>
          <w:tcPr>
            <w:tcW w:w="865" w:type="dxa"/>
            <w:tcBorders>
              <w:top w:val="single" w:sz="4" w:space="0" w:color="auto"/>
              <w:left w:val="single" w:sz="4" w:space="0" w:color="auto"/>
              <w:bottom w:val="single" w:sz="4" w:space="0" w:color="auto"/>
              <w:right w:val="single" w:sz="12" w:space="0" w:color="auto"/>
            </w:tcBorders>
            <w:shd w:val="clear" w:color="auto" w:fill="C2D69B" w:themeFill="accent3" w:themeFillTint="99"/>
            <w:tcMar>
              <w:top w:w="0" w:type="dxa"/>
              <w:left w:w="108" w:type="dxa"/>
              <w:bottom w:w="0" w:type="dxa"/>
              <w:right w:w="108" w:type="dxa"/>
            </w:tcMar>
            <w:vAlign w:val="center"/>
            <w:hideMark/>
          </w:tcPr>
          <w:p w14:paraId="1ECD0CC2" w14:textId="77777777" w:rsidR="00B739C3" w:rsidRPr="001E5747" w:rsidRDefault="00B739C3" w:rsidP="00B739C3">
            <w:pPr>
              <w:jc w:val="center"/>
              <w:rPr>
                <w:rFonts w:ascii="Calibri" w:eastAsia="Calibri" w:hAnsi="Calibri"/>
                <w:color w:val="000000"/>
                <w:sz w:val="19"/>
                <w:szCs w:val="19"/>
                <w:lang w:val="en-GB"/>
              </w:rPr>
            </w:pPr>
            <w:r w:rsidRPr="001E5747">
              <w:rPr>
                <w:rFonts w:ascii="Calibri" w:eastAsia="Calibri" w:hAnsi="Calibri"/>
                <w:color w:val="000000"/>
                <w:sz w:val="19"/>
                <w:szCs w:val="19"/>
                <w:lang w:val="en-GB"/>
              </w:rPr>
              <w:t>4</w:t>
            </w:r>
          </w:p>
        </w:tc>
      </w:tr>
      <w:tr w:rsidR="00B739C3" w:rsidRPr="001E5747" w14:paraId="1DDED5EC" w14:textId="77777777" w:rsidTr="00822DDE">
        <w:trPr>
          <w:trHeight w:val="199"/>
          <w:jc w:val="center"/>
        </w:trPr>
        <w:tc>
          <w:tcPr>
            <w:tcW w:w="605" w:type="dxa"/>
            <w:tcBorders>
              <w:top w:val="single" w:sz="8" w:space="0" w:color="auto"/>
              <w:left w:val="single" w:sz="12"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14:paraId="32D50F89" w14:textId="77777777" w:rsidR="00B739C3" w:rsidRPr="001E5747" w:rsidRDefault="00B739C3" w:rsidP="00B739C3">
            <w:pPr>
              <w:rPr>
                <w:rFonts w:ascii="Calibri" w:eastAsia="Calibri" w:hAnsi="Calibri"/>
                <w:b/>
                <w:color w:val="000000"/>
                <w:sz w:val="18"/>
                <w:szCs w:val="18"/>
                <w:lang w:val="en-GB"/>
              </w:rPr>
            </w:pPr>
            <w:r w:rsidRPr="001E5747">
              <w:rPr>
                <w:rFonts w:ascii="Calibri" w:eastAsia="Calibri" w:hAnsi="Calibri"/>
                <w:b/>
                <w:color w:val="000000"/>
                <w:sz w:val="18"/>
                <w:szCs w:val="18"/>
                <w:lang w:val="en-GB"/>
              </w:rPr>
              <w:t>VI</w:t>
            </w:r>
          </w:p>
        </w:tc>
        <w:tc>
          <w:tcPr>
            <w:tcW w:w="7427" w:type="dxa"/>
            <w:tcBorders>
              <w:top w:val="single" w:sz="8" w:space="0" w:color="auto"/>
              <w:left w:val="single" w:sz="4"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14:paraId="32C1D01D" w14:textId="77777777" w:rsidR="00B739C3" w:rsidRPr="001E5747" w:rsidRDefault="00B739C3" w:rsidP="00B739C3">
            <w:pPr>
              <w:rPr>
                <w:rFonts w:ascii="Calibri" w:eastAsia="Calibri" w:hAnsi="Calibri"/>
                <w:b/>
                <w:bCs/>
                <w:color w:val="000000"/>
                <w:sz w:val="20"/>
                <w:szCs w:val="20"/>
                <w:lang w:val="en-GB"/>
              </w:rPr>
            </w:pPr>
            <w:r w:rsidRPr="001E5747">
              <w:rPr>
                <w:rFonts w:ascii="Calibri" w:eastAsia="Calibri" w:hAnsi="Calibri"/>
                <w:b/>
                <w:bCs/>
                <w:color w:val="000000"/>
                <w:sz w:val="20"/>
                <w:szCs w:val="20"/>
                <w:lang w:val="en-GB"/>
              </w:rPr>
              <w:t>Human resource management</w:t>
            </w:r>
          </w:p>
        </w:tc>
        <w:tc>
          <w:tcPr>
            <w:tcW w:w="865" w:type="dxa"/>
            <w:tcBorders>
              <w:top w:val="single" w:sz="8" w:space="0" w:color="auto"/>
              <w:left w:val="single" w:sz="4" w:space="0" w:color="auto"/>
              <w:bottom w:val="single" w:sz="8" w:space="0" w:color="auto"/>
              <w:right w:val="single" w:sz="12" w:space="0" w:color="auto"/>
            </w:tcBorders>
            <w:shd w:val="clear" w:color="auto" w:fill="D9D9D9"/>
            <w:noWrap/>
            <w:tcMar>
              <w:top w:w="0" w:type="dxa"/>
              <w:left w:w="108" w:type="dxa"/>
              <w:bottom w:w="0" w:type="dxa"/>
              <w:right w:w="108" w:type="dxa"/>
            </w:tcMar>
            <w:vAlign w:val="center"/>
            <w:hideMark/>
          </w:tcPr>
          <w:p w14:paraId="5059BE1A" w14:textId="77777777" w:rsidR="00B739C3" w:rsidRPr="001E5747" w:rsidRDefault="0081785C" w:rsidP="0081785C">
            <w:pPr>
              <w:jc w:val="center"/>
              <w:rPr>
                <w:rFonts w:ascii="Calibri" w:eastAsia="Calibri" w:hAnsi="Calibri"/>
                <w:b/>
                <w:bCs/>
                <w:color w:val="000000"/>
                <w:sz w:val="28"/>
                <w:szCs w:val="28"/>
                <w:lang w:val="en-GB"/>
              </w:rPr>
            </w:pPr>
            <w:r>
              <w:rPr>
                <w:rFonts w:ascii="Calibri" w:eastAsia="Calibri" w:hAnsi="Calibri"/>
                <w:b/>
                <w:bCs/>
                <w:color w:val="000000"/>
                <w:sz w:val="22"/>
                <w:szCs w:val="22"/>
                <w:lang w:val="en-GB"/>
              </w:rPr>
              <w:t>8</w:t>
            </w:r>
          </w:p>
        </w:tc>
      </w:tr>
      <w:tr w:rsidR="00B739C3" w:rsidRPr="001E5747" w14:paraId="09AE8238" w14:textId="77777777" w:rsidTr="00EF13F3">
        <w:trPr>
          <w:trHeight w:val="300"/>
          <w:jc w:val="center"/>
        </w:trPr>
        <w:tc>
          <w:tcPr>
            <w:tcW w:w="605" w:type="dxa"/>
            <w:tcBorders>
              <w:top w:val="single" w:sz="4" w:space="0" w:color="auto"/>
              <w:left w:val="single" w:sz="12" w:space="0" w:color="auto"/>
              <w:bottom w:val="single" w:sz="8" w:space="0" w:color="auto"/>
              <w:right w:val="single" w:sz="4" w:space="0" w:color="auto"/>
            </w:tcBorders>
            <w:shd w:val="clear" w:color="auto" w:fill="FFC000"/>
            <w:tcMar>
              <w:top w:w="0" w:type="dxa"/>
              <w:left w:w="108" w:type="dxa"/>
              <w:bottom w:w="0" w:type="dxa"/>
              <w:right w:w="108" w:type="dxa"/>
            </w:tcMar>
            <w:vAlign w:val="center"/>
            <w:hideMark/>
          </w:tcPr>
          <w:p w14:paraId="08C1767C" w14:textId="77777777" w:rsidR="00B739C3" w:rsidRPr="001E5747" w:rsidRDefault="00B739C3" w:rsidP="00B739C3">
            <w:pPr>
              <w:jc w:val="center"/>
              <w:rPr>
                <w:rFonts w:ascii="Calibri" w:eastAsia="Calibri" w:hAnsi="Calibri"/>
                <w:color w:val="000000"/>
                <w:sz w:val="19"/>
                <w:szCs w:val="19"/>
                <w:lang w:val="en-GB"/>
              </w:rPr>
            </w:pPr>
            <w:r w:rsidRPr="001E5747">
              <w:rPr>
                <w:rFonts w:ascii="Calibri" w:eastAsia="Calibri" w:hAnsi="Calibri"/>
                <w:color w:val="000000"/>
                <w:sz w:val="19"/>
                <w:szCs w:val="19"/>
                <w:lang w:val="en-GB"/>
              </w:rPr>
              <w:t>19</w:t>
            </w:r>
          </w:p>
        </w:tc>
        <w:tc>
          <w:tcPr>
            <w:tcW w:w="7427" w:type="dxa"/>
            <w:tcBorders>
              <w:top w:val="single" w:sz="4" w:space="0" w:color="auto"/>
              <w:left w:val="single" w:sz="4" w:space="0" w:color="auto"/>
              <w:bottom w:val="single" w:sz="8" w:space="0" w:color="auto"/>
              <w:right w:val="single" w:sz="4" w:space="0" w:color="auto"/>
            </w:tcBorders>
            <w:shd w:val="clear" w:color="auto" w:fill="FFC000"/>
            <w:tcMar>
              <w:top w:w="0" w:type="dxa"/>
              <w:left w:w="108" w:type="dxa"/>
              <w:bottom w:w="0" w:type="dxa"/>
              <w:right w:w="108" w:type="dxa"/>
            </w:tcMar>
            <w:vAlign w:val="bottom"/>
            <w:hideMark/>
          </w:tcPr>
          <w:p w14:paraId="00EB2BEC" w14:textId="3C72A46B" w:rsidR="00B739C3" w:rsidRPr="001E5747" w:rsidRDefault="00B739C3" w:rsidP="00B739C3">
            <w:pPr>
              <w:spacing w:after="40"/>
              <w:rPr>
                <w:rFonts w:ascii="Calibri" w:eastAsia="Calibri" w:hAnsi="Calibri"/>
                <w:sz w:val="19"/>
                <w:szCs w:val="19"/>
                <w:lang w:val="en-GB"/>
              </w:rPr>
            </w:pPr>
            <w:r w:rsidRPr="001E5747">
              <w:rPr>
                <w:rFonts w:ascii="Calibri" w:hAnsi="Calibri" w:cs="Calibri"/>
                <w:color w:val="000000"/>
                <w:sz w:val="19"/>
                <w:szCs w:val="19"/>
                <w:lang w:val="en-GB"/>
              </w:rPr>
              <w:t>Vacancies processed through HRMIS</w:t>
            </w:r>
            <w:r w:rsidR="000E7915">
              <w:rPr>
                <w:rStyle w:val="FootnoteReference"/>
                <w:rFonts w:ascii="Calibri" w:hAnsi="Calibri" w:cs="Calibri"/>
                <w:color w:val="000000"/>
                <w:sz w:val="19"/>
                <w:szCs w:val="19"/>
                <w:lang w:val="en-GB"/>
              </w:rPr>
              <w:footnoteReference w:id="8"/>
            </w:r>
          </w:p>
        </w:tc>
        <w:tc>
          <w:tcPr>
            <w:tcW w:w="865" w:type="dxa"/>
            <w:tcBorders>
              <w:top w:val="single" w:sz="4" w:space="0" w:color="auto"/>
              <w:left w:val="single" w:sz="4" w:space="0" w:color="auto"/>
              <w:bottom w:val="single" w:sz="8" w:space="0" w:color="auto"/>
              <w:right w:val="single" w:sz="12" w:space="0" w:color="auto"/>
            </w:tcBorders>
            <w:shd w:val="clear" w:color="auto" w:fill="FFC000"/>
            <w:tcMar>
              <w:top w:w="0" w:type="dxa"/>
              <w:left w:w="108" w:type="dxa"/>
              <w:bottom w:w="0" w:type="dxa"/>
              <w:right w:w="108" w:type="dxa"/>
            </w:tcMar>
            <w:vAlign w:val="center"/>
            <w:hideMark/>
          </w:tcPr>
          <w:p w14:paraId="5900AB0A" w14:textId="77777777" w:rsidR="00B739C3" w:rsidRPr="001E5747" w:rsidRDefault="00B739C3" w:rsidP="00B739C3">
            <w:pPr>
              <w:jc w:val="center"/>
              <w:rPr>
                <w:rFonts w:ascii="Calibri" w:eastAsia="Calibri" w:hAnsi="Calibri"/>
                <w:color w:val="000000"/>
                <w:sz w:val="19"/>
                <w:szCs w:val="19"/>
                <w:lang w:val="en-GB"/>
              </w:rPr>
            </w:pPr>
            <w:r w:rsidRPr="001E5747">
              <w:rPr>
                <w:rFonts w:ascii="Calibri" w:eastAsia="Calibri" w:hAnsi="Calibri"/>
                <w:color w:val="000000"/>
                <w:sz w:val="19"/>
                <w:szCs w:val="19"/>
                <w:lang w:val="en-GB"/>
              </w:rPr>
              <w:t>2</w:t>
            </w:r>
          </w:p>
        </w:tc>
      </w:tr>
      <w:tr w:rsidR="00B739C3" w:rsidRPr="001E5747" w14:paraId="3426A58D" w14:textId="77777777" w:rsidTr="00822DDE">
        <w:trPr>
          <w:trHeight w:val="300"/>
          <w:jc w:val="center"/>
        </w:trPr>
        <w:tc>
          <w:tcPr>
            <w:tcW w:w="605" w:type="dxa"/>
            <w:tcBorders>
              <w:top w:val="single" w:sz="4" w:space="0" w:color="auto"/>
              <w:left w:val="single" w:sz="12"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06C64649" w14:textId="77777777" w:rsidR="00B739C3" w:rsidRPr="001E5747" w:rsidRDefault="00B739C3" w:rsidP="00B739C3">
            <w:pPr>
              <w:jc w:val="center"/>
              <w:rPr>
                <w:rFonts w:ascii="Calibri" w:eastAsia="Calibri" w:hAnsi="Calibri"/>
                <w:color w:val="000000"/>
                <w:sz w:val="19"/>
                <w:szCs w:val="19"/>
                <w:lang w:val="en-GB"/>
              </w:rPr>
            </w:pPr>
            <w:r w:rsidRPr="001E5747">
              <w:rPr>
                <w:rFonts w:ascii="Calibri" w:eastAsia="Calibri" w:hAnsi="Calibri"/>
                <w:color w:val="000000"/>
                <w:sz w:val="19"/>
                <w:szCs w:val="19"/>
                <w:lang w:val="en-GB"/>
              </w:rPr>
              <w:t>20</w:t>
            </w:r>
          </w:p>
        </w:tc>
        <w:tc>
          <w:tcPr>
            <w:tcW w:w="7427" w:type="dxa"/>
            <w:tcBorders>
              <w:top w:val="single" w:sz="4" w:space="0" w:color="auto"/>
              <w:left w:val="single" w:sz="4"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bottom"/>
            <w:hideMark/>
          </w:tcPr>
          <w:p w14:paraId="7F830AE0" w14:textId="77777777" w:rsidR="00B739C3" w:rsidRPr="001E5747" w:rsidRDefault="00B739C3" w:rsidP="00B739C3">
            <w:pPr>
              <w:spacing w:after="40"/>
              <w:rPr>
                <w:rFonts w:ascii="Calibri" w:hAnsi="Calibri" w:cs="Calibri"/>
                <w:color w:val="000000"/>
                <w:sz w:val="19"/>
                <w:szCs w:val="19"/>
                <w:lang w:val="en-GB"/>
              </w:rPr>
            </w:pPr>
            <w:r w:rsidRPr="001E5747">
              <w:rPr>
                <w:rFonts w:ascii="Calibri" w:hAnsi="Calibri" w:cs="Calibri"/>
                <w:color w:val="000000"/>
                <w:sz w:val="19"/>
                <w:szCs w:val="19"/>
                <w:lang w:val="en-GB"/>
              </w:rPr>
              <w:t>Women in leadership positions in educational, health and cultural / sports institutions</w:t>
            </w:r>
          </w:p>
        </w:tc>
        <w:tc>
          <w:tcPr>
            <w:tcW w:w="865" w:type="dxa"/>
            <w:tcBorders>
              <w:top w:val="single" w:sz="4" w:space="0" w:color="auto"/>
              <w:left w:val="single" w:sz="4" w:space="0" w:color="auto"/>
              <w:bottom w:val="single" w:sz="8" w:space="0" w:color="auto"/>
              <w:right w:val="single" w:sz="12" w:space="0" w:color="auto"/>
            </w:tcBorders>
            <w:shd w:val="clear" w:color="auto" w:fill="C2D69B" w:themeFill="accent3" w:themeFillTint="99"/>
            <w:tcMar>
              <w:top w:w="0" w:type="dxa"/>
              <w:left w:w="108" w:type="dxa"/>
              <w:bottom w:w="0" w:type="dxa"/>
              <w:right w:w="108" w:type="dxa"/>
            </w:tcMar>
            <w:vAlign w:val="center"/>
            <w:hideMark/>
          </w:tcPr>
          <w:p w14:paraId="61452198" w14:textId="77777777" w:rsidR="00B739C3" w:rsidRPr="001E5747" w:rsidRDefault="00B739C3" w:rsidP="00B739C3">
            <w:pPr>
              <w:jc w:val="center"/>
              <w:rPr>
                <w:rFonts w:ascii="Calibri" w:eastAsia="Calibri" w:hAnsi="Calibri"/>
                <w:color w:val="000000"/>
                <w:sz w:val="19"/>
                <w:szCs w:val="19"/>
                <w:lang w:val="en-GB"/>
              </w:rPr>
            </w:pPr>
            <w:r w:rsidRPr="001E5747">
              <w:rPr>
                <w:rFonts w:ascii="Calibri" w:eastAsia="Calibri" w:hAnsi="Calibri"/>
                <w:color w:val="000000"/>
                <w:sz w:val="19"/>
                <w:szCs w:val="19"/>
                <w:lang w:val="en-GB"/>
              </w:rPr>
              <w:t>5</w:t>
            </w:r>
          </w:p>
        </w:tc>
      </w:tr>
      <w:tr w:rsidR="00B739C3" w:rsidRPr="001E5747" w14:paraId="05A782D9" w14:textId="77777777" w:rsidTr="00822DDE">
        <w:trPr>
          <w:trHeight w:val="300"/>
          <w:jc w:val="center"/>
        </w:trPr>
        <w:tc>
          <w:tcPr>
            <w:tcW w:w="605" w:type="dxa"/>
            <w:tcBorders>
              <w:top w:val="single" w:sz="4" w:space="0" w:color="auto"/>
              <w:left w:val="single" w:sz="12"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49A9EA30" w14:textId="77777777" w:rsidR="00B739C3" w:rsidRPr="001E5747" w:rsidRDefault="00B739C3" w:rsidP="00B739C3">
            <w:pPr>
              <w:jc w:val="center"/>
              <w:rPr>
                <w:rFonts w:ascii="Calibri" w:eastAsia="Calibri" w:hAnsi="Calibri"/>
                <w:color w:val="000000"/>
                <w:sz w:val="19"/>
                <w:szCs w:val="19"/>
                <w:lang w:val="en-GB"/>
              </w:rPr>
            </w:pPr>
            <w:r w:rsidRPr="001E5747">
              <w:rPr>
                <w:rFonts w:ascii="Calibri" w:eastAsia="Calibri" w:hAnsi="Calibri"/>
                <w:color w:val="000000"/>
                <w:sz w:val="19"/>
                <w:szCs w:val="19"/>
                <w:lang w:val="en-GB"/>
              </w:rPr>
              <w:t>21</w:t>
            </w:r>
          </w:p>
        </w:tc>
        <w:tc>
          <w:tcPr>
            <w:tcW w:w="7427" w:type="dxa"/>
            <w:tcBorders>
              <w:top w:val="single" w:sz="4" w:space="0" w:color="auto"/>
              <w:left w:val="single" w:sz="4"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bottom"/>
            <w:hideMark/>
          </w:tcPr>
          <w:p w14:paraId="168A16B8" w14:textId="77777777" w:rsidR="00B739C3" w:rsidRPr="001E5747" w:rsidRDefault="00B739C3" w:rsidP="00B739C3">
            <w:pPr>
              <w:spacing w:after="40"/>
              <w:rPr>
                <w:rFonts w:ascii="Calibri" w:hAnsi="Calibri" w:cs="Calibri"/>
                <w:color w:val="000000"/>
                <w:sz w:val="19"/>
                <w:szCs w:val="19"/>
                <w:lang w:val="en-GB"/>
              </w:rPr>
            </w:pPr>
            <w:r w:rsidRPr="001E5747">
              <w:rPr>
                <w:rFonts w:ascii="Calibri" w:hAnsi="Calibri" w:cs="Calibri"/>
                <w:color w:val="000000"/>
                <w:sz w:val="19"/>
                <w:szCs w:val="19"/>
                <w:lang w:val="en-GB"/>
              </w:rPr>
              <w:t>Women appointed to political positions in the municipality</w:t>
            </w:r>
          </w:p>
        </w:tc>
        <w:tc>
          <w:tcPr>
            <w:tcW w:w="865" w:type="dxa"/>
            <w:tcBorders>
              <w:top w:val="single" w:sz="4" w:space="0" w:color="auto"/>
              <w:left w:val="single" w:sz="4" w:space="0" w:color="auto"/>
              <w:bottom w:val="single" w:sz="8" w:space="0" w:color="auto"/>
              <w:right w:val="single" w:sz="12" w:space="0" w:color="auto"/>
            </w:tcBorders>
            <w:shd w:val="clear" w:color="auto" w:fill="C2D69B" w:themeFill="accent3" w:themeFillTint="99"/>
            <w:tcMar>
              <w:top w:w="0" w:type="dxa"/>
              <w:left w:w="108" w:type="dxa"/>
              <w:bottom w:w="0" w:type="dxa"/>
              <w:right w:w="108" w:type="dxa"/>
            </w:tcMar>
            <w:vAlign w:val="center"/>
            <w:hideMark/>
          </w:tcPr>
          <w:p w14:paraId="4A965E2B" w14:textId="77777777" w:rsidR="00B739C3" w:rsidRPr="001E5747" w:rsidRDefault="00B739C3" w:rsidP="00B739C3">
            <w:pPr>
              <w:jc w:val="center"/>
              <w:rPr>
                <w:rFonts w:ascii="Calibri" w:eastAsia="Calibri" w:hAnsi="Calibri"/>
                <w:color w:val="000000"/>
                <w:sz w:val="19"/>
                <w:szCs w:val="19"/>
                <w:lang w:val="en-GB"/>
              </w:rPr>
            </w:pPr>
            <w:r w:rsidRPr="001E5747">
              <w:rPr>
                <w:rFonts w:ascii="Calibri" w:eastAsia="Calibri" w:hAnsi="Calibri"/>
                <w:color w:val="000000"/>
                <w:sz w:val="19"/>
                <w:szCs w:val="19"/>
                <w:lang w:val="en-GB"/>
              </w:rPr>
              <w:t>3</w:t>
            </w:r>
          </w:p>
        </w:tc>
      </w:tr>
      <w:tr w:rsidR="00B739C3" w:rsidRPr="001E5747" w14:paraId="4C8151F2" w14:textId="77777777" w:rsidTr="00B739C3">
        <w:trPr>
          <w:trHeight w:val="285"/>
          <w:jc w:val="center"/>
        </w:trPr>
        <w:tc>
          <w:tcPr>
            <w:tcW w:w="8032" w:type="dxa"/>
            <w:gridSpan w:val="2"/>
            <w:tcBorders>
              <w:top w:val="single" w:sz="12" w:space="0" w:color="auto"/>
              <w:left w:val="single" w:sz="12" w:space="0" w:color="auto"/>
              <w:bottom w:val="single" w:sz="8" w:space="0" w:color="auto"/>
              <w:right w:val="single" w:sz="4" w:space="0" w:color="auto"/>
            </w:tcBorders>
            <w:shd w:val="clear" w:color="auto" w:fill="8DB4E2"/>
            <w:noWrap/>
            <w:tcMar>
              <w:top w:w="0" w:type="dxa"/>
              <w:left w:w="108" w:type="dxa"/>
              <w:bottom w:w="0" w:type="dxa"/>
              <w:right w:w="108" w:type="dxa"/>
            </w:tcMar>
            <w:vAlign w:val="center"/>
            <w:hideMark/>
          </w:tcPr>
          <w:p w14:paraId="06536F8A" w14:textId="77777777" w:rsidR="00B739C3" w:rsidRPr="001E5747" w:rsidRDefault="00B739C3" w:rsidP="00B739C3">
            <w:pPr>
              <w:rPr>
                <w:rFonts w:ascii="Calibri" w:eastAsia="Calibri" w:hAnsi="Calibri"/>
                <w:b/>
                <w:bCs/>
                <w:color w:val="000000"/>
                <w:sz w:val="22"/>
                <w:szCs w:val="22"/>
                <w:lang w:val="en-GB"/>
              </w:rPr>
            </w:pPr>
            <w:r w:rsidRPr="001E5747">
              <w:rPr>
                <w:rFonts w:ascii="Calibri" w:eastAsia="Calibri" w:hAnsi="Calibri"/>
                <w:b/>
                <w:bCs/>
                <w:color w:val="000000"/>
                <w:sz w:val="22"/>
                <w:szCs w:val="22"/>
                <w:lang w:val="en-GB"/>
              </w:rPr>
              <w:t>III. PROVISION OF SERVICES</w:t>
            </w:r>
          </w:p>
        </w:tc>
        <w:tc>
          <w:tcPr>
            <w:tcW w:w="865" w:type="dxa"/>
            <w:tcBorders>
              <w:top w:val="single" w:sz="12" w:space="0" w:color="auto"/>
              <w:left w:val="single" w:sz="4" w:space="0" w:color="auto"/>
              <w:bottom w:val="single" w:sz="8" w:space="0" w:color="auto"/>
              <w:right w:val="single" w:sz="12" w:space="0" w:color="auto"/>
            </w:tcBorders>
            <w:shd w:val="clear" w:color="auto" w:fill="8DB4E2"/>
            <w:noWrap/>
            <w:tcMar>
              <w:top w:w="0" w:type="dxa"/>
              <w:left w:w="108" w:type="dxa"/>
              <w:bottom w:w="0" w:type="dxa"/>
              <w:right w:w="108" w:type="dxa"/>
            </w:tcMar>
            <w:vAlign w:val="center"/>
            <w:hideMark/>
          </w:tcPr>
          <w:p w14:paraId="49EAB728" w14:textId="77777777" w:rsidR="00B739C3" w:rsidRPr="001E5747" w:rsidRDefault="0081785C" w:rsidP="0081785C">
            <w:pPr>
              <w:jc w:val="center"/>
              <w:rPr>
                <w:rFonts w:ascii="Calibri" w:eastAsia="Calibri" w:hAnsi="Calibri"/>
                <w:b/>
                <w:bCs/>
                <w:color w:val="000000"/>
                <w:sz w:val="22"/>
                <w:szCs w:val="22"/>
                <w:lang w:val="en-GB"/>
              </w:rPr>
            </w:pPr>
            <w:r>
              <w:rPr>
                <w:rFonts w:ascii="Calibri" w:eastAsia="Calibri" w:hAnsi="Calibri"/>
                <w:b/>
                <w:bCs/>
                <w:color w:val="000000"/>
                <w:sz w:val="22"/>
                <w:szCs w:val="22"/>
                <w:lang w:val="en-GB"/>
              </w:rPr>
              <w:t>26</w:t>
            </w:r>
          </w:p>
        </w:tc>
      </w:tr>
      <w:tr w:rsidR="00B739C3" w:rsidRPr="001E5747" w14:paraId="23E49C3F" w14:textId="77777777" w:rsidTr="00822DDE">
        <w:trPr>
          <w:trHeight w:val="277"/>
          <w:jc w:val="center"/>
        </w:trPr>
        <w:tc>
          <w:tcPr>
            <w:tcW w:w="605" w:type="dxa"/>
            <w:tcBorders>
              <w:top w:val="single" w:sz="8" w:space="0" w:color="auto"/>
              <w:left w:val="single" w:sz="12"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14:paraId="183197A5" w14:textId="77777777" w:rsidR="00B739C3" w:rsidRPr="001E5747" w:rsidRDefault="00B739C3" w:rsidP="00B739C3">
            <w:pPr>
              <w:rPr>
                <w:rFonts w:ascii="Calibri" w:eastAsia="Calibri" w:hAnsi="Calibri"/>
                <w:b/>
                <w:bCs/>
                <w:color w:val="000000"/>
                <w:sz w:val="32"/>
                <w:szCs w:val="32"/>
                <w:lang w:val="en-GB"/>
              </w:rPr>
            </w:pPr>
            <w:r w:rsidRPr="001E5747">
              <w:rPr>
                <w:rFonts w:ascii="Calibri" w:eastAsia="Calibri" w:hAnsi="Calibri"/>
                <w:b/>
                <w:color w:val="000000"/>
                <w:sz w:val="18"/>
                <w:szCs w:val="18"/>
                <w:lang w:val="en-GB"/>
              </w:rPr>
              <w:t>VII</w:t>
            </w:r>
          </w:p>
        </w:tc>
        <w:tc>
          <w:tcPr>
            <w:tcW w:w="7427" w:type="dxa"/>
            <w:tcBorders>
              <w:top w:val="single" w:sz="8" w:space="0" w:color="auto"/>
              <w:left w:val="single" w:sz="4"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14:paraId="4193498B" w14:textId="77777777" w:rsidR="00B739C3" w:rsidRPr="001E5747" w:rsidRDefault="00B739C3" w:rsidP="00B739C3">
            <w:pPr>
              <w:rPr>
                <w:rFonts w:ascii="Calibri" w:eastAsia="Calibri" w:hAnsi="Calibri"/>
                <w:b/>
                <w:bCs/>
                <w:color w:val="000000"/>
                <w:sz w:val="28"/>
                <w:szCs w:val="28"/>
                <w:lang w:val="en-GB"/>
              </w:rPr>
            </w:pPr>
            <w:r w:rsidRPr="001E5747">
              <w:rPr>
                <w:rFonts w:ascii="Calibri" w:eastAsia="Calibri" w:hAnsi="Calibri"/>
                <w:b/>
                <w:bCs/>
                <w:color w:val="000000"/>
                <w:sz w:val="20"/>
                <w:szCs w:val="20"/>
                <w:lang w:val="en-GB"/>
              </w:rPr>
              <w:t>Administrative services</w:t>
            </w:r>
          </w:p>
        </w:tc>
        <w:tc>
          <w:tcPr>
            <w:tcW w:w="865" w:type="dxa"/>
            <w:tcBorders>
              <w:top w:val="single" w:sz="8" w:space="0" w:color="auto"/>
              <w:left w:val="single" w:sz="4" w:space="0" w:color="auto"/>
              <w:bottom w:val="single" w:sz="8" w:space="0" w:color="auto"/>
              <w:right w:val="single" w:sz="12" w:space="0" w:color="auto"/>
            </w:tcBorders>
            <w:shd w:val="clear" w:color="auto" w:fill="D9D9D9"/>
            <w:noWrap/>
            <w:tcMar>
              <w:top w:w="0" w:type="dxa"/>
              <w:left w:w="108" w:type="dxa"/>
              <w:bottom w:w="0" w:type="dxa"/>
              <w:right w:w="108" w:type="dxa"/>
            </w:tcMar>
            <w:vAlign w:val="center"/>
            <w:hideMark/>
          </w:tcPr>
          <w:p w14:paraId="4A79209A" w14:textId="77777777" w:rsidR="00B739C3" w:rsidRPr="001E5747" w:rsidRDefault="00B739C3" w:rsidP="00B739C3">
            <w:pPr>
              <w:jc w:val="center"/>
              <w:rPr>
                <w:rFonts w:ascii="Calibri" w:eastAsia="Calibri" w:hAnsi="Calibri"/>
                <w:b/>
                <w:bCs/>
                <w:color w:val="000000"/>
                <w:sz w:val="28"/>
                <w:szCs w:val="28"/>
                <w:lang w:val="en-GB"/>
              </w:rPr>
            </w:pPr>
            <w:r w:rsidRPr="001E5747">
              <w:rPr>
                <w:rFonts w:ascii="Calibri" w:eastAsia="Calibri" w:hAnsi="Calibri"/>
                <w:b/>
                <w:bCs/>
                <w:color w:val="000000"/>
                <w:sz w:val="20"/>
                <w:szCs w:val="20"/>
                <w:lang w:val="en-GB"/>
              </w:rPr>
              <w:t>6</w:t>
            </w:r>
          </w:p>
        </w:tc>
      </w:tr>
      <w:tr w:rsidR="00B739C3" w:rsidRPr="001E5747" w14:paraId="57DA4D03" w14:textId="77777777" w:rsidTr="00822DDE">
        <w:trPr>
          <w:trHeight w:val="205"/>
          <w:jc w:val="center"/>
        </w:trPr>
        <w:tc>
          <w:tcPr>
            <w:tcW w:w="605" w:type="dxa"/>
            <w:tcBorders>
              <w:top w:val="single" w:sz="8" w:space="0" w:color="auto"/>
              <w:left w:val="single" w:sz="12"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144AF0BC" w14:textId="77777777" w:rsidR="00B739C3" w:rsidRPr="001E5747" w:rsidRDefault="00B739C3" w:rsidP="00B739C3">
            <w:pPr>
              <w:ind w:right="-108"/>
              <w:rPr>
                <w:rFonts w:ascii="Calibri" w:hAnsi="Calibri" w:cs="Calibri"/>
                <w:sz w:val="19"/>
                <w:szCs w:val="19"/>
                <w:lang w:val="en-GB"/>
              </w:rPr>
            </w:pPr>
            <w:r w:rsidRPr="001E5747">
              <w:rPr>
                <w:rFonts w:ascii="Calibri" w:hAnsi="Calibri" w:cs="Calibri"/>
                <w:sz w:val="19"/>
                <w:szCs w:val="19"/>
                <w:lang w:val="en-GB"/>
              </w:rPr>
              <w:t>22</w:t>
            </w:r>
          </w:p>
        </w:tc>
        <w:tc>
          <w:tcPr>
            <w:tcW w:w="7427" w:type="dxa"/>
            <w:tcBorders>
              <w:top w:val="single" w:sz="8" w:space="0" w:color="auto"/>
              <w:left w:val="single" w:sz="4"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1A021997" w14:textId="77777777" w:rsidR="00B739C3" w:rsidRPr="001E5747" w:rsidRDefault="00B739C3" w:rsidP="00B739C3">
            <w:pPr>
              <w:spacing w:before="20"/>
              <w:ind w:right="-108"/>
              <w:rPr>
                <w:rFonts w:ascii="Calibri" w:hAnsi="Calibri" w:cs="Calibri"/>
                <w:sz w:val="19"/>
                <w:szCs w:val="19"/>
                <w:lang w:val="en-GB"/>
              </w:rPr>
            </w:pPr>
            <w:r w:rsidRPr="001E5747">
              <w:rPr>
                <w:rFonts w:ascii="Calibri" w:hAnsi="Calibri" w:cs="Calibri"/>
                <w:sz w:val="19"/>
                <w:szCs w:val="19"/>
                <w:lang w:val="en-GB"/>
              </w:rPr>
              <w:t>Administrative requests reviewed within the legal deadlines</w:t>
            </w:r>
          </w:p>
        </w:tc>
        <w:tc>
          <w:tcPr>
            <w:tcW w:w="865" w:type="dxa"/>
            <w:tcBorders>
              <w:top w:val="single" w:sz="8" w:space="0" w:color="auto"/>
              <w:left w:val="single" w:sz="4" w:space="0" w:color="auto"/>
              <w:bottom w:val="single" w:sz="4" w:space="0" w:color="auto"/>
              <w:right w:val="single" w:sz="12" w:space="0" w:color="auto"/>
            </w:tcBorders>
            <w:shd w:val="clear" w:color="auto" w:fill="C2D69B" w:themeFill="accent3" w:themeFillTint="99"/>
            <w:tcMar>
              <w:top w:w="0" w:type="dxa"/>
              <w:left w:w="108" w:type="dxa"/>
              <w:bottom w:w="0" w:type="dxa"/>
              <w:right w:w="108" w:type="dxa"/>
            </w:tcMar>
            <w:vAlign w:val="center"/>
            <w:hideMark/>
          </w:tcPr>
          <w:p w14:paraId="5D9C7FA9" w14:textId="77777777" w:rsidR="00B739C3" w:rsidRPr="001E5747" w:rsidRDefault="00B739C3" w:rsidP="00B739C3">
            <w:pPr>
              <w:ind w:right="-108"/>
              <w:rPr>
                <w:rFonts w:ascii="Calibri" w:hAnsi="Calibri" w:cs="Calibri"/>
                <w:sz w:val="19"/>
                <w:szCs w:val="19"/>
                <w:lang w:val="en-GB"/>
              </w:rPr>
            </w:pPr>
            <w:r w:rsidRPr="001E5747">
              <w:rPr>
                <w:rFonts w:ascii="Calibri" w:hAnsi="Calibri" w:cs="Calibri"/>
                <w:sz w:val="19"/>
                <w:szCs w:val="19"/>
                <w:lang w:val="en-GB"/>
              </w:rPr>
              <w:t xml:space="preserve"> </w:t>
            </w:r>
            <w:r w:rsidR="00A235AB" w:rsidRPr="001E5747">
              <w:rPr>
                <w:rFonts w:ascii="Calibri" w:hAnsi="Calibri" w:cs="Calibri"/>
                <w:sz w:val="19"/>
                <w:szCs w:val="19"/>
                <w:lang w:val="en-GB"/>
              </w:rPr>
              <w:t xml:space="preserve">    </w:t>
            </w:r>
            <w:r w:rsidRPr="001E5747">
              <w:rPr>
                <w:rFonts w:ascii="Calibri" w:hAnsi="Calibri" w:cs="Calibri"/>
                <w:sz w:val="19"/>
                <w:szCs w:val="19"/>
                <w:lang w:val="en-GB"/>
              </w:rPr>
              <w:t>4</w:t>
            </w:r>
          </w:p>
        </w:tc>
      </w:tr>
      <w:tr w:rsidR="00B739C3" w:rsidRPr="001E5747" w14:paraId="5859868F" w14:textId="77777777" w:rsidTr="00822DDE">
        <w:trPr>
          <w:trHeight w:val="211"/>
          <w:jc w:val="center"/>
        </w:trPr>
        <w:tc>
          <w:tcPr>
            <w:tcW w:w="605" w:type="dxa"/>
            <w:tcBorders>
              <w:top w:val="single" w:sz="4" w:space="0" w:color="auto"/>
              <w:left w:val="single" w:sz="12"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6CC94507" w14:textId="77777777" w:rsidR="00B739C3" w:rsidRPr="001E5747" w:rsidRDefault="00B739C3" w:rsidP="00B739C3">
            <w:pPr>
              <w:ind w:right="-108"/>
              <w:rPr>
                <w:rFonts w:ascii="Calibri" w:hAnsi="Calibri" w:cs="Calibri"/>
                <w:sz w:val="19"/>
                <w:szCs w:val="19"/>
                <w:lang w:val="en-GB"/>
              </w:rPr>
            </w:pPr>
            <w:r w:rsidRPr="001E5747">
              <w:rPr>
                <w:rFonts w:ascii="Calibri" w:hAnsi="Calibri" w:cs="Calibri"/>
                <w:sz w:val="19"/>
                <w:szCs w:val="19"/>
                <w:lang w:val="en-GB"/>
              </w:rPr>
              <w:t>23</w:t>
            </w:r>
          </w:p>
        </w:tc>
        <w:tc>
          <w:tcPr>
            <w:tcW w:w="742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006A0EB0" w14:textId="77777777" w:rsidR="00B739C3" w:rsidRPr="001E5747" w:rsidRDefault="00B739C3" w:rsidP="00B739C3">
            <w:pPr>
              <w:spacing w:before="20"/>
              <w:ind w:right="-108"/>
              <w:rPr>
                <w:rFonts w:ascii="Calibri" w:hAnsi="Calibri" w:cs="Calibri"/>
                <w:sz w:val="19"/>
                <w:szCs w:val="19"/>
                <w:lang w:val="en-GB"/>
              </w:rPr>
            </w:pPr>
            <w:r w:rsidRPr="001E5747">
              <w:rPr>
                <w:rFonts w:ascii="Calibri" w:hAnsi="Calibri" w:cs="Calibri"/>
                <w:sz w:val="19"/>
                <w:szCs w:val="19"/>
                <w:lang w:val="en-GB"/>
              </w:rPr>
              <w:t>Reviewed applications for construction permits</w:t>
            </w:r>
          </w:p>
        </w:tc>
        <w:tc>
          <w:tcPr>
            <w:tcW w:w="865" w:type="dxa"/>
            <w:tcBorders>
              <w:top w:val="single" w:sz="4" w:space="0" w:color="auto"/>
              <w:left w:val="single" w:sz="4" w:space="0" w:color="auto"/>
              <w:bottom w:val="single" w:sz="4" w:space="0" w:color="auto"/>
              <w:right w:val="single" w:sz="12" w:space="0" w:color="auto"/>
            </w:tcBorders>
            <w:shd w:val="clear" w:color="auto" w:fill="C2D69B" w:themeFill="accent3" w:themeFillTint="99"/>
            <w:tcMar>
              <w:top w:w="0" w:type="dxa"/>
              <w:left w:w="108" w:type="dxa"/>
              <w:bottom w:w="0" w:type="dxa"/>
              <w:right w:w="108" w:type="dxa"/>
            </w:tcMar>
            <w:vAlign w:val="center"/>
            <w:hideMark/>
          </w:tcPr>
          <w:p w14:paraId="7FC23433" w14:textId="77777777" w:rsidR="00B739C3" w:rsidRPr="001E5747" w:rsidRDefault="00A235AB" w:rsidP="00B739C3">
            <w:pPr>
              <w:ind w:right="-108"/>
              <w:rPr>
                <w:rFonts w:ascii="Calibri" w:hAnsi="Calibri" w:cs="Calibri"/>
                <w:sz w:val="19"/>
                <w:szCs w:val="19"/>
                <w:lang w:val="en-GB"/>
              </w:rPr>
            </w:pPr>
            <w:r w:rsidRPr="001E5747">
              <w:rPr>
                <w:rFonts w:ascii="Calibri" w:hAnsi="Calibri" w:cs="Calibri"/>
                <w:sz w:val="19"/>
                <w:szCs w:val="19"/>
                <w:lang w:val="en-GB"/>
              </w:rPr>
              <w:t xml:space="preserve">    </w:t>
            </w:r>
            <w:r w:rsidR="00B739C3" w:rsidRPr="001E5747">
              <w:rPr>
                <w:rFonts w:ascii="Calibri" w:hAnsi="Calibri" w:cs="Calibri"/>
                <w:sz w:val="19"/>
                <w:szCs w:val="19"/>
                <w:lang w:val="en-GB"/>
              </w:rPr>
              <w:t xml:space="preserve"> 2</w:t>
            </w:r>
          </w:p>
        </w:tc>
      </w:tr>
      <w:tr w:rsidR="00B739C3" w:rsidRPr="001E5747" w14:paraId="7D53EDAB" w14:textId="77777777" w:rsidTr="00822DDE">
        <w:trPr>
          <w:trHeight w:val="181"/>
          <w:jc w:val="center"/>
        </w:trPr>
        <w:tc>
          <w:tcPr>
            <w:tcW w:w="605" w:type="dxa"/>
            <w:tcBorders>
              <w:top w:val="single" w:sz="8" w:space="0" w:color="auto"/>
              <w:left w:val="single" w:sz="12"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14:paraId="7D8BF1BD" w14:textId="77777777" w:rsidR="00B739C3" w:rsidRPr="001E5747" w:rsidRDefault="00B739C3" w:rsidP="00B739C3">
            <w:pPr>
              <w:rPr>
                <w:rFonts w:ascii="Calibri" w:eastAsia="Calibri" w:hAnsi="Calibri"/>
                <w:b/>
                <w:color w:val="000000"/>
                <w:sz w:val="19"/>
                <w:szCs w:val="19"/>
                <w:lang w:val="en-GB"/>
              </w:rPr>
            </w:pPr>
            <w:r w:rsidRPr="001E5747">
              <w:rPr>
                <w:rFonts w:ascii="Calibri" w:eastAsia="Calibri" w:hAnsi="Calibri"/>
                <w:b/>
                <w:color w:val="000000"/>
                <w:sz w:val="18"/>
                <w:szCs w:val="18"/>
                <w:lang w:val="en-GB"/>
              </w:rPr>
              <w:t>VIII</w:t>
            </w:r>
          </w:p>
        </w:tc>
        <w:tc>
          <w:tcPr>
            <w:tcW w:w="7427" w:type="dxa"/>
            <w:tcBorders>
              <w:top w:val="single" w:sz="8" w:space="0" w:color="auto"/>
              <w:left w:val="single" w:sz="4"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14:paraId="7CC5DF09" w14:textId="77777777" w:rsidR="00B739C3" w:rsidRPr="001E5747" w:rsidRDefault="00B739C3" w:rsidP="00B739C3">
            <w:pPr>
              <w:rPr>
                <w:rFonts w:ascii="Calibri" w:eastAsia="Calibri" w:hAnsi="Calibri"/>
                <w:b/>
                <w:bCs/>
                <w:color w:val="000000"/>
                <w:sz w:val="20"/>
                <w:szCs w:val="20"/>
                <w:lang w:val="en-GB"/>
              </w:rPr>
            </w:pPr>
            <w:r w:rsidRPr="001E5747">
              <w:rPr>
                <w:rFonts w:ascii="Calibri" w:eastAsia="Calibri" w:hAnsi="Calibri"/>
                <w:b/>
                <w:bCs/>
                <w:color w:val="000000"/>
                <w:sz w:val="20"/>
                <w:szCs w:val="20"/>
                <w:lang w:val="en-GB"/>
              </w:rPr>
              <w:t>Spatial planning, public transport and the environment</w:t>
            </w:r>
          </w:p>
        </w:tc>
        <w:tc>
          <w:tcPr>
            <w:tcW w:w="865" w:type="dxa"/>
            <w:tcBorders>
              <w:top w:val="single" w:sz="8" w:space="0" w:color="auto"/>
              <w:left w:val="single" w:sz="4" w:space="0" w:color="auto"/>
              <w:bottom w:val="single" w:sz="8" w:space="0" w:color="auto"/>
              <w:right w:val="single" w:sz="12" w:space="0" w:color="auto"/>
            </w:tcBorders>
            <w:shd w:val="clear" w:color="auto" w:fill="D9D9D9"/>
            <w:noWrap/>
            <w:tcMar>
              <w:top w:w="0" w:type="dxa"/>
              <w:left w:w="108" w:type="dxa"/>
              <w:bottom w:w="0" w:type="dxa"/>
              <w:right w:w="108" w:type="dxa"/>
            </w:tcMar>
            <w:vAlign w:val="center"/>
            <w:hideMark/>
          </w:tcPr>
          <w:p w14:paraId="4E0A5461" w14:textId="77777777" w:rsidR="00B739C3" w:rsidRPr="001E5747" w:rsidRDefault="00B739C3" w:rsidP="00B739C3">
            <w:pPr>
              <w:jc w:val="center"/>
              <w:rPr>
                <w:rFonts w:ascii="Calibri" w:eastAsia="Calibri" w:hAnsi="Calibri"/>
                <w:b/>
                <w:bCs/>
                <w:color w:val="000000"/>
                <w:sz w:val="20"/>
                <w:szCs w:val="20"/>
                <w:lang w:val="en-GB"/>
              </w:rPr>
            </w:pPr>
            <w:r w:rsidRPr="001E5747">
              <w:rPr>
                <w:rFonts w:ascii="Calibri" w:eastAsia="Calibri" w:hAnsi="Calibri"/>
                <w:b/>
                <w:bCs/>
                <w:color w:val="000000"/>
                <w:sz w:val="20"/>
                <w:szCs w:val="20"/>
                <w:lang w:val="en-GB"/>
              </w:rPr>
              <w:t>8</w:t>
            </w:r>
          </w:p>
        </w:tc>
      </w:tr>
      <w:tr w:rsidR="00B739C3" w:rsidRPr="001E5747" w14:paraId="2423DE48" w14:textId="77777777" w:rsidTr="00822DDE">
        <w:trPr>
          <w:trHeight w:val="255"/>
          <w:jc w:val="center"/>
        </w:trPr>
        <w:tc>
          <w:tcPr>
            <w:tcW w:w="605" w:type="dxa"/>
            <w:tcBorders>
              <w:top w:val="single" w:sz="8" w:space="0" w:color="auto"/>
              <w:left w:val="single" w:sz="12" w:space="0" w:color="auto"/>
              <w:bottom w:val="single" w:sz="4" w:space="0" w:color="auto"/>
              <w:right w:val="single" w:sz="4" w:space="0" w:color="auto"/>
            </w:tcBorders>
            <w:shd w:val="clear" w:color="auto" w:fill="C4D79B"/>
            <w:tcMar>
              <w:top w:w="0" w:type="dxa"/>
              <w:left w:w="108" w:type="dxa"/>
              <w:bottom w:w="0" w:type="dxa"/>
              <w:right w:w="108" w:type="dxa"/>
            </w:tcMar>
            <w:vAlign w:val="center"/>
            <w:hideMark/>
          </w:tcPr>
          <w:p w14:paraId="17D1B08F" w14:textId="77777777" w:rsidR="00B739C3" w:rsidRPr="001E5747" w:rsidRDefault="00B739C3" w:rsidP="00B739C3">
            <w:pPr>
              <w:jc w:val="center"/>
              <w:rPr>
                <w:rFonts w:ascii="Calibri" w:eastAsia="Calibri" w:hAnsi="Calibri"/>
                <w:sz w:val="19"/>
                <w:szCs w:val="19"/>
                <w:lang w:val="en-GB"/>
              </w:rPr>
            </w:pPr>
            <w:r w:rsidRPr="001E5747">
              <w:rPr>
                <w:rFonts w:ascii="Calibri" w:eastAsia="Calibri" w:hAnsi="Calibri"/>
                <w:sz w:val="19"/>
                <w:szCs w:val="19"/>
                <w:lang w:val="en-GB"/>
              </w:rPr>
              <w:t>24</w:t>
            </w:r>
          </w:p>
        </w:tc>
        <w:tc>
          <w:tcPr>
            <w:tcW w:w="7427" w:type="dxa"/>
            <w:tcBorders>
              <w:top w:val="single" w:sz="8" w:space="0" w:color="auto"/>
              <w:left w:val="single" w:sz="4" w:space="0" w:color="auto"/>
              <w:bottom w:val="single" w:sz="4" w:space="0" w:color="auto"/>
              <w:right w:val="single" w:sz="4" w:space="0" w:color="auto"/>
            </w:tcBorders>
            <w:shd w:val="clear" w:color="auto" w:fill="C4D79B"/>
            <w:tcMar>
              <w:top w:w="0" w:type="dxa"/>
              <w:left w:w="108" w:type="dxa"/>
              <w:bottom w:w="0" w:type="dxa"/>
              <w:right w:w="108" w:type="dxa"/>
            </w:tcMar>
            <w:vAlign w:val="center"/>
            <w:hideMark/>
          </w:tcPr>
          <w:p w14:paraId="626F261A" w14:textId="77777777" w:rsidR="00B739C3" w:rsidRPr="001E5747" w:rsidRDefault="00B739C3" w:rsidP="00B739C3">
            <w:pPr>
              <w:spacing w:before="20"/>
              <w:rPr>
                <w:rFonts w:ascii="Calibri" w:eastAsia="Calibri" w:hAnsi="Calibri"/>
                <w:color w:val="000000"/>
                <w:sz w:val="19"/>
                <w:szCs w:val="19"/>
                <w:lang w:val="en-GB"/>
              </w:rPr>
            </w:pPr>
            <w:r w:rsidRPr="001E5747">
              <w:rPr>
                <w:rFonts w:ascii="Calibri" w:hAnsi="Calibri" w:cs="Calibri"/>
                <w:sz w:val="19"/>
                <w:szCs w:val="19"/>
                <w:lang w:val="en-GB"/>
              </w:rPr>
              <w:t>The surface of the territory of the municipality covered by regulatory plans (detailed)</w:t>
            </w:r>
            <w:r w:rsidR="00D13F22">
              <w:rPr>
                <w:rFonts w:ascii="Calibri" w:hAnsi="Calibri" w:cs="Calibri"/>
                <w:sz w:val="19"/>
                <w:szCs w:val="19"/>
                <w:lang w:val="en-GB"/>
              </w:rPr>
              <w:t xml:space="preserve"> or zoning maps</w:t>
            </w:r>
          </w:p>
        </w:tc>
        <w:tc>
          <w:tcPr>
            <w:tcW w:w="865" w:type="dxa"/>
            <w:tcBorders>
              <w:top w:val="single" w:sz="8" w:space="0" w:color="auto"/>
              <w:left w:val="single" w:sz="4" w:space="0" w:color="auto"/>
              <w:bottom w:val="single" w:sz="4" w:space="0" w:color="auto"/>
              <w:right w:val="single" w:sz="12" w:space="0" w:color="auto"/>
            </w:tcBorders>
            <w:shd w:val="clear" w:color="auto" w:fill="C4D79B"/>
            <w:tcMar>
              <w:top w:w="0" w:type="dxa"/>
              <w:left w:w="108" w:type="dxa"/>
              <w:bottom w:w="0" w:type="dxa"/>
              <w:right w:w="108" w:type="dxa"/>
            </w:tcMar>
            <w:vAlign w:val="center"/>
            <w:hideMark/>
          </w:tcPr>
          <w:p w14:paraId="5D15B093" w14:textId="77777777" w:rsidR="00B739C3" w:rsidRPr="001E5747" w:rsidRDefault="00B739C3" w:rsidP="00B739C3">
            <w:pPr>
              <w:jc w:val="center"/>
              <w:rPr>
                <w:rFonts w:ascii="Calibri" w:eastAsia="Calibri" w:hAnsi="Calibri"/>
                <w:color w:val="000000"/>
                <w:sz w:val="19"/>
                <w:szCs w:val="19"/>
                <w:lang w:val="en-GB"/>
              </w:rPr>
            </w:pPr>
            <w:r w:rsidRPr="001E5747">
              <w:rPr>
                <w:rFonts w:ascii="Calibri" w:eastAsia="Calibri" w:hAnsi="Calibri"/>
                <w:color w:val="000000"/>
                <w:sz w:val="19"/>
                <w:szCs w:val="19"/>
                <w:lang w:val="en-GB"/>
              </w:rPr>
              <w:t>3</w:t>
            </w:r>
          </w:p>
        </w:tc>
      </w:tr>
      <w:tr w:rsidR="00B739C3" w:rsidRPr="001E5747" w14:paraId="22D476AC" w14:textId="77777777" w:rsidTr="00822DDE">
        <w:trPr>
          <w:trHeight w:val="255"/>
          <w:jc w:val="center"/>
        </w:trPr>
        <w:tc>
          <w:tcPr>
            <w:tcW w:w="605" w:type="dxa"/>
            <w:tcBorders>
              <w:top w:val="single" w:sz="4" w:space="0" w:color="auto"/>
              <w:left w:val="single" w:sz="12" w:space="0" w:color="auto"/>
              <w:bottom w:val="single" w:sz="8" w:space="0" w:color="auto"/>
              <w:right w:val="single" w:sz="4" w:space="0" w:color="auto"/>
            </w:tcBorders>
            <w:shd w:val="clear" w:color="auto" w:fill="C4D79B"/>
            <w:tcMar>
              <w:top w:w="0" w:type="dxa"/>
              <w:left w:w="108" w:type="dxa"/>
              <w:bottom w:w="0" w:type="dxa"/>
              <w:right w:w="108" w:type="dxa"/>
            </w:tcMar>
            <w:vAlign w:val="center"/>
            <w:hideMark/>
          </w:tcPr>
          <w:p w14:paraId="0F1332B2" w14:textId="77777777" w:rsidR="00B739C3" w:rsidRPr="001E5747" w:rsidRDefault="00B739C3" w:rsidP="00B739C3">
            <w:pPr>
              <w:jc w:val="center"/>
              <w:rPr>
                <w:rFonts w:ascii="Calibri" w:eastAsia="Calibri" w:hAnsi="Calibri"/>
                <w:color w:val="000000"/>
                <w:sz w:val="19"/>
                <w:szCs w:val="19"/>
                <w:lang w:val="en-GB"/>
              </w:rPr>
            </w:pPr>
            <w:r w:rsidRPr="001E5747">
              <w:rPr>
                <w:rFonts w:ascii="Calibri" w:eastAsia="Calibri" w:hAnsi="Calibri"/>
                <w:color w:val="000000"/>
                <w:sz w:val="19"/>
                <w:szCs w:val="19"/>
                <w:lang w:val="en-GB"/>
              </w:rPr>
              <w:t>25</w:t>
            </w:r>
          </w:p>
        </w:tc>
        <w:tc>
          <w:tcPr>
            <w:tcW w:w="7427" w:type="dxa"/>
            <w:tcBorders>
              <w:top w:val="single" w:sz="4" w:space="0" w:color="auto"/>
              <w:left w:val="single" w:sz="4" w:space="0" w:color="auto"/>
              <w:bottom w:val="single" w:sz="8" w:space="0" w:color="auto"/>
              <w:right w:val="single" w:sz="4" w:space="0" w:color="auto"/>
            </w:tcBorders>
            <w:shd w:val="clear" w:color="auto" w:fill="C4D79B"/>
            <w:tcMar>
              <w:top w:w="0" w:type="dxa"/>
              <w:left w:w="108" w:type="dxa"/>
              <w:bottom w:w="0" w:type="dxa"/>
              <w:right w:w="108" w:type="dxa"/>
            </w:tcMar>
            <w:vAlign w:val="center"/>
            <w:hideMark/>
          </w:tcPr>
          <w:p w14:paraId="6E8C9587" w14:textId="77777777" w:rsidR="00B739C3" w:rsidRPr="001E5747" w:rsidRDefault="00B739C3" w:rsidP="00B739C3">
            <w:pPr>
              <w:spacing w:before="20"/>
              <w:rPr>
                <w:rFonts w:ascii="Calibri" w:eastAsia="Calibri" w:hAnsi="Calibri"/>
                <w:color w:val="000000"/>
                <w:sz w:val="19"/>
                <w:szCs w:val="19"/>
                <w:lang w:val="en-GB"/>
              </w:rPr>
            </w:pPr>
            <w:r w:rsidRPr="001E5747">
              <w:rPr>
                <w:rFonts w:ascii="Calibri" w:hAnsi="Calibri" w:cs="Calibri"/>
                <w:color w:val="000000"/>
                <w:sz w:val="19"/>
                <w:szCs w:val="19"/>
                <w:lang w:val="en-GB"/>
              </w:rPr>
              <w:t>Settlements involved in local public transport</w:t>
            </w:r>
          </w:p>
        </w:tc>
        <w:tc>
          <w:tcPr>
            <w:tcW w:w="865" w:type="dxa"/>
            <w:tcBorders>
              <w:top w:val="single" w:sz="4" w:space="0" w:color="auto"/>
              <w:left w:val="single" w:sz="4" w:space="0" w:color="auto"/>
              <w:bottom w:val="single" w:sz="8" w:space="0" w:color="auto"/>
              <w:right w:val="single" w:sz="12" w:space="0" w:color="auto"/>
            </w:tcBorders>
            <w:shd w:val="clear" w:color="auto" w:fill="C2D69B" w:themeFill="accent3" w:themeFillTint="99"/>
            <w:tcMar>
              <w:top w:w="0" w:type="dxa"/>
              <w:left w:w="108" w:type="dxa"/>
              <w:bottom w:w="0" w:type="dxa"/>
              <w:right w:w="108" w:type="dxa"/>
            </w:tcMar>
            <w:vAlign w:val="center"/>
            <w:hideMark/>
          </w:tcPr>
          <w:p w14:paraId="22514518" w14:textId="77777777" w:rsidR="00B739C3" w:rsidRPr="001E5747" w:rsidRDefault="00B739C3" w:rsidP="00B739C3">
            <w:pPr>
              <w:jc w:val="center"/>
              <w:rPr>
                <w:rFonts w:ascii="Calibri" w:eastAsia="Calibri" w:hAnsi="Calibri"/>
                <w:color w:val="000000"/>
                <w:sz w:val="19"/>
                <w:szCs w:val="19"/>
                <w:highlight w:val="green"/>
                <w:lang w:val="en-GB"/>
              </w:rPr>
            </w:pPr>
            <w:r w:rsidRPr="001E5747">
              <w:rPr>
                <w:rFonts w:ascii="Calibri" w:eastAsia="Calibri" w:hAnsi="Calibri"/>
                <w:color w:val="000000"/>
                <w:sz w:val="19"/>
                <w:szCs w:val="19"/>
                <w:lang w:val="en-GB"/>
              </w:rPr>
              <w:t>3</w:t>
            </w:r>
          </w:p>
        </w:tc>
      </w:tr>
      <w:tr w:rsidR="00B739C3" w:rsidRPr="001E5747" w14:paraId="3E118BFA" w14:textId="77777777" w:rsidTr="00822DDE">
        <w:trPr>
          <w:trHeight w:val="255"/>
          <w:jc w:val="center"/>
        </w:trPr>
        <w:tc>
          <w:tcPr>
            <w:tcW w:w="605" w:type="dxa"/>
            <w:tcBorders>
              <w:top w:val="single" w:sz="4" w:space="0" w:color="auto"/>
              <w:left w:val="single" w:sz="12" w:space="0" w:color="auto"/>
              <w:bottom w:val="single" w:sz="8" w:space="0" w:color="auto"/>
              <w:right w:val="single" w:sz="4" w:space="0" w:color="auto"/>
            </w:tcBorders>
            <w:shd w:val="clear" w:color="auto" w:fill="C4D79B"/>
            <w:tcMar>
              <w:top w:w="0" w:type="dxa"/>
              <w:left w:w="108" w:type="dxa"/>
              <w:bottom w:w="0" w:type="dxa"/>
              <w:right w:w="108" w:type="dxa"/>
            </w:tcMar>
            <w:vAlign w:val="center"/>
            <w:hideMark/>
          </w:tcPr>
          <w:p w14:paraId="4BD96CDD" w14:textId="77777777" w:rsidR="00B739C3" w:rsidRPr="001E5747" w:rsidRDefault="00B739C3" w:rsidP="00B739C3">
            <w:pPr>
              <w:jc w:val="center"/>
              <w:rPr>
                <w:rFonts w:ascii="Calibri" w:eastAsia="Calibri" w:hAnsi="Calibri"/>
                <w:color w:val="000000"/>
                <w:sz w:val="19"/>
                <w:szCs w:val="19"/>
                <w:lang w:val="en-GB"/>
              </w:rPr>
            </w:pPr>
            <w:r w:rsidRPr="001E5747">
              <w:rPr>
                <w:rFonts w:ascii="Calibri" w:eastAsia="Calibri" w:hAnsi="Calibri"/>
                <w:color w:val="000000"/>
                <w:sz w:val="19"/>
                <w:szCs w:val="19"/>
                <w:lang w:val="en-GB"/>
              </w:rPr>
              <w:t>26</w:t>
            </w:r>
          </w:p>
        </w:tc>
        <w:tc>
          <w:tcPr>
            <w:tcW w:w="7427" w:type="dxa"/>
            <w:tcBorders>
              <w:top w:val="single" w:sz="4" w:space="0" w:color="auto"/>
              <w:left w:val="single" w:sz="4" w:space="0" w:color="auto"/>
              <w:bottom w:val="single" w:sz="8" w:space="0" w:color="auto"/>
              <w:right w:val="single" w:sz="4" w:space="0" w:color="auto"/>
            </w:tcBorders>
            <w:shd w:val="clear" w:color="auto" w:fill="C4D79B"/>
            <w:tcMar>
              <w:top w:w="0" w:type="dxa"/>
              <w:left w:w="108" w:type="dxa"/>
              <w:bottom w:w="0" w:type="dxa"/>
              <w:right w:w="108" w:type="dxa"/>
            </w:tcMar>
            <w:vAlign w:val="center"/>
            <w:hideMark/>
          </w:tcPr>
          <w:p w14:paraId="6F3245F4" w14:textId="77777777" w:rsidR="00B739C3" w:rsidRPr="001E5747" w:rsidRDefault="00B739C3" w:rsidP="00B739C3">
            <w:pPr>
              <w:spacing w:before="20"/>
              <w:rPr>
                <w:rFonts w:ascii="Calibri" w:hAnsi="Calibri" w:cs="Calibri"/>
                <w:color w:val="000000"/>
                <w:sz w:val="19"/>
                <w:szCs w:val="19"/>
                <w:lang w:val="en-GB"/>
              </w:rPr>
            </w:pPr>
            <w:r w:rsidRPr="001E5747">
              <w:rPr>
                <w:rFonts w:ascii="Calibri" w:hAnsi="Calibri" w:cs="Calibri"/>
                <w:color w:val="000000"/>
                <w:sz w:val="19"/>
                <w:szCs w:val="19"/>
                <w:lang w:val="en-GB"/>
              </w:rPr>
              <w:t>Implementation of the local action plan in the environment</w:t>
            </w:r>
          </w:p>
        </w:tc>
        <w:tc>
          <w:tcPr>
            <w:tcW w:w="865" w:type="dxa"/>
            <w:tcBorders>
              <w:top w:val="single" w:sz="4" w:space="0" w:color="auto"/>
              <w:left w:val="single" w:sz="4" w:space="0" w:color="auto"/>
              <w:bottom w:val="single" w:sz="8" w:space="0" w:color="auto"/>
              <w:right w:val="single" w:sz="12" w:space="0" w:color="auto"/>
            </w:tcBorders>
            <w:shd w:val="clear" w:color="auto" w:fill="C4D79B"/>
            <w:tcMar>
              <w:top w:w="0" w:type="dxa"/>
              <w:left w:w="108" w:type="dxa"/>
              <w:bottom w:w="0" w:type="dxa"/>
              <w:right w:w="108" w:type="dxa"/>
            </w:tcMar>
            <w:vAlign w:val="center"/>
            <w:hideMark/>
          </w:tcPr>
          <w:p w14:paraId="76B2A284" w14:textId="77777777" w:rsidR="00B739C3" w:rsidRPr="001E5747" w:rsidRDefault="00B739C3" w:rsidP="00B739C3">
            <w:pPr>
              <w:jc w:val="center"/>
              <w:rPr>
                <w:rFonts w:ascii="Calibri" w:eastAsia="Calibri" w:hAnsi="Calibri"/>
                <w:color w:val="000000"/>
                <w:sz w:val="19"/>
                <w:szCs w:val="19"/>
                <w:lang w:val="en-GB"/>
              </w:rPr>
            </w:pPr>
            <w:r w:rsidRPr="001E5747">
              <w:rPr>
                <w:rFonts w:ascii="Calibri" w:eastAsia="Calibri" w:hAnsi="Calibri"/>
                <w:color w:val="000000"/>
                <w:sz w:val="19"/>
                <w:szCs w:val="19"/>
                <w:lang w:val="en-GB"/>
              </w:rPr>
              <w:t>2</w:t>
            </w:r>
          </w:p>
        </w:tc>
      </w:tr>
      <w:tr w:rsidR="00B739C3" w:rsidRPr="001E5747" w14:paraId="574B1455" w14:textId="77777777" w:rsidTr="00822DDE">
        <w:trPr>
          <w:trHeight w:val="255"/>
          <w:jc w:val="center"/>
        </w:trPr>
        <w:tc>
          <w:tcPr>
            <w:tcW w:w="605" w:type="dxa"/>
            <w:tcBorders>
              <w:top w:val="single" w:sz="4" w:space="0" w:color="auto"/>
              <w:left w:val="single" w:sz="12" w:space="0" w:color="auto"/>
              <w:bottom w:val="single" w:sz="8"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4233D08F" w14:textId="77777777" w:rsidR="00B739C3" w:rsidRPr="001E5747" w:rsidRDefault="00B739C3" w:rsidP="00B739C3">
            <w:pPr>
              <w:jc w:val="center"/>
              <w:rPr>
                <w:rFonts w:ascii="Calibri" w:eastAsia="Calibri" w:hAnsi="Calibri"/>
                <w:color w:val="000000"/>
                <w:sz w:val="19"/>
                <w:szCs w:val="19"/>
                <w:lang w:val="en-GB"/>
              </w:rPr>
            </w:pPr>
            <w:r w:rsidRPr="001E5747">
              <w:rPr>
                <w:rFonts w:ascii="Calibri" w:eastAsia="Calibri" w:hAnsi="Calibri"/>
                <w:b/>
                <w:color w:val="000000"/>
                <w:sz w:val="18"/>
                <w:szCs w:val="18"/>
                <w:lang w:val="en-GB"/>
              </w:rPr>
              <w:t>IX</w:t>
            </w:r>
          </w:p>
        </w:tc>
        <w:tc>
          <w:tcPr>
            <w:tcW w:w="7427" w:type="dxa"/>
            <w:tcBorders>
              <w:top w:val="single" w:sz="4" w:space="0" w:color="auto"/>
              <w:left w:val="single" w:sz="4" w:space="0" w:color="auto"/>
              <w:bottom w:val="single" w:sz="8"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58D4D683" w14:textId="77777777" w:rsidR="00B739C3" w:rsidRPr="001E5747" w:rsidRDefault="00B739C3" w:rsidP="00B739C3">
            <w:pPr>
              <w:spacing w:before="20"/>
              <w:rPr>
                <w:rFonts w:ascii="Calibri" w:hAnsi="Calibri" w:cs="Calibri"/>
                <w:color w:val="000000"/>
                <w:sz w:val="19"/>
                <w:szCs w:val="19"/>
                <w:lang w:val="en-GB"/>
              </w:rPr>
            </w:pPr>
            <w:r w:rsidRPr="001E5747">
              <w:rPr>
                <w:rFonts w:ascii="Calibri" w:eastAsia="Calibri" w:hAnsi="Calibri"/>
                <w:b/>
                <w:bCs/>
                <w:color w:val="000000"/>
                <w:sz w:val="20"/>
                <w:szCs w:val="20"/>
                <w:lang w:val="en-GB"/>
              </w:rPr>
              <w:t>Pre-university education</w:t>
            </w:r>
          </w:p>
        </w:tc>
        <w:tc>
          <w:tcPr>
            <w:tcW w:w="865" w:type="dxa"/>
            <w:tcBorders>
              <w:top w:val="single" w:sz="4" w:space="0" w:color="auto"/>
              <w:left w:val="single" w:sz="4" w:space="0" w:color="auto"/>
              <w:bottom w:val="single" w:sz="8" w:space="0" w:color="auto"/>
              <w:right w:val="single" w:sz="12" w:space="0" w:color="auto"/>
            </w:tcBorders>
            <w:shd w:val="clear" w:color="auto" w:fill="D9D9D9" w:themeFill="background1" w:themeFillShade="D9"/>
            <w:tcMar>
              <w:top w:w="0" w:type="dxa"/>
              <w:left w:w="108" w:type="dxa"/>
              <w:bottom w:w="0" w:type="dxa"/>
              <w:right w:w="108" w:type="dxa"/>
            </w:tcMar>
            <w:vAlign w:val="center"/>
            <w:hideMark/>
          </w:tcPr>
          <w:p w14:paraId="78365440" w14:textId="77777777" w:rsidR="00B739C3" w:rsidRPr="001E5747" w:rsidRDefault="001A0169" w:rsidP="00B739C3">
            <w:pPr>
              <w:jc w:val="center"/>
              <w:rPr>
                <w:rFonts w:ascii="Calibri" w:eastAsia="Calibri" w:hAnsi="Calibri"/>
                <w:b/>
                <w:color w:val="000000"/>
                <w:sz w:val="19"/>
                <w:szCs w:val="19"/>
                <w:lang w:val="en-GB"/>
              </w:rPr>
            </w:pPr>
            <w:r>
              <w:rPr>
                <w:rFonts w:ascii="Calibri" w:eastAsia="Calibri" w:hAnsi="Calibri"/>
                <w:b/>
                <w:color w:val="000000"/>
                <w:sz w:val="19"/>
                <w:szCs w:val="19"/>
                <w:lang w:val="en-GB"/>
              </w:rPr>
              <w:t>4</w:t>
            </w:r>
          </w:p>
        </w:tc>
      </w:tr>
      <w:tr w:rsidR="00B739C3" w:rsidRPr="001E5747" w14:paraId="2F873817" w14:textId="77777777" w:rsidTr="009F3315">
        <w:trPr>
          <w:trHeight w:val="255"/>
          <w:jc w:val="center"/>
        </w:trPr>
        <w:tc>
          <w:tcPr>
            <w:tcW w:w="605" w:type="dxa"/>
            <w:tcBorders>
              <w:top w:val="single" w:sz="4" w:space="0" w:color="auto"/>
              <w:left w:val="single" w:sz="12" w:space="0" w:color="auto"/>
              <w:bottom w:val="single" w:sz="8" w:space="0" w:color="auto"/>
              <w:right w:val="single" w:sz="4" w:space="0" w:color="auto"/>
            </w:tcBorders>
            <w:shd w:val="clear" w:color="auto" w:fill="FFC000"/>
            <w:tcMar>
              <w:top w:w="0" w:type="dxa"/>
              <w:left w:w="108" w:type="dxa"/>
              <w:bottom w:w="0" w:type="dxa"/>
              <w:right w:w="108" w:type="dxa"/>
            </w:tcMar>
            <w:vAlign w:val="center"/>
            <w:hideMark/>
          </w:tcPr>
          <w:p w14:paraId="7657EF18" w14:textId="77777777" w:rsidR="00B739C3" w:rsidRPr="001E5747" w:rsidRDefault="00B739C3" w:rsidP="00B739C3">
            <w:pPr>
              <w:jc w:val="center"/>
              <w:rPr>
                <w:rFonts w:ascii="Calibri" w:eastAsia="Calibri" w:hAnsi="Calibri"/>
                <w:color w:val="000000"/>
                <w:sz w:val="18"/>
                <w:szCs w:val="18"/>
                <w:lang w:val="en-GB"/>
              </w:rPr>
            </w:pPr>
            <w:r w:rsidRPr="001E5747">
              <w:rPr>
                <w:rFonts w:ascii="Calibri" w:eastAsia="Calibri" w:hAnsi="Calibri"/>
                <w:color w:val="000000"/>
                <w:sz w:val="18"/>
                <w:szCs w:val="18"/>
                <w:lang w:val="en-GB"/>
              </w:rPr>
              <w:t>27</w:t>
            </w:r>
          </w:p>
        </w:tc>
        <w:tc>
          <w:tcPr>
            <w:tcW w:w="7427" w:type="dxa"/>
            <w:tcBorders>
              <w:top w:val="single" w:sz="4" w:space="0" w:color="auto"/>
              <w:left w:val="single" w:sz="4" w:space="0" w:color="auto"/>
              <w:bottom w:val="single" w:sz="8" w:space="0" w:color="auto"/>
              <w:right w:val="single" w:sz="4" w:space="0" w:color="auto"/>
            </w:tcBorders>
            <w:shd w:val="clear" w:color="auto" w:fill="FFC000"/>
            <w:tcMar>
              <w:top w:w="0" w:type="dxa"/>
              <w:left w:w="108" w:type="dxa"/>
              <w:bottom w:w="0" w:type="dxa"/>
              <w:right w:w="108" w:type="dxa"/>
            </w:tcMar>
            <w:vAlign w:val="center"/>
            <w:hideMark/>
          </w:tcPr>
          <w:p w14:paraId="267C7357" w14:textId="151A7298" w:rsidR="00B739C3" w:rsidRPr="001E5747" w:rsidRDefault="00B739C3" w:rsidP="00B739C3">
            <w:pPr>
              <w:spacing w:before="20"/>
              <w:rPr>
                <w:rFonts w:ascii="Calibri" w:hAnsi="Calibri" w:cs="Calibri"/>
                <w:color w:val="000000"/>
                <w:sz w:val="19"/>
                <w:szCs w:val="19"/>
                <w:lang w:val="en-GB"/>
              </w:rPr>
            </w:pPr>
            <w:r w:rsidRPr="001E5747">
              <w:rPr>
                <w:rFonts w:ascii="Calibri" w:hAnsi="Calibri" w:cs="Calibri"/>
                <w:color w:val="000000"/>
                <w:sz w:val="19"/>
                <w:szCs w:val="19"/>
                <w:lang w:val="en-GB"/>
              </w:rPr>
              <w:t>Children attending kindergarten - rural and in general</w:t>
            </w:r>
            <w:r w:rsidR="000E7915">
              <w:rPr>
                <w:rStyle w:val="FootnoteReference"/>
                <w:rFonts w:ascii="Calibri" w:hAnsi="Calibri" w:cs="Calibri"/>
                <w:color w:val="000000"/>
                <w:sz w:val="19"/>
                <w:szCs w:val="19"/>
                <w:lang w:val="en-GB"/>
              </w:rPr>
              <w:footnoteReference w:id="9"/>
            </w:r>
          </w:p>
        </w:tc>
        <w:tc>
          <w:tcPr>
            <w:tcW w:w="865" w:type="dxa"/>
            <w:tcBorders>
              <w:top w:val="single" w:sz="4" w:space="0" w:color="auto"/>
              <w:left w:val="single" w:sz="4" w:space="0" w:color="auto"/>
              <w:bottom w:val="single" w:sz="8" w:space="0" w:color="auto"/>
              <w:right w:val="single" w:sz="12" w:space="0" w:color="auto"/>
            </w:tcBorders>
            <w:shd w:val="clear" w:color="auto" w:fill="FFC000"/>
            <w:tcMar>
              <w:top w:w="0" w:type="dxa"/>
              <w:left w:w="108" w:type="dxa"/>
              <w:bottom w:w="0" w:type="dxa"/>
              <w:right w:w="108" w:type="dxa"/>
            </w:tcMar>
            <w:vAlign w:val="center"/>
            <w:hideMark/>
          </w:tcPr>
          <w:p w14:paraId="0F61A1C2" w14:textId="77777777" w:rsidR="00B739C3" w:rsidRPr="001E5747" w:rsidRDefault="00B739C3" w:rsidP="00B739C3">
            <w:pPr>
              <w:jc w:val="center"/>
              <w:rPr>
                <w:rFonts w:ascii="Calibri" w:eastAsia="Calibri" w:hAnsi="Calibri"/>
                <w:color w:val="000000"/>
                <w:sz w:val="19"/>
                <w:szCs w:val="19"/>
                <w:lang w:val="en-GB"/>
              </w:rPr>
            </w:pPr>
            <w:r w:rsidRPr="001E5747">
              <w:rPr>
                <w:rFonts w:ascii="Calibri" w:eastAsia="Calibri" w:hAnsi="Calibri"/>
                <w:color w:val="000000"/>
                <w:sz w:val="19"/>
                <w:szCs w:val="19"/>
                <w:lang w:val="en-GB"/>
              </w:rPr>
              <w:t>4</w:t>
            </w:r>
          </w:p>
        </w:tc>
      </w:tr>
      <w:tr w:rsidR="00B739C3" w:rsidRPr="001E5747" w14:paraId="51182765" w14:textId="77777777" w:rsidTr="00822DDE">
        <w:trPr>
          <w:trHeight w:val="255"/>
          <w:jc w:val="center"/>
        </w:trPr>
        <w:tc>
          <w:tcPr>
            <w:tcW w:w="605" w:type="dxa"/>
            <w:tcBorders>
              <w:top w:val="single" w:sz="4" w:space="0" w:color="auto"/>
              <w:left w:val="single" w:sz="12"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717F8F10" w14:textId="77777777" w:rsidR="00B739C3" w:rsidRPr="001E5747" w:rsidRDefault="00B739C3" w:rsidP="00B739C3">
            <w:pPr>
              <w:jc w:val="center"/>
              <w:rPr>
                <w:rFonts w:ascii="Calibri" w:eastAsia="Calibri" w:hAnsi="Calibri"/>
                <w:color w:val="000000"/>
                <w:sz w:val="18"/>
                <w:szCs w:val="18"/>
                <w:lang w:val="en-GB"/>
              </w:rPr>
            </w:pPr>
            <w:r w:rsidRPr="001E5747">
              <w:rPr>
                <w:rFonts w:ascii="Calibri" w:eastAsia="Calibri" w:hAnsi="Calibri"/>
                <w:color w:val="000000"/>
                <w:sz w:val="18"/>
                <w:szCs w:val="18"/>
                <w:lang w:val="en-GB"/>
              </w:rPr>
              <w:t>28</w:t>
            </w:r>
          </w:p>
        </w:tc>
        <w:tc>
          <w:tcPr>
            <w:tcW w:w="7427" w:type="dxa"/>
            <w:tcBorders>
              <w:top w:val="single" w:sz="4" w:space="0" w:color="auto"/>
              <w:left w:val="single" w:sz="4"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45A0484E" w14:textId="77777777" w:rsidR="00B739C3" w:rsidRPr="001E5747" w:rsidRDefault="00B739C3" w:rsidP="00B739C3">
            <w:pPr>
              <w:spacing w:before="20"/>
              <w:rPr>
                <w:rFonts w:ascii="Calibri" w:hAnsi="Calibri" w:cs="Calibri"/>
                <w:color w:val="000000"/>
                <w:sz w:val="19"/>
                <w:szCs w:val="19"/>
                <w:lang w:val="en-GB"/>
              </w:rPr>
            </w:pPr>
            <w:r w:rsidRPr="001E5747">
              <w:rPr>
                <w:rFonts w:ascii="Calibri" w:hAnsi="Calibri" w:cs="Calibri"/>
                <w:color w:val="000000"/>
                <w:sz w:val="19"/>
                <w:szCs w:val="19"/>
                <w:lang w:val="en-GB"/>
              </w:rPr>
              <w:t xml:space="preserve">Passing in the national </w:t>
            </w:r>
            <w:r w:rsidR="00A0644E" w:rsidRPr="001E5747">
              <w:rPr>
                <w:rFonts w:ascii="Calibri" w:hAnsi="Calibri" w:cs="Calibri"/>
                <w:color w:val="000000"/>
                <w:sz w:val="19"/>
                <w:szCs w:val="19"/>
                <w:lang w:val="en-GB"/>
              </w:rPr>
              <w:t>Matura</w:t>
            </w:r>
            <w:r w:rsidRPr="001E5747">
              <w:rPr>
                <w:rFonts w:ascii="Calibri" w:hAnsi="Calibri" w:cs="Calibri"/>
                <w:color w:val="000000"/>
                <w:sz w:val="19"/>
                <w:szCs w:val="19"/>
                <w:lang w:val="en-GB"/>
              </w:rPr>
              <w:t xml:space="preserve"> exam – 12</w:t>
            </w:r>
            <w:r w:rsidRPr="001E5747">
              <w:rPr>
                <w:rFonts w:ascii="Calibri" w:hAnsi="Calibri" w:cs="Calibri"/>
                <w:color w:val="000000"/>
                <w:sz w:val="19"/>
                <w:szCs w:val="19"/>
                <w:vertAlign w:val="superscript"/>
                <w:lang w:val="en-GB"/>
              </w:rPr>
              <w:t>th</w:t>
            </w:r>
            <w:r w:rsidRPr="001E5747">
              <w:rPr>
                <w:rFonts w:ascii="Calibri" w:hAnsi="Calibri" w:cs="Calibri"/>
                <w:color w:val="000000"/>
                <w:sz w:val="19"/>
                <w:szCs w:val="19"/>
                <w:lang w:val="en-GB"/>
              </w:rPr>
              <w:t xml:space="preserve"> grade</w:t>
            </w:r>
          </w:p>
        </w:tc>
        <w:tc>
          <w:tcPr>
            <w:tcW w:w="865" w:type="dxa"/>
            <w:tcBorders>
              <w:top w:val="single" w:sz="4" w:space="0" w:color="auto"/>
              <w:left w:val="single" w:sz="4" w:space="0" w:color="auto"/>
              <w:bottom w:val="single" w:sz="8" w:space="0" w:color="auto"/>
              <w:right w:val="single" w:sz="12" w:space="0" w:color="auto"/>
            </w:tcBorders>
            <w:shd w:val="clear" w:color="auto" w:fill="C2D69B" w:themeFill="accent3" w:themeFillTint="99"/>
            <w:tcMar>
              <w:top w:w="0" w:type="dxa"/>
              <w:left w:w="108" w:type="dxa"/>
              <w:bottom w:w="0" w:type="dxa"/>
              <w:right w:w="108" w:type="dxa"/>
            </w:tcMar>
            <w:vAlign w:val="center"/>
            <w:hideMark/>
          </w:tcPr>
          <w:p w14:paraId="3102BCF7" w14:textId="77777777" w:rsidR="00B739C3" w:rsidRPr="001E5747" w:rsidRDefault="00B739C3" w:rsidP="00B739C3">
            <w:pPr>
              <w:jc w:val="center"/>
              <w:rPr>
                <w:rFonts w:ascii="Calibri" w:eastAsia="Calibri" w:hAnsi="Calibri"/>
                <w:color w:val="000000"/>
                <w:sz w:val="19"/>
                <w:szCs w:val="19"/>
                <w:lang w:val="en-GB"/>
              </w:rPr>
            </w:pPr>
            <w:r w:rsidRPr="001E5747">
              <w:rPr>
                <w:rFonts w:ascii="Calibri" w:eastAsia="Calibri" w:hAnsi="Calibri"/>
                <w:color w:val="000000"/>
                <w:sz w:val="19"/>
                <w:szCs w:val="19"/>
                <w:lang w:val="en-GB"/>
              </w:rPr>
              <w:t>4</w:t>
            </w:r>
          </w:p>
        </w:tc>
      </w:tr>
      <w:tr w:rsidR="00B739C3" w:rsidRPr="001E5747" w14:paraId="78CF9730" w14:textId="77777777" w:rsidTr="00822DDE">
        <w:trPr>
          <w:trHeight w:val="255"/>
          <w:jc w:val="center"/>
        </w:trPr>
        <w:tc>
          <w:tcPr>
            <w:tcW w:w="605" w:type="dxa"/>
            <w:tcBorders>
              <w:top w:val="single" w:sz="4" w:space="0" w:color="auto"/>
              <w:left w:val="single" w:sz="12" w:space="0" w:color="auto"/>
              <w:bottom w:val="single" w:sz="8"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26AC3B77" w14:textId="77777777" w:rsidR="00B739C3" w:rsidRPr="001E5747" w:rsidRDefault="00B739C3" w:rsidP="00B739C3">
            <w:pPr>
              <w:jc w:val="center"/>
              <w:rPr>
                <w:rFonts w:ascii="Calibri" w:eastAsia="Calibri" w:hAnsi="Calibri"/>
                <w:b/>
                <w:color w:val="000000"/>
                <w:sz w:val="18"/>
                <w:szCs w:val="18"/>
                <w:lang w:val="en-GB"/>
              </w:rPr>
            </w:pPr>
            <w:r w:rsidRPr="001E5747">
              <w:rPr>
                <w:rFonts w:ascii="Calibri" w:eastAsia="Calibri" w:hAnsi="Calibri"/>
                <w:b/>
                <w:color w:val="000000"/>
                <w:sz w:val="18"/>
                <w:szCs w:val="18"/>
                <w:lang w:val="en-GB"/>
              </w:rPr>
              <w:t>X</w:t>
            </w:r>
          </w:p>
        </w:tc>
        <w:tc>
          <w:tcPr>
            <w:tcW w:w="7427" w:type="dxa"/>
            <w:tcBorders>
              <w:top w:val="single" w:sz="4" w:space="0" w:color="auto"/>
              <w:left w:val="single" w:sz="4" w:space="0" w:color="auto"/>
              <w:bottom w:val="single" w:sz="8"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3871FBAE" w14:textId="77777777" w:rsidR="00B739C3" w:rsidRPr="001E5747" w:rsidRDefault="00B739C3" w:rsidP="00B739C3">
            <w:pPr>
              <w:spacing w:before="20"/>
              <w:rPr>
                <w:rFonts w:ascii="Calibri" w:eastAsia="Calibri" w:hAnsi="Calibri"/>
                <w:b/>
                <w:bCs/>
                <w:color w:val="000000"/>
                <w:sz w:val="20"/>
                <w:szCs w:val="20"/>
                <w:lang w:val="en-GB"/>
              </w:rPr>
            </w:pPr>
            <w:r w:rsidRPr="001E5747">
              <w:rPr>
                <w:rFonts w:ascii="Calibri" w:eastAsia="Calibri" w:hAnsi="Calibri"/>
                <w:b/>
                <w:bCs/>
                <w:color w:val="000000"/>
                <w:sz w:val="20"/>
                <w:szCs w:val="20"/>
                <w:lang w:val="en-GB"/>
              </w:rPr>
              <w:t>Primary health care (PHC)</w:t>
            </w:r>
          </w:p>
        </w:tc>
        <w:tc>
          <w:tcPr>
            <w:tcW w:w="865" w:type="dxa"/>
            <w:tcBorders>
              <w:top w:val="single" w:sz="4" w:space="0" w:color="auto"/>
              <w:left w:val="single" w:sz="4" w:space="0" w:color="auto"/>
              <w:bottom w:val="single" w:sz="8" w:space="0" w:color="auto"/>
              <w:right w:val="single" w:sz="12" w:space="0" w:color="auto"/>
            </w:tcBorders>
            <w:shd w:val="clear" w:color="auto" w:fill="D9D9D9" w:themeFill="background1" w:themeFillShade="D9"/>
            <w:tcMar>
              <w:top w:w="0" w:type="dxa"/>
              <w:left w:w="108" w:type="dxa"/>
              <w:bottom w:w="0" w:type="dxa"/>
              <w:right w:w="108" w:type="dxa"/>
            </w:tcMar>
            <w:vAlign w:val="center"/>
            <w:hideMark/>
          </w:tcPr>
          <w:p w14:paraId="07D10593" w14:textId="77777777" w:rsidR="00B739C3" w:rsidRPr="001E5747" w:rsidRDefault="00B739C3" w:rsidP="00B739C3">
            <w:pPr>
              <w:jc w:val="center"/>
              <w:rPr>
                <w:rFonts w:ascii="Calibri" w:eastAsia="Calibri" w:hAnsi="Calibri"/>
                <w:b/>
                <w:color w:val="000000"/>
                <w:sz w:val="19"/>
                <w:szCs w:val="19"/>
                <w:lang w:val="en-GB"/>
              </w:rPr>
            </w:pPr>
            <w:r w:rsidRPr="001E5747">
              <w:rPr>
                <w:rFonts w:ascii="Calibri" w:eastAsia="Calibri" w:hAnsi="Calibri"/>
                <w:b/>
                <w:color w:val="000000"/>
                <w:sz w:val="19"/>
                <w:szCs w:val="19"/>
                <w:lang w:val="en-GB"/>
              </w:rPr>
              <w:t>8</w:t>
            </w:r>
          </w:p>
        </w:tc>
      </w:tr>
      <w:tr w:rsidR="00B739C3" w:rsidRPr="001E5747" w14:paraId="1ED27B00" w14:textId="77777777" w:rsidTr="00822DDE">
        <w:trPr>
          <w:trHeight w:val="255"/>
          <w:jc w:val="center"/>
        </w:trPr>
        <w:tc>
          <w:tcPr>
            <w:tcW w:w="605" w:type="dxa"/>
            <w:tcBorders>
              <w:top w:val="single" w:sz="4" w:space="0" w:color="auto"/>
              <w:left w:val="single" w:sz="12"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4EE814E2" w14:textId="77777777" w:rsidR="00B739C3" w:rsidRPr="001E5747" w:rsidRDefault="00B739C3" w:rsidP="00B739C3">
            <w:pPr>
              <w:jc w:val="center"/>
              <w:rPr>
                <w:rFonts w:ascii="Calibri" w:eastAsia="Calibri" w:hAnsi="Calibri"/>
                <w:color w:val="000000"/>
                <w:sz w:val="18"/>
                <w:szCs w:val="18"/>
                <w:lang w:val="en-GB"/>
              </w:rPr>
            </w:pPr>
            <w:r w:rsidRPr="001E5747">
              <w:rPr>
                <w:rFonts w:ascii="Calibri" w:eastAsia="Calibri" w:hAnsi="Calibri"/>
                <w:color w:val="000000"/>
                <w:sz w:val="18"/>
                <w:szCs w:val="18"/>
                <w:lang w:val="en-GB"/>
              </w:rPr>
              <w:t>29</w:t>
            </w:r>
          </w:p>
        </w:tc>
        <w:tc>
          <w:tcPr>
            <w:tcW w:w="7427" w:type="dxa"/>
            <w:tcBorders>
              <w:top w:val="single" w:sz="4" w:space="0" w:color="auto"/>
              <w:left w:val="single" w:sz="4"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3875F31A" w14:textId="77777777" w:rsidR="00B739C3" w:rsidRPr="001E5747" w:rsidRDefault="00B739C3" w:rsidP="00B739C3">
            <w:pPr>
              <w:spacing w:before="20"/>
              <w:rPr>
                <w:rFonts w:ascii="Calibri" w:eastAsia="Calibri" w:hAnsi="Calibri"/>
                <w:bCs/>
                <w:color w:val="000000"/>
                <w:sz w:val="20"/>
                <w:szCs w:val="20"/>
                <w:lang w:val="en-GB"/>
              </w:rPr>
            </w:pPr>
            <w:r w:rsidRPr="001E5747">
              <w:rPr>
                <w:rFonts w:ascii="Calibri" w:eastAsia="Calibri" w:hAnsi="Calibri"/>
                <w:bCs/>
                <w:color w:val="000000"/>
                <w:sz w:val="20"/>
                <w:szCs w:val="20"/>
                <w:lang w:val="en-GB"/>
              </w:rPr>
              <w:t>m</w:t>
            </w:r>
            <w:r w:rsidRPr="001E5747">
              <w:rPr>
                <w:rFonts w:ascii="Calibri" w:eastAsia="Calibri" w:hAnsi="Calibri"/>
                <w:bCs/>
                <w:color w:val="000000"/>
                <w:sz w:val="20"/>
                <w:szCs w:val="20"/>
                <w:vertAlign w:val="superscript"/>
                <w:lang w:val="en-GB"/>
              </w:rPr>
              <w:t>2</w:t>
            </w:r>
            <w:r w:rsidRPr="001E5747">
              <w:rPr>
                <w:rFonts w:ascii="Calibri" w:eastAsia="Calibri" w:hAnsi="Calibri"/>
                <w:bCs/>
                <w:color w:val="000000"/>
                <w:sz w:val="20"/>
                <w:szCs w:val="20"/>
                <w:lang w:val="en-GB"/>
              </w:rPr>
              <w:t xml:space="preserve"> of Primary Health Care spaces per 10000 inhabitants</w:t>
            </w:r>
          </w:p>
        </w:tc>
        <w:tc>
          <w:tcPr>
            <w:tcW w:w="865" w:type="dxa"/>
            <w:tcBorders>
              <w:top w:val="single" w:sz="4" w:space="0" w:color="auto"/>
              <w:left w:val="single" w:sz="4" w:space="0" w:color="auto"/>
              <w:bottom w:val="single" w:sz="8" w:space="0" w:color="auto"/>
              <w:right w:val="single" w:sz="12" w:space="0" w:color="auto"/>
            </w:tcBorders>
            <w:shd w:val="clear" w:color="auto" w:fill="C2D69B" w:themeFill="accent3" w:themeFillTint="99"/>
            <w:tcMar>
              <w:top w:w="0" w:type="dxa"/>
              <w:left w:w="108" w:type="dxa"/>
              <w:bottom w:w="0" w:type="dxa"/>
              <w:right w:w="108" w:type="dxa"/>
            </w:tcMar>
            <w:vAlign w:val="center"/>
            <w:hideMark/>
          </w:tcPr>
          <w:p w14:paraId="1FFBED7C" w14:textId="77777777" w:rsidR="00B739C3" w:rsidRPr="001E5747" w:rsidRDefault="00B739C3" w:rsidP="00B739C3">
            <w:pPr>
              <w:jc w:val="center"/>
              <w:rPr>
                <w:rFonts w:ascii="Calibri" w:eastAsia="Calibri" w:hAnsi="Calibri"/>
                <w:color w:val="000000"/>
                <w:sz w:val="19"/>
                <w:szCs w:val="19"/>
                <w:lang w:val="en-GB"/>
              </w:rPr>
            </w:pPr>
            <w:r w:rsidRPr="001E5747">
              <w:rPr>
                <w:rFonts w:ascii="Calibri" w:eastAsia="Calibri" w:hAnsi="Calibri"/>
                <w:color w:val="000000"/>
                <w:sz w:val="19"/>
                <w:szCs w:val="19"/>
                <w:lang w:val="en-GB"/>
              </w:rPr>
              <w:t>3</w:t>
            </w:r>
          </w:p>
        </w:tc>
      </w:tr>
      <w:tr w:rsidR="00B739C3" w:rsidRPr="001E5747" w14:paraId="40B0E08E" w14:textId="77777777" w:rsidTr="00822DDE">
        <w:trPr>
          <w:trHeight w:val="255"/>
          <w:jc w:val="center"/>
        </w:trPr>
        <w:tc>
          <w:tcPr>
            <w:tcW w:w="605" w:type="dxa"/>
            <w:tcBorders>
              <w:top w:val="single" w:sz="4" w:space="0" w:color="auto"/>
              <w:left w:val="single" w:sz="12"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0BC57762" w14:textId="77777777" w:rsidR="00B739C3" w:rsidRPr="001E5747" w:rsidRDefault="00B739C3" w:rsidP="00B739C3">
            <w:pPr>
              <w:jc w:val="center"/>
              <w:rPr>
                <w:rFonts w:ascii="Calibri" w:eastAsia="Calibri" w:hAnsi="Calibri"/>
                <w:color w:val="000000"/>
                <w:sz w:val="18"/>
                <w:szCs w:val="18"/>
                <w:lang w:val="en-GB"/>
              </w:rPr>
            </w:pPr>
            <w:r w:rsidRPr="001E5747">
              <w:rPr>
                <w:rFonts w:ascii="Calibri" w:eastAsia="Calibri" w:hAnsi="Calibri"/>
                <w:color w:val="000000"/>
                <w:sz w:val="18"/>
                <w:szCs w:val="18"/>
                <w:lang w:val="en-GB"/>
              </w:rPr>
              <w:t>30</w:t>
            </w:r>
          </w:p>
        </w:tc>
        <w:tc>
          <w:tcPr>
            <w:tcW w:w="742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3181AFE9" w14:textId="77777777" w:rsidR="00B739C3" w:rsidRPr="001E5747" w:rsidRDefault="00B739C3" w:rsidP="00B739C3">
            <w:pPr>
              <w:spacing w:before="20"/>
              <w:rPr>
                <w:rFonts w:ascii="Calibri" w:eastAsia="Calibri" w:hAnsi="Calibri"/>
                <w:bCs/>
                <w:color w:val="000000"/>
                <w:sz w:val="20"/>
                <w:szCs w:val="20"/>
                <w:lang w:val="en-GB"/>
              </w:rPr>
            </w:pPr>
            <w:r w:rsidRPr="001E5747">
              <w:rPr>
                <w:rFonts w:ascii="Calibri" w:eastAsia="Calibri" w:hAnsi="Calibri"/>
                <w:bCs/>
                <w:color w:val="000000"/>
                <w:sz w:val="20"/>
                <w:szCs w:val="20"/>
                <w:lang w:val="en-GB"/>
              </w:rPr>
              <w:t>Level of compliance with the ratio 1 family doctor and 2 nurses per 2000 inhabitants</w:t>
            </w:r>
          </w:p>
        </w:tc>
        <w:tc>
          <w:tcPr>
            <w:tcW w:w="865" w:type="dxa"/>
            <w:tcBorders>
              <w:top w:val="single" w:sz="4" w:space="0" w:color="auto"/>
              <w:left w:val="single" w:sz="4" w:space="0" w:color="auto"/>
              <w:bottom w:val="single" w:sz="4" w:space="0" w:color="auto"/>
              <w:right w:val="single" w:sz="12" w:space="0" w:color="auto"/>
            </w:tcBorders>
            <w:shd w:val="clear" w:color="auto" w:fill="C2D69B" w:themeFill="accent3" w:themeFillTint="99"/>
            <w:tcMar>
              <w:top w:w="0" w:type="dxa"/>
              <w:left w:w="108" w:type="dxa"/>
              <w:bottom w:w="0" w:type="dxa"/>
              <w:right w:w="108" w:type="dxa"/>
            </w:tcMar>
            <w:vAlign w:val="center"/>
            <w:hideMark/>
          </w:tcPr>
          <w:p w14:paraId="57465828" w14:textId="77777777" w:rsidR="00B739C3" w:rsidRPr="001E5747" w:rsidRDefault="00B739C3" w:rsidP="00B739C3">
            <w:pPr>
              <w:jc w:val="center"/>
              <w:rPr>
                <w:rFonts w:ascii="Calibri" w:eastAsia="Calibri" w:hAnsi="Calibri"/>
                <w:color w:val="000000"/>
                <w:sz w:val="19"/>
                <w:szCs w:val="19"/>
                <w:lang w:val="en-GB"/>
              </w:rPr>
            </w:pPr>
            <w:r w:rsidRPr="001E5747">
              <w:rPr>
                <w:rFonts w:ascii="Calibri" w:eastAsia="Calibri" w:hAnsi="Calibri"/>
                <w:color w:val="000000"/>
                <w:sz w:val="19"/>
                <w:szCs w:val="19"/>
                <w:lang w:val="en-GB"/>
              </w:rPr>
              <w:t>5</w:t>
            </w:r>
          </w:p>
        </w:tc>
      </w:tr>
      <w:tr w:rsidR="006E2A74" w:rsidRPr="001E5747" w14:paraId="371C3141" w14:textId="77777777" w:rsidTr="00024763">
        <w:trPr>
          <w:trHeight w:val="255"/>
          <w:jc w:val="center"/>
        </w:trPr>
        <w:tc>
          <w:tcPr>
            <w:tcW w:w="8032" w:type="dxa"/>
            <w:gridSpan w:val="2"/>
            <w:tcBorders>
              <w:top w:val="single" w:sz="4" w:space="0" w:color="auto"/>
              <w:left w:val="single" w:sz="12" w:space="0" w:color="auto"/>
              <w:bottom w:val="single" w:sz="12" w:space="0" w:color="auto"/>
              <w:right w:val="single" w:sz="4" w:space="0" w:color="auto"/>
            </w:tcBorders>
            <w:shd w:val="clear" w:color="auto" w:fill="8DB3E2" w:themeFill="text2" w:themeFillTint="66"/>
            <w:tcMar>
              <w:top w:w="0" w:type="dxa"/>
              <w:left w:w="108" w:type="dxa"/>
              <w:bottom w:w="0" w:type="dxa"/>
              <w:right w:w="108" w:type="dxa"/>
            </w:tcMar>
            <w:vAlign w:val="center"/>
          </w:tcPr>
          <w:p w14:paraId="5CA3823F" w14:textId="77777777" w:rsidR="006E2A74" w:rsidRPr="00096574" w:rsidRDefault="006E2A74" w:rsidP="00B739C3">
            <w:pPr>
              <w:spacing w:before="20"/>
              <w:rPr>
                <w:rFonts w:ascii="Calibri" w:eastAsia="Calibri" w:hAnsi="Calibri"/>
                <w:b/>
                <w:bCs/>
                <w:color w:val="000000"/>
                <w:sz w:val="20"/>
                <w:szCs w:val="20"/>
                <w:lang w:val="en-GB"/>
              </w:rPr>
            </w:pPr>
            <w:r w:rsidRPr="00096574">
              <w:rPr>
                <w:rFonts w:ascii="Calibri" w:eastAsia="Calibri" w:hAnsi="Calibri"/>
                <w:b/>
                <w:bCs/>
                <w:color w:val="000000"/>
                <w:sz w:val="18"/>
                <w:szCs w:val="18"/>
                <w:lang w:val="en-GB"/>
              </w:rPr>
              <w:t>Total points</w:t>
            </w:r>
          </w:p>
        </w:tc>
        <w:tc>
          <w:tcPr>
            <w:tcW w:w="865" w:type="dxa"/>
            <w:tcBorders>
              <w:top w:val="single" w:sz="4" w:space="0" w:color="auto"/>
              <w:left w:val="single" w:sz="4" w:space="0" w:color="auto"/>
              <w:bottom w:val="single" w:sz="12" w:space="0" w:color="auto"/>
              <w:right w:val="single" w:sz="12" w:space="0" w:color="auto"/>
            </w:tcBorders>
            <w:shd w:val="clear" w:color="auto" w:fill="8DB3E2" w:themeFill="text2" w:themeFillTint="66"/>
            <w:tcMar>
              <w:top w:w="0" w:type="dxa"/>
              <w:left w:w="108" w:type="dxa"/>
              <w:bottom w:w="0" w:type="dxa"/>
              <w:right w:w="108" w:type="dxa"/>
            </w:tcMar>
            <w:vAlign w:val="center"/>
          </w:tcPr>
          <w:p w14:paraId="07C8A2DA" w14:textId="77777777" w:rsidR="006E2A74" w:rsidRPr="00822DDE" w:rsidRDefault="006E2A74" w:rsidP="00B739C3">
            <w:pPr>
              <w:jc w:val="center"/>
              <w:rPr>
                <w:rFonts w:ascii="Calibri" w:eastAsia="Calibri" w:hAnsi="Calibri"/>
                <w:b/>
                <w:color w:val="000000"/>
                <w:sz w:val="19"/>
                <w:szCs w:val="19"/>
                <w:lang w:val="en-GB"/>
              </w:rPr>
            </w:pPr>
            <w:r w:rsidRPr="00096574">
              <w:rPr>
                <w:rFonts w:ascii="Calibri" w:eastAsia="Calibri" w:hAnsi="Calibri"/>
                <w:b/>
                <w:color w:val="000000"/>
                <w:sz w:val="22"/>
                <w:szCs w:val="22"/>
                <w:lang w:val="en-GB"/>
              </w:rPr>
              <w:t>92</w:t>
            </w:r>
          </w:p>
        </w:tc>
      </w:tr>
    </w:tbl>
    <w:p w14:paraId="4F9A5CF5" w14:textId="77777777" w:rsidR="00B739C3" w:rsidRPr="001E5747" w:rsidRDefault="00B739C3" w:rsidP="00B739C3">
      <w:pPr>
        <w:spacing w:before="60" w:line="264" w:lineRule="auto"/>
        <w:ind w:left="567"/>
        <w:jc w:val="both"/>
        <w:rPr>
          <w:rFonts w:asciiTheme="majorHAnsi" w:hAnsiTheme="majorHAnsi"/>
          <w:sz w:val="21"/>
          <w:szCs w:val="21"/>
          <w:lang w:val="en-GB"/>
        </w:rPr>
      </w:pPr>
    </w:p>
    <w:p w14:paraId="6FED14BE" w14:textId="77777777" w:rsidR="00B739C3" w:rsidRPr="001E5747" w:rsidRDefault="003C772E" w:rsidP="00B739C3">
      <w:pPr>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t>The indicators reflect municipal performance areas that (i) are considered important for the good functioning of the municipal structures as entities of democratic local governance and (ii) are, at all levels for all municipalities, considered to have scope for improvement</w:t>
      </w:r>
      <w:r w:rsidR="00B739C3" w:rsidRPr="001E5747">
        <w:rPr>
          <w:rFonts w:asciiTheme="majorHAnsi" w:hAnsiTheme="majorHAnsi"/>
          <w:sz w:val="21"/>
          <w:szCs w:val="21"/>
          <w:lang w:val="en-GB"/>
        </w:rPr>
        <w:t>. The MPG focuses on areas where municipalities need and can make further improvements. The grant will create incentives to facilitate this change.</w:t>
      </w:r>
    </w:p>
    <w:p w14:paraId="7541B2E2" w14:textId="77777777" w:rsidR="00B739C3" w:rsidRPr="001E5747" w:rsidRDefault="003C772E" w:rsidP="00B739C3">
      <w:pPr>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t xml:space="preserve">Different indicators have different maximum scores, related to their attributed weight and importance. Annex </w:t>
      </w:r>
      <w:r w:rsidR="00517222">
        <w:rPr>
          <w:rFonts w:asciiTheme="majorHAnsi" w:hAnsiTheme="majorHAnsi"/>
          <w:sz w:val="21"/>
          <w:szCs w:val="21"/>
          <w:lang w:val="en-GB"/>
        </w:rPr>
        <w:t>3</w:t>
      </w:r>
      <w:r w:rsidRPr="001E5747">
        <w:rPr>
          <w:rFonts w:asciiTheme="majorHAnsi" w:hAnsiTheme="majorHAnsi"/>
          <w:sz w:val="21"/>
          <w:szCs w:val="21"/>
          <w:lang w:val="en-GB"/>
        </w:rPr>
        <w:t xml:space="preserve"> has a detailed guideline on the allocation of the points within the maximum scores. The points have been calibrated such that good and acceptable levels of performance are rewarded but that, for each indicator, sub optimal performance are given very little or no points, which means that the points really stimulate good performance (instead of mediocre performance). It also means that municipalities that perform well on a number of indicators will receive substantially more points than the ones that show ordinary performance</w:t>
      </w:r>
      <w:r w:rsidR="00B739C3" w:rsidRPr="001E5747">
        <w:rPr>
          <w:rFonts w:asciiTheme="majorHAnsi" w:hAnsiTheme="majorHAnsi"/>
          <w:sz w:val="21"/>
          <w:szCs w:val="21"/>
          <w:lang w:val="en-GB"/>
        </w:rPr>
        <w:t>.</w:t>
      </w:r>
    </w:p>
    <w:p w14:paraId="74787DA9" w14:textId="77777777" w:rsidR="00B739C3" w:rsidRPr="001E5747" w:rsidRDefault="003C772E" w:rsidP="00B739C3">
      <w:pPr>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lastRenderedPageBreak/>
        <w:t>It is important to note that the indicators have been selected and formulated in such a way that they are more or less equally attainable by all municipalities, irrespective of the population or area size and economic strength</w:t>
      </w:r>
      <w:r w:rsidR="00B739C3" w:rsidRPr="001E5747">
        <w:rPr>
          <w:rFonts w:asciiTheme="majorHAnsi" w:hAnsiTheme="majorHAnsi"/>
          <w:sz w:val="21"/>
          <w:szCs w:val="21"/>
          <w:lang w:val="en-GB"/>
        </w:rPr>
        <w:t xml:space="preserve">. In principle, the indicators reflect the attributes that all municipalities </w:t>
      </w:r>
      <w:r w:rsidRPr="001E5747">
        <w:rPr>
          <w:rFonts w:asciiTheme="majorHAnsi" w:hAnsiTheme="majorHAnsi"/>
          <w:sz w:val="21"/>
          <w:szCs w:val="21"/>
          <w:lang w:val="en-GB"/>
        </w:rPr>
        <w:t>‘ought to</w:t>
      </w:r>
      <w:r w:rsidR="00B739C3" w:rsidRPr="001E5747">
        <w:rPr>
          <w:rFonts w:asciiTheme="majorHAnsi" w:hAnsiTheme="majorHAnsi"/>
          <w:sz w:val="21"/>
          <w:szCs w:val="21"/>
          <w:lang w:val="en-GB"/>
        </w:rPr>
        <w:t xml:space="preserve"> have' - as they are part of good local governance, which belongs to all citizens of Kosovo.</w:t>
      </w:r>
    </w:p>
    <w:p w14:paraId="523F4B96" w14:textId="51FFE93A" w:rsidR="00822DDE" w:rsidRDefault="00742794" w:rsidP="00B739C3">
      <w:pPr>
        <w:spacing w:before="60" w:line="264" w:lineRule="auto"/>
        <w:jc w:val="both"/>
        <w:rPr>
          <w:rFonts w:asciiTheme="majorHAnsi" w:hAnsiTheme="majorHAnsi"/>
          <w:bCs/>
          <w:sz w:val="21"/>
          <w:szCs w:val="21"/>
          <w:lang w:val="en-GB"/>
        </w:rPr>
      </w:pPr>
      <w:r>
        <w:rPr>
          <w:rFonts w:asciiTheme="majorHAnsi" w:hAnsiTheme="majorHAnsi"/>
          <w:bCs/>
          <w:sz w:val="21"/>
          <w:szCs w:val="21"/>
          <w:lang w:val="en-GB"/>
        </w:rPr>
        <w:t>Indicator no. 3 (orange in Table 2) is ‘frozen’ which means that the results for this indicator will not be taken into account in the total points, due to the late publication of the MPMS 2020 report by MLGA.</w:t>
      </w:r>
    </w:p>
    <w:p w14:paraId="6143A217" w14:textId="77777777" w:rsidR="00822DDE" w:rsidRPr="00822DDE" w:rsidRDefault="00822DDE" w:rsidP="00B739C3">
      <w:pPr>
        <w:spacing w:before="60" w:line="264" w:lineRule="auto"/>
        <w:jc w:val="both"/>
        <w:rPr>
          <w:rFonts w:asciiTheme="majorHAnsi" w:hAnsiTheme="majorHAnsi"/>
          <w:bCs/>
          <w:sz w:val="21"/>
          <w:szCs w:val="21"/>
          <w:lang w:val="en-GB"/>
        </w:rPr>
      </w:pPr>
      <w:r w:rsidRPr="00822DDE">
        <w:rPr>
          <w:rFonts w:asciiTheme="majorHAnsi" w:hAnsiTheme="majorHAnsi"/>
          <w:bCs/>
          <w:sz w:val="21"/>
          <w:szCs w:val="21"/>
          <w:lang w:val="en-GB"/>
        </w:rPr>
        <w:t xml:space="preserve">Indicator no.19 (orange in Table 2) is </w:t>
      </w:r>
      <w:r w:rsidR="00F63783">
        <w:rPr>
          <w:rFonts w:asciiTheme="majorHAnsi" w:hAnsiTheme="majorHAnsi"/>
          <w:bCs/>
          <w:sz w:val="21"/>
          <w:szCs w:val="21"/>
          <w:lang w:val="en-GB"/>
        </w:rPr>
        <w:t>‘</w:t>
      </w:r>
      <w:r w:rsidRPr="00822DDE">
        <w:rPr>
          <w:rFonts w:asciiTheme="majorHAnsi" w:hAnsiTheme="majorHAnsi"/>
          <w:bCs/>
          <w:sz w:val="21"/>
          <w:szCs w:val="21"/>
          <w:lang w:val="en-GB"/>
        </w:rPr>
        <w:t>frozen</w:t>
      </w:r>
      <w:r w:rsidR="00F63783">
        <w:rPr>
          <w:rFonts w:asciiTheme="majorHAnsi" w:hAnsiTheme="majorHAnsi"/>
          <w:bCs/>
          <w:sz w:val="21"/>
          <w:szCs w:val="21"/>
          <w:lang w:val="en-GB"/>
        </w:rPr>
        <w:t>’</w:t>
      </w:r>
      <w:r w:rsidRPr="00822DDE">
        <w:rPr>
          <w:rFonts w:asciiTheme="majorHAnsi" w:hAnsiTheme="majorHAnsi"/>
          <w:bCs/>
          <w:sz w:val="21"/>
          <w:szCs w:val="21"/>
          <w:lang w:val="en-GB"/>
        </w:rPr>
        <w:t xml:space="preserve"> which means that the result for this indicator will not be taken into account in the total points, due to the amendment of the law on public officials and the lack of secondary legislation regarding the civil service recruitment procedures</w:t>
      </w:r>
      <w:r>
        <w:rPr>
          <w:rFonts w:asciiTheme="majorHAnsi" w:hAnsiTheme="majorHAnsi"/>
          <w:bCs/>
          <w:sz w:val="21"/>
          <w:szCs w:val="21"/>
          <w:lang w:val="en-GB"/>
        </w:rPr>
        <w:t>.</w:t>
      </w:r>
    </w:p>
    <w:p w14:paraId="7AAE3C12" w14:textId="4C55109C" w:rsidR="00B739C3" w:rsidRPr="001E5747" w:rsidRDefault="00B739C3" w:rsidP="00B739C3">
      <w:pPr>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t>Indicator no. 27 (orange in Table 2) is 'frozen' which means that the result for this indicator will not be taken into account in the total points, because</w:t>
      </w:r>
      <w:r w:rsidR="00742794">
        <w:rPr>
          <w:rFonts w:asciiTheme="majorHAnsi" w:hAnsiTheme="majorHAnsi"/>
          <w:sz w:val="21"/>
          <w:szCs w:val="21"/>
          <w:lang w:val="en-GB"/>
        </w:rPr>
        <w:t xml:space="preserve"> there are currently no accurate data for this indicator and as a result</w:t>
      </w:r>
      <w:r w:rsidR="00D91A29">
        <w:rPr>
          <w:rFonts w:asciiTheme="majorHAnsi" w:hAnsiTheme="majorHAnsi"/>
          <w:sz w:val="21"/>
          <w:szCs w:val="21"/>
          <w:lang w:val="en-GB"/>
        </w:rPr>
        <w:t xml:space="preserve"> these data were not reported in the MPMS</w:t>
      </w:r>
      <w:r w:rsidRPr="001E5747">
        <w:rPr>
          <w:rFonts w:asciiTheme="majorHAnsi" w:hAnsiTheme="majorHAnsi"/>
          <w:sz w:val="21"/>
          <w:szCs w:val="21"/>
          <w:lang w:val="en-GB"/>
        </w:rPr>
        <w:t>.</w:t>
      </w:r>
    </w:p>
    <w:p w14:paraId="09437814" w14:textId="77777777" w:rsidR="00B739C3" w:rsidRPr="001E5747" w:rsidRDefault="00B739C3" w:rsidP="00B739C3">
      <w:pPr>
        <w:bidi/>
        <w:rPr>
          <w:lang w:val="en-GB"/>
        </w:rPr>
      </w:pPr>
    </w:p>
    <w:p w14:paraId="7C623C5A" w14:textId="77777777" w:rsidR="00B739C3" w:rsidRPr="001E5747" w:rsidRDefault="00B739C3" w:rsidP="00B739C3">
      <w:pPr>
        <w:pStyle w:val="Heading1"/>
        <w:numPr>
          <w:ilvl w:val="1"/>
          <w:numId w:val="43"/>
        </w:numPr>
        <w:tabs>
          <w:tab w:val="left" w:pos="540"/>
        </w:tabs>
        <w:ind w:hanging="1800"/>
        <w:rPr>
          <w:rFonts w:asciiTheme="majorHAnsi" w:hAnsiTheme="majorHAnsi"/>
          <w:color w:val="C0504D"/>
          <w:szCs w:val="28"/>
          <w:lang w:val="en-GB"/>
        </w:rPr>
      </w:pPr>
      <w:bookmarkStart w:id="38" w:name="_Toc61062523"/>
      <w:r w:rsidRPr="001E5747">
        <w:rPr>
          <w:rFonts w:asciiTheme="majorHAnsi" w:hAnsiTheme="majorHAnsi"/>
          <w:color w:val="C0504D"/>
          <w:szCs w:val="28"/>
          <w:lang w:val="en-GB"/>
        </w:rPr>
        <w:t xml:space="preserve">Sources </w:t>
      </w:r>
      <w:bookmarkEnd w:id="38"/>
      <w:r w:rsidRPr="001E5747">
        <w:rPr>
          <w:rFonts w:asciiTheme="majorHAnsi" w:hAnsiTheme="majorHAnsi"/>
          <w:color w:val="C0504D"/>
          <w:szCs w:val="28"/>
          <w:lang w:val="en-GB"/>
        </w:rPr>
        <w:t>of funding for the municipal performance grant</w:t>
      </w:r>
    </w:p>
    <w:p w14:paraId="5FB24586" w14:textId="766B0CE8" w:rsidR="00B739C3" w:rsidRPr="001E5747" w:rsidRDefault="00B739C3" w:rsidP="00B739C3">
      <w:pPr>
        <w:spacing w:before="40" w:line="252" w:lineRule="auto"/>
        <w:jc w:val="both"/>
        <w:rPr>
          <w:rFonts w:asciiTheme="majorHAnsi" w:hAnsiTheme="majorHAnsi"/>
          <w:sz w:val="21"/>
          <w:szCs w:val="21"/>
          <w:lang w:val="en-GB"/>
        </w:rPr>
      </w:pPr>
      <w:r w:rsidRPr="001E5747">
        <w:rPr>
          <w:rFonts w:asciiTheme="majorHAnsi" w:hAnsiTheme="majorHAnsi"/>
          <w:sz w:val="21"/>
          <w:szCs w:val="21"/>
          <w:lang w:val="en-GB"/>
        </w:rPr>
        <w:t xml:space="preserve">The MPG </w:t>
      </w:r>
      <w:r w:rsidR="00F56C24">
        <w:rPr>
          <w:rFonts w:asciiTheme="majorHAnsi" w:hAnsiTheme="majorHAnsi"/>
          <w:sz w:val="21"/>
          <w:szCs w:val="21"/>
          <w:lang w:val="en-GB"/>
        </w:rPr>
        <w:t xml:space="preserve">for the year </w:t>
      </w:r>
      <w:r w:rsidR="00D91A29">
        <w:rPr>
          <w:rFonts w:asciiTheme="majorHAnsi" w:hAnsiTheme="majorHAnsi"/>
          <w:sz w:val="21"/>
          <w:szCs w:val="21"/>
          <w:lang w:val="en-GB"/>
        </w:rPr>
        <w:t xml:space="preserve">2023 </w:t>
      </w:r>
      <w:r w:rsidR="00F56C24">
        <w:rPr>
          <w:rFonts w:asciiTheme="majorHAnsi" w:hAnsiTheme="majorHAnsi"/>
          <w:sz w:val="21"/>
          <w:szCs w:val="21"/>
          <w:lang w:val="en-GB"/>
        </w:rPr>
        <w:t xml:space="preserve">is expected to be </w:t>
      </w:r>
      <w:r w:rsidRPr="001E5747">
        <w:rPr>
          <w:rFonts w:asciiTheme="majorHAnsi" w:hAnsiTheme="majorHAnsi"/>
          <w:sz w:val="21"/>
          <w:szCs w:val="21"/>
          <w:lang w:val="en-GB"/>
        </w:rPr>
        <w:t>co-financed by the Government of Kosovo (from the budget allocation of the MLG</w:t>
      </w:r>
      <w:r w:rsidR="00822DDE">
        <w:rPr>
          <w:rFonts w:asciiTheme="majorHAnsi" w:hAnsiTheme="majorHAnsi"/>
          <w:sz w:val="21"/>
          <w:szCs w:val="21"/>
          <w:lang w:val="en-GB"/>
        </w:rPr>
        <w:t>A</w:t>
      </w:r>
      <w:r w:rsidRPr="001E5747">
        <w:rPr>
          <w:rFonts w:asciiTheme="majorHAnsi" w:hAnsiTheme="majorHAnsi"/>
          <w:sz w:val="21"/>
          <w:szCs w:val="21"/>
          <w:lang w:val="en-GB"/>
        </w:rPr>
        <w:t>),</w:t>
      </w:r>
      <w:r w:rsidR="00B64DC9">
        <w:rPr>
          <w:rFonts w:asciiTheme="majorHAnsi" w:hAnsiTheme="majorHAnsi"/>
          <w:sz w:val="21"/>
          <w:szCs w:val="21"/>
          <w:lang w:val="en-GB"/>
        </w:rPr>
        <w:t xml:space="preserve"> the European Union; </w:t>
      </w:r>
      <w:r w:rsidRPr="001E5747">
        <w:rPr>
          <w:rFonts w:asciiTheme="majorHAnsi" w:hAnsiTheme="majorHAnsi"/>
          <w:sz w:val="21"/>
          <w:szCs w:val="21"/>
          <w:lang w:val="en-GB"/>
        </w:rPr>
        <w:t>Swed</w:t>
      </w:r>
      <w:r w:rsidR="00822DDE">
        <w:rPr>
          <w:rFonts w:asciiTheme="majorHAnsi" w:hAnsiTheme="majorHAnsi"/>
          <w:sz w:val="21"/>
          <w:szCs w:val="21"/>
          <w:lang w:val="en-GB"/>
        </w:rPr>
        <w:t>en</w:t>
      </w:r>
      <w:r w:rsidR="00B64DC9">
        <w:rPr>
          <w:rFonts w:asciiTheme="majorHAnsi" w:hAnsiTheme="majorHAnsi"/>
          <w:sz w:val="21"/>
          <w:szCs w:val="21"/>
          <w:lang w:val="en-GB"/>
        </w:rPr>
        <w:t>,</w:t>
      </w:r>
      <w:r w:rsidR="00E77FB0">
        <w:rPr>
          <w:rFonts w:asciiTheme="majorHAnsi" w:hAnsiTheme="majorHAnsi"/>
          <w:sz w:val="21"/>
          <w:szCs w:val="21"/>
          <w:lang w:val="en-GB"/>
        </w:rPr>
        <w:t xml:space="preserve"> </w:t>
      </w:r>
      <w:r w:rsidR="00B64DC9">
        <w:rPr>
          <w:rFonts w:asciiTheme="majorHAnsi" w:hAnsiTheme="majorHAnsi"/>
          <w:sz w:val="21"/>
          <w:szCs w:val="21"/>
          <w:lang w:val="en-GB"/>
        </w:rPr>
        <w:t xml:space="preserve">Switzerland </w:t>
      </w:r>
      <w:r w:rsidR="00E77FB0">
        <w:rPr>
          <w:rFonts w:asciiTheme="majorHAnsi" w:hAnsiTheme="majorHAnsi"/>
          <w:sz w:val="21"/>
          <w:szCs w:val="21"/>
          <w:lang w:val="en-GB"/>
        </w:rPr>
        <w:t xml:space="preserve">and </w:t>
      </w:r>
      <w:r w:rsidRPr="001E5747">
        <w:rPr>
          <w:rFonts w:asciiTheme="majorHAnsi" w:hAnsiTheme="majorHAnsi"/>
          <w:sz w:val="21"/>
          <w:szCs w:val="21"/>
          <w:lang w:val="en-GB"/>
        </w:rPr>
        <w:t>Norw</w:t>
      </w:r>
      <w:r w:rsidR="00822DDE">
        <w:rPr>
          <w:rFonts w:asciiTheme="majorHAnsi" w:hAnsiTheme="majorHAnsi"/>
          <w:sz w:val="21"/>
          <w:szCs w:val="21"/>
          <w:lang w:val="en-GB"/>
        </w:rPr>
        <w:t>ay</w:t>
      </w:r>
      <w:r w:rsidRPr="001E5747">
        <w:rPr>
          <w:rFonts w:asciiTheme="majorHAnsi" w:hAnsiTheme="majorHAnsi"/>
          <w:sz w:val="21"/>
          <w:szCs w:val="21"/>
          <w:lang w:val="en-GB"/>
        </w:rPr>
        <w:t>.</w:t>
      </w:r>
    </w:p>
    <w:p w14:paraId="55221732" w14:textId="7E038E63" w:rsidR="00B739C3" w:rsidRPr="001E5747" w:rsidRDefault="00B739C3" w:rsidP="00B739C3">
      <w:pPr>
        <w:spacing w:before="40" w:line="252" w:lineRule="auto"/>
        <w:jc w:val="both"/>
        <w:rPr>
          <w:rFonts w:asciiTheme="majorHAnsi" w:hAnsiTheme="majorHAnsi"/>
          <w:sz w:val="21"/>
          <w:szCs w:val="21"/>
          <w:lang w:val="en-GB"/>
        </w:rPr>
      </w:pPr>
      <w:r w:rsidRPr="001E5747">
        <w:rPr>
          <w:rFonts w:asciiTheme="majorHAnsi" w:hAnsiTheme="majorHAnsi"/>
          <w:sz w:val="21"/>
          <w:szCs w:val="21"/>
          <w:lang w:val="en-GB"/>
        </w:rPr>
        <w:t xml:space="preserve">The MPG financing plan for </w:t>
      </w:r>
      <w:r w:rsidR="00D91A29" w:rsidRPr="001E5747">
        <w:rPr>
          <w:rFonts w:asciiTheme="majorHAnsi" w:hAnsiTheme="majorHAnsi"/>
          <w:sz w:val="21"/>
          <w:szCs w:val="21"/>
          <w:lang w:val="en-GB"/>
        </w:rPr>
        <w:t>202</w:t>
      </w:r>
      <w:r w:rsidR="00D91A29">
        <w:rPr>
          <w:rFonts w:asciiTheme="majorHAnsi" w:hAnsiTheme="majorHAnsi"/>
          <w:sz w:val="21"/>
          <w:szCs w:val="21"/>
          <w:lang w:val="en-GB"/>
        </w:rPr>
        <w:t>3</w:t>
      </w:r>
      <w:r w:rsidR="00D91A29" w:rsidRPr="001E5747">
        <w:rPr>
          <w:rFonts w:asciiTheme="majorHAnsi" w:hAnsiTheme="majorHAnsi"/>
          <w:sz w:val="21"/>
          <w:szCs w:val="21"/>
          <w:lang w:val="en-GB"/>
        </w:rPr>
        <w:t xml:space="preserve"> </w:t>
      </w:r>
      <w:r w:rsidRPr="001E5747">
        <w:rPr>
          <w:rFonts w:asciiTheme="majorHAnsi" w:hAnsiTheme="majorHAnsi"/>
          <w:sz w:val="21"/>
          <w:szCs w:val="21"/>
          <w:lang w:val="en-GB"/>
        </w:rPr>
        <w:t>is as shown in Table 3 below.</w:t>
      </w:r>
      <w:r w:rsidR="006165E8">
        <w:rPr>
          <w:rFonts w:asciiTheme="majorHAnsi" w:hAnsiTheme="majorHAnsi"/>
          <w:sz w:val="21"/>
          <w:szCs w:val="21"/>
          <w:lang w:val="en-GB"/>
        </w:rPr>
        <w:t xml:space="preserve"> </w:t>
      </w:r>
      <w:r w:rsidR="006165E8" w:rsidRPr="006165E8">
        <w:rPr>
          <w:rFonts w:asciiTheme="majorHAnsi" w:hAnsiTheme="majorHAnsi"/>
          <w:sz w:val="21"/>
          <w:szCs w:val="21"/>
          <w:lang w:val="en-GB"/>
        </w:rPr>
        <w:t xml:space="preserve">All </w:t>
      </w:r>
      <w:r w:rsidR="006165E8">
        <w:rPr>
          <w:rFonts w:asciiTheme="majorHAnsi" w:hAnsiTheme="majorHAnsi"/>
          <w:sz w:val="21"/>
          <w:szCs w:val="21"/>
          <w:lang w:val="en-GB"/>
        </w:rPr>
        <w:t xml:space="preserve">the </w:t>
      </w:r>
      <w:r w:rsidR="006165E8" w:rsidRPr="006165E8">
        <w:rPr>
          <w:rFonts w:asciiTheme="majorHAnsi" w:hAnsiTheme="majorHAnsi"/>
          <w:sz w:val="21"/>
          <w:szCs w:val="21"/>
          <w:lang w:val="en-GB"/>
        </w:rPr>
        <w:t xml:space="preserve">amounts planned for the MPG are indicative and are subject to approval by the Assembly of the Republic of Kosovo and </w:t>
      </w:r>
      <w:r w:rsidR="006165E8">
        <w:rPr>
          <w:rFonts w:asciiTheme="majorHAnsi" w:hAnsiTheme="majorHAnsi"/>
          <w:sz w:val="21"/>
          <w:szCs w:val="21"/>
          <w:lang w:val="en-GB"/>
        </w:rPr>
        <w:t>donors.</w:t>
      </w:r>
    </w:p>
    <w:p w14:paraId="235112C0" w14:textId="1597E1C5" w:rsidR="00784B88" w:rsidRDefault="00F63783" w:rsidP="00784B88">
      <w:pPr>
        <w:pStyle w:val="paragraph"/>
        <w:spacing w:before="0" w:beforeAutospacing="0" w:after="0" w:afterAutospacing="0"/>
        <w:jc w:val="both"/>
        <w:textAlignment w:val="baseline"/>
        <w:rPr>
          <w:rFonts w:ascii="Segoe UI" w:hAnsi="Segoe UI" w:cs="Segoe UI"/>
          <w:sz w:val="18"/>
          <w:szCs w:val="18"/>
        </w:rPr>
      </w:pPr>
      <w:r w:rsidRPr="00C96E3F">
        <w:rPr>
          <w:rFonts w:asciiTheme="majorHAnsi" w:hAnsiTheme="majorHAnsi"/>
          <w:sz w:val="21"/>
          <w:szCs w:val="21"/>
          <w:lang w:val="en-GB"/>
        </w:rPr>
        <w:t xml:space="preserve">To monitor the impact of projects on citizens, social audit will be </w:t>
      </w:r>
      <w:r w:rsidR="00D91A29">
        <w:rPr>
          <w:rFonts w:asciiTheme="majorHAnsi" w:hAnsiTheme="majorHAnsi"/>
          <w:sz w:val="21"/>
          <w:szCs w:val="21"/>
          <w:lang w:val="en-GB"/>
        </w:rPr>
        <w:t>implemented</w:t>
      </w:r>
      <w:r w:rsidR="00D91A29" w:rsidRPr="00C96E3F">
        <w:rPr>
          <w:rFonts w:asciiTheme="majorHAnsi" w:hAnsiTheme="majorHAnsi"/>
          <w:sz w:val="21"/>
          <w:szCs w:val="21"/>
          <w:lang w:val="en-GB"/>
        </w:rPr>
        <w:t xml:space="preserve"> </w:t>
      </w:r>
      <w:r w:rsidRPr="00C96E3F">
        <w:rPr>
          <w:rFonts w:asciiTheme="majorHAnsi" w:hAnsiTheme="majorHAnsi"/>
          <w:sz w:val="21"/>
          <w:szCs w:val="21"/>
          <w:lang w:val="en-GB"/>
        </w:rPr>
        <w:t>within the MPG.</w:t>
      </w:r>
      <w:r>
        <w:rPr>
          <w:rFonts w:asciiTheme="majorHAnsi" w:hAnsiTheme="majorHAnsi"/>
          <w:sz w:val="21"/>
          <w:szCs w:val="21"/>
          <w:lang w:val="en-GB"/>
        </w:rPr>
        <w:t xml:space="preserve"> </w:t>
      </w:r>
      <w:r w:rsidR="00784B88">
        <w:rPr>
          <w:rFonts w:asciiTheme="majorHAnsi" w:hAnsiTheme="majorHAnsi"/>
          <w:sz w:val="21"/>
          <w:szCs w:val="21"/>
        </w:rPr>
        <w:t xml:space="preserve">The amount for social audit for </w:t>
      </w:r>
      <w:r w:rsidR="00D91A29">
        <w:rPr>
          <w:rFonts w:asciiTheme="majorHAnsi" w:hAnsiTheme="majorHAnsi"/>
          <w:sz w:val="21"/>
          <w:szCs w:val="21"/>
        </w:rPr>
        <w:t xml:space="preserve">2023 </w:t>
      </w:r>
      <w:r w:rsidR="00784B88">
        <w:rPr>
          <w:rFonts w:asciiTheme="majorHAnsi" w:hAnsiTheme="majorHAnsi"/>
          <w:sz w:val="21"/>
          <w:szCs w:val="21"/>
        </w:rPr>
        <w:t xml:space="preserve">is deducted from the total amount of MPG. Therefore, table 3 presents the MPG </w:t>
      </w:r>
      <w:r w:rsidR="00B808D2">
        <w:rPr>
          <w:rFonts w:asciiTheme="majorHAnsi" w:hAnsiTheme="majorHAnsi"/>
          <w:sz w:val="21"/>
          <w:szCs w:val="21"/>
        </w:rPr>
        <w:t>indicative</w:t>
      </w:r>
      <w:r w:rsidR="00784B88">
        <w:rPr>
          <w:rFonts w:asciiTheme="majorHAnsi" w:hAnsiTheme="majorHAnsi"/>
          <w:sz w:val="21"/>
          <w:szCs w:val="21"/>
        </w:rPr>
        <w:t xml:space="preserve"> amount that will be allocated for municipalities. </w:t>
      </w:r>
    </w:p>
    <w:p w14:paraId="78492145" w14:textId="77777777" w:rsidR="00784B88" w:rsidRDefault="00784B88" w:rsidP="00B739C3">
      <w:pPr>
        <w:rPr>
          <w:rFonts w:asciiTheme="majorHAnsi" w:hAnsiTheme="majorHAnsi"/>
          <w:b/>
          <w:sz w:val="21"/>
          <w:szCs w:val="21"/>
          <w:lang w:val="en-GB"/>
        </w:rPr>
      </w:pPr>
    </w:p>
    <w:p w14:paraId="288E45E2" w14:textId="41D872EE" w:rsidR="00B739C3" w:rsidRPr="001E5747" w:rsidRDefault="00B739C3" w:rsidP="00B739C3">
      <w:pPr>
        <w:rPr>
          <w:rFonts w:asciiTheme="majorHAnsi" w:hAnsiTheme="majorHAnsi"/>
          <w:sz w:val="21"/>
          <w:szCs w:val="21"/>
          <w:lang w:val="en-GB"/>
        </w:rPr>
      </w:pPr>
      <w:r w:rsidRPr="001E5747">
        <w:rPr>
          <w:rFonts w:asciiTheme="majorHAnsi" w:hAnsiTheme="majorHAnsi"/>
          <w:b/>
          <w:sz w:val="21"/>
          <w:szCs w:val="21"/>
          <w:lang w:val="en-GB"/>
        </w:rPr>
        <w:t xml:space="preserve">Table 3: Sources of funding for the Municipal Performance Grant </w:t>
      </w:r>
      <w:r w:rsidR="00D91A29" w:rsidRPr="001E5747">
        <w:rPr>
          <w:rFonts w:asciiTheme="majorHAnsi" w:hAnsiTheme="majorHAnsi"/>
          <w:b/>
          <w:sz w:val="21"/>
          <w:szCs w:val="21"/>
          <w:lang w:val="en-GB"/>
        </w:rPr>
        <w:t>202</w:t>
      </w:r>
      <w:r w:rsidR="00D91A29">
        <w:rPr>
          <w:rFonts w:asciiTheme="majorHAnsi" w:hAnsiTheme="majorHAnsi"/>
          <w:b/>
          <w:sz w:val="21"/>
          <w:szCs w:val="21"/>
          <w:lang w:val="en-GB"/>
        </w:rPr>
        <w:t>3</w:t>
      </w:r>
      <w:r w:rsidR="00D91A29" w:rsidRPr="001E5747">
        <w:rPr>
          <w:rFonts w:asciiTheme="majorHAnsi" w:hAnsiTheme="majorHAnsi"/>
          <w:b/>
          <w:sz w:val="21"/>
          <w:szCs w:val="21"/>
          <w:lang w:val="en-GB"/>
        </w:rPr>
        <w:t xml:space="preserve"> </w:t>
      </w:r>
      <w:r w:rsidRPr="001E5747">
        <w:rPr>
          <w:rFonts w:asciiTheme="majorHAnsi" w:hAnsiTheme="majorHAnsi"/>
          <w:b/>
          <w:sz w:val="21"/>
          <w:szCs w:val="21"/>
          <w:lang w:val="en-GB"/>
        </w:rPr>
        <w:t>(in Euro)</w:t>
      </w:r>
    </w:p>
    <w:tbl>
      <w:tblPr>
        <w:tblW w:w="452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26"/>
        <w:gridCol w:w="3532"/>
        <w:gridCol w:w="1659"/>
      </w:tblGrid>
      <w:tr w:rsidR="0069038E" w:rsidRPr="001E5747" w14:paraId="78B40C0E" w14:textId="77777777" w:rsidTr="0069038E">
        <w:trPr>
          <w:trHeight w:val="287"/>
          <w:jc w:val="center"/>
        </w:trPr>
        <w:tc>
          <w:tcPr>
            <w:tcW w:w="1789" w:type="pct"/>
            <w:tcBorders>
              <w:top w:val="single" w:sz="4" w:space="0" w:color="auto"/>
              <w:left w:val="single" w:sz="4" w:space="0" w:color="auto"/>
              <w:bottom w:val="single" w:sz="4" w:space="0" w:color="auto"/>
              <w:right w:val="single" w:sz="4" w:space="0" w:color="auto"/>
            </w:tcBorders>
            <w:shd w:val="clear" w:color="auto" w:fill="C0504D"/>
          </w:tcPr>
          <w:p w14:paraId="5A5B0795" w14:textId="394037C0" w:rsidR="0028141A" w:rsidRPr="001E5747" w:rsidRDefault="0028141A" w:rsidP="00B739C3">
            <w:pPr>
              <w:jc w:val="center"/>
              <w:rPr>
                <w:rFonts w:ascii="Arial" w:hAnsi="Arial" w:cs="Arial"/>
                <w:b/>
                <w:bCs/>
                <w:color w:val="FFFFFF" w:themeColor="background1"/>
                <w:sz w:val="19"/>
                <w:szCs w:val="19"/>
                <w:lang w:val="en-GB"/>
              </w:rPr>
            </w:pPr>
            <w:r>
              <w:rPr>
                <w:rFonts w:ascii="Arial" w:hAnsi="Arial" w:cs="Arial"/>
                <w:b/>
                <w:bCs/>
                <w:color w:val="FFFFFF" w:themeColor="background1"/>
                <w:sz w:val="19"/>
                <w:szCs w:val="19"/>
                <w:lang w:val="en-GB"/>
              </w:rPr>
              <w:t>Funds</w:t>
            </w:r>
          </w:p>
        </w:tc>
        <w:tc>
          <w:tcPr>
            <w:tcW w:w="2096" w:type="pct"/>
            <w:tcBorders>
              <w:top w:val="single" w:sz="4" w:space="0" w:color="auto"/>
              <w:left w:val="single" w:sz="4" w:space="0" w:color="auto"/>
              <w:bottom w:val="single" w:sz="4" w:space="0" w:color="auto"/>
              <w:right w:val="single" w:sz="4" w:space="0" w:color="auto"/>
            </w:tcBorders>
            <w:shd w:val="clear" w:color="auto" w:fill="C0504D"/>
            <w:noWrap/>
            <w:vAlign w:val="center"/>
            <w:hideMark/>
          </w:tcPr>
          <w:p w14:paraId="751BC5A4" w14:textId="657526B6" w:rsidR="0028141A" w:rsidRPr="001E5747" w:rsidRDefault="0028141A" w:rsidP="00B739C3">
            <w:pPr>
              <w:jc w:val="center"/>
              <w:rPr>
                <w:rFonts w:ascii="Arial" w:hAnsi="Arial" w:cs="Arial"/>
                <w:b/>
                <w:bCs/>
                <w:color w:val="FFFFFF" w:themeColor="background1"/>
                <w:sz w:val="19"/>
                <w:szCs w:val="19"/>
                <w:lang w:val="en-GB"/>
              </w:rPr>
            </w:pPr>
            <w:r w:rsidRPr="001E5747">
              <w:rPr>
                <w:rFonts w:ascii="Arial" w:hAnsi="Arial" w:cs="Arial"/>
                <w:b/>
                <w:bCs/>
                <w:color w:val="FFFFFF" w:themeColor="background1"/>
                <w:sz w:val="19"/>
                <w:szCs w:val="19"/>
                <w:lang w:val="en-GB"/>
              </w:rPr>
              <w:t>Source</w:t>
            </w:r>
          </w:p>
        </w:tc>
        <w:tc>
          <w:tcPr>
            <w:tcW w:w="1112" w:type="pct"/>
            <w:tcBorders>
              <w:top w:val="single" w:sz="4" w:space="0" w:color="auto"/>
              <w:left w:val="single" w:sz="4" w:space="0" w:color="auto"/>
              <w:bottom w:val="single" w:sz="4" w:space="0" w:color="auto"/>
              <w:right w:val="single" w:sz="4" w:space="0" w:color="auto"/>
            </w:tcBorders>
            <w:shd w:val="clear" w:color="auto" w:fill="C0504D"/>
            <w:noWrap/>
            <w:vAlign w:val="bottom"/>
            <w:hideMark/>
          </w:tcPr>
          <w:p w14:paraId="457A1CEA" w14:textId="3A1E8C28" w:rsidR="0028141A" w:rsidRPr="001E5747" w:rsidRDefault="0028141A" w:rsidP="00B739C3">
            <w:pPr>
              <w:jc w:val="center"/>
              <w:rPr>
                <w:rFonts w:ascii="Calibri" w:hAnsi="Calibri"/>
                <w:b/>
                <w:bCs/>
                <w:color w:val="FFFFFF" w:themeColor="background1"/>
                <w:sz w:val="19"/>
                <w:szCs w:val="19"/>
                <w:lang w:val="en-GB"/>
              </w:rPr>
            </w:pPr>
            <w:r w:rsidRPr="001E5747">
              <w:rPr>
                <w:rFonts w:ascii="Calibri" w:hAnsi="Calibri"/>
                <w:b/>
                <w:bCs/>
                <w:color w:val="FFFFFF" w:themeColor="background1"/>
                <w:sz w:val="19"/>
                <w:szCs w:val="19"/>
                <w:lang w:val="en-GB"/>
              </w:rPr>
              <w:t xml:space="preserve">Total </w:t>
            </w:r>
            <w:r w:rsidR="00D91A29" w:rsidRPr="001E5747">
              <w:rPr>
                <w:rFonts w:ascii="Calibri" w:hAnsi="Calibri"/>
                <w:b/>
                <w:bCs/>
                <w:color w:val="FFFFFF" w:themeColor="background1"/>
                <w:sz w:val="19"/>
                <w:szCs w:val="19"/>
                <w:lang w:val="en-GB"/>
              </w:rPr>
              <w:t>202</w:t>
            </w:r>
            <w:r w:rsidR="00D91A29">
              <w:rPr>
                <w:rFonts w:ascii="Calibri" w:hAnsi="Calibri"/>
                <w:b/>
                <w:bCs/>
                <w:color w:val="FFFFFF" w:themeColor="background1"/>
                <w:sz w:val="19"/>
                <w:szCs w:val="19"/>
                <w:lang w:val="en-GB"/>
              </w:rPr>
              <w:t>3</w:t>
            </w:r>
          </w:p>
        </w:tc>
      </w:tr>
      <w:tr w:rsidR="0069038E" w:rsidRPr="001E5747" w14:paraId="097ED863" w14:textId="77777777" w:rsidTr="0069038E">
        <w:trPr>
          <w:trHeight w:val="314"/>
          <w:jc w:val="center"/>
        </w:trPr>
        <w:tc>
          <w:tcPr>
            <w:tcW w:w="1789" w:type="pct"/>
            <w:vMerge w:val="restart"/>
            <w:tcBorders>
              <w:top w:val="single" w:sz="4" w:space="0" w:color="auto"/>
              <w:left w:val="single" w:sz="4" w:space="0" w:color="auto"/>
              <w:right w:val="single" w:sz="4" w:space="0" w:color="auto"/>
            </w:tcBorders>
            <w:shd w:val="clear" w:color="auto" w:fill="E6E6E6"/>
          </w:tcPr>
          <w:p w14:paraId="0DC3B9D9" w14:textId="37DDC724" w:rsidR="0028141A" w:rsidRPr="001E5747" w:rsidRDefault="0028141A" w:rsidP="00B739C3">
            <w:pPr>
              <w:jc w:val="center"/>
              <w:rPr>
                <w:rFonts w:ascii="Calibri" w:hAnsi="Calibri"/>
                <w:color w:val="000000"/>
                <w:sz w:val="19"/>
                <w:szCs w:val="19"/>
                <w:lang w:val="en-GB"/>
              </w:rPr>
            </w:pPr>
            <w:r>
              <w:rPr>
                <w:rFonts w:ascii="Calibri" w:hAnsi="Calibri"/>
                <w:color w:val="000000"/>
                <w:sz w:val="19"/>
                <w:szCs w:val="19"/>
                <w:lang w:val="en-GB"/>
              </w:rPr>
              <w:t>Indicative MPG amount available for municipalities</w:t>
            </w:r>
          </w:p>
        </w:tc>
        <w:tc>
          <w:tcPr>
            <w:tcW w:w="2096" w:type="pct"/>
            <w:tcBorders>
              <w:top w:val="single" w:sz="4" w:space="0" w:color="auto"/>
              <w:left w:val="single" w:sz="4" w:space="0" w:color="auto"/>
              <w:bottom w:val="single" w:sz="4" w:space="0" w:color="auto"/>
              <w:right w:val="single" w:sz="4" w:space="0" w:color="auto"/>
            </w:tcBorders>
            <w:shd w:val="clear" w:color="auto" w:fill="E6E6E6"/>
            <w:noWrap/>
            <w:vAlign w:val="center"/>
            <w:hideMark/>
          </w:tcPr>
          <w:p w14:paraId="2E3F6721" w14:textId="713EB572" w:rsidR="0028141A" w:rsidRPr="001E5747" w:rsidRDefault="0028141A" w:rsidP="00B739C3">
            <w:pPr>
              <w:jc w:val="center"/>
              <w:rPr>
                <w:rFonts w:ascii="Calibri" w:hAnsi="Calibri"/>
                <w:color w:val="000000"/>
                <w:sz w:val="19"/>
                <w:szCs w:val="19"/>
                <w:lang w:val="en-GB"/>
              </w:rPr>
            </w:pPr>
            <w:r w:rsidRPr="001E5747">
              <w:rPr>
                <w:rFonts w:ascii="Calibri" w:hAnsi="Calibri"/>
                <w:color w:val="000000"/>
                <w:sz w:val="19"/>
                <w:szCs w:val="19"/>
                <w:lang w:val="en-GB"/>
              </w:rPr>
              <w:t>Government of Kosovo / MLG</w:t>
            </w:r>
            <w:r>
              <w:rPr>
                <w:rFonts w:ascii="Calibri" w:hAnsi="Calibri"/>
                <w:color w:val="000000"/>
                <w:sz w:val="19"/>
                <w:szCs w:val="19"/>
                <w:lang w:val="en-GB"/>
              </w:rPr>
              <w:t>A</w:t>
            </w:r>
          </w:p>
        </w:tc>
        <w:tc>
          <w:tcPr>
            <w:tcW w:w="1112" w:type="pct"/>
            <w:tcBorders>
              <w:top w:val="single" w:sz="4" w:space="0" w:color="auto"/>
              <w:left w:val="nil"/>
              <w:bottom w:val="single" w:sz="4" w:space="0" w:color="auto"/>
              <w:right w:val="single" w:sz="4" w:space="0" w:color="auto"/>
            </w:tcBorders>
            <w:shd w:val="clear" w:color="auto" w:fill="E6E6E6"/>
            <w:noWrap/>
            <w:vAlign w:val="center"/>
            <w:hideMark/>
          </w:tcPr>
          <w:p w14:paraId="51642225" w14:textId="6069D189" w:rsidR="0028141A" w:rsidRPr="001E5747" w:rsidRDefault="0028141A">
            <w:pPr>
              <w:jc w:val="center"/>
              <w:rPr>
                <w:rFonts w:ascii="Calibri" w:hAnsi="Calibri"/>
                <w:color w:val="000000"/>
                <w:sz w:val="19"/>
                <w:szCs w:val="19"/>
                <w:lang w:val="en-GB"/>
              </w:rPr>
            </w:pPr>
            <w:r w:rsidRPr="001E5747">
              <w:rPr>
                <w:rFonts w:ascii="Calibri" w:hAnsi="Calibri"/>
                <w:color w:val="000000"/>
                <w:sz w:val="19"/>
                <w:szCs w:val="19"/>
                <w:lang w:val="en-GB"/>
              </w:rPr>
              <w:t xml:space="preserve"> </w:t>
            </w:r>
            <w:r w:rsidRPr="00EF13F3">
              <w:rPr>
                <w:rFonts w:ascii="Calibri" w:hAnsi="Calibri"/>
                <w:color w:val="000000"/>
                <w:sz w:val="19"/>
                <w:szCs w:val="19"/>
                <w:lang w:val="en-GB"/>
              </w:rPr>
              <w:t>3,</w:t>
            </w:r>
            <w:r w:rsidR="0077514F" w:rsidRPr="00EF13F3">
              <w:rPr>
                <w:rFonts w:ascii="Calibri" w:hAnsi="Calibri"/>
                <w:color w:val="000000"/>
                <w:sz w:val="19"/>
                <w:szCs w:val="19"/>
                <w:lang w:val="en-GB"/>
              </w:rPr>
              <w:t>500</w:t>
            </w:r>
            <w:r w:rsidRPr="00EF13F3">
              <w:rPr>
                <w:rFonts w:ascii="Calibri" w:hAnsi="Calibri"/>
                <w:color w:val="000000"/>
                <w:sz w:val="19"/>
                <w:szCs w:val="19"/>
                <w:lang w:val="en-GB"/>
              </w:rPr>
              <w:t>,000</w:t>
            </w:r>
          </w:p>
        </w:tc>
      </w:tr>
      <w:tr w:rsidR="0069038E" w:rsidRPr="001E5747" w14:paraId="644C2BEE" w14:textId="77777777" w:rsidTr="0069038E">
        <w:trPr>
          <w:trHeight w:val="314"/>
          <w:jc w:val="center"/>
        </w:trPr>
        <w:tc>
          <w:tcPr>
            <w:tcW w:w="1789" w:type="pct"/>
            <w:vMerge/>
            <w:tcBorders>
              <w:left w:val="single" w:sz="4" w:space="0" w:color="auto"/>
              <w:bottom w:val="single" w:sz="4" w:space="0" w:color="auto"/>
              <w:right w:val="single" w:sz="4" w:space="0" w:color="auto"/>
            </w:tcBorders>
            <w:shd w:val="clear" w:color="auto" w:fill="E6E6E6"/>
          </w:tcPr>
          <w:p w14:paraId="0650BECA" w14:textId="77777777" w:rsidR="0028141A" w:rsidRPr="0028141A" w:rsidRDefault="0028141A" w:rsidP="00B739C3">
            <w:pPr>
              <w:jc w:val="center"/>
              <w:rPr>
                <w:rFonts w:ascii="Calibri" w:hAnsi="Calibri"/>
                <w:color w:val="000000"/>
                <w:sz w:val="19"/>
                <w:lang w:val="de-DE"/>
              </w:rPr>
            </w:pPr>
          </w:p>
        </w:tc>
        <w:tc>
          <w:tcPr>
            <w:tcW w:w="2096" w:type="pct"/>
            <w:tcBorders>
              <w:top w:val="single" w:sz="4" w:space="0" w:color="auto"/>
              <w:left w:val="single" w:sz="4" w:space="0" w:color="auto"/>
              <w:bottom w:val="single" w:sz="4" w:space="0" w:color="auto"/>
              <w:right w:val="single" w:sz="4" w:space="0" w:color="auto"/>
            </w:tcBorders>
            <w:shd w:val="clear" w:color="auto" w:fill="E6E6E6"/>
            <w:noWrap/>
            <w:vAlign w:val="center"/>
          </w:tcPr>
          <w:p w14:paraId="623FF381" w14:textId="0E0D2464" w:rsidR="0028141A" w:rsidRPr="0069038E" w:rsidRDefault="0028141A" w:rsidP="00B739C3">
            <w:pPr>
              <w:jc w:val="center"/>
              <w:rPr>
                <w:rFonts w:ascii="Calibri" w:hAnsi="Calibri"/>
                <w:color w:val="000000"/>
                <w:sz w:val="19"/>
                <w:lang w:val="de-DE"/>
              </w:rPr>
            </w:pPr>
            <w:r w:rsidRPr="0069038E">
              <w:rPr>
                <w:rFonts w:ascii="Calibri" w:hAnsi="Calibri"/>
                <w:color w:val="000000"/>
                <w:sz w:val="19"/>
                <w:lang w:val="de-DE"/>
              </w:rPr>
              <w:t>Donors (</w:t>
            </w:r>
            <w:r w:rsidR="00B64DC9">
              <w:rPr>
                <w:rFonts w:ascii="Calibri" w:hAnsi="Calibri"/>
                <w:color w:val="000000"/>
                <w:sz w:val="19"/>
                <w:lang w:val="de-DE"/>
              </w:rPr>
              <w:t xml:space="preserve">EU, </w:t>
            </w:r>
            <w:r w:rsidRPr="0069038E">
              <w:rPr>
                <w:rFonts w:ascii="Calibri" w:hAnsi="Calibri"/>
                <w:color w:val="000000"/>
                <w:sz w:val="19"/>
                <w:lang w:val="de-DE"/>
              </w:rPr>
              <w:t>Sweden,  S</w:t>
            </w:r>
            <w:r w:rsidR="005C2523">
              <w:rPr>
                <w:rFonts w:ascii="Calibri" w:hAnsi="Calibri"/>
                <w:color w:val="000000"/>
                <w:sz w:val="19"/>
                <w:lang w:val="de-DE"/>
              </w:rPr>
              <w:t>witzerland</w:t>
            </w:r>
            <w:r w:rsidRPr="0069038E">
              <w:rPr>
                <w:rFonts w:ascii="Calibri" w:hAnsi="Calibri"/>
                <w:color w:val="000000"/>
                <w:sz w:val="19"/>
                <w:lang w:val="de-DE"/>
              </w:rPr>
              <w:t xml:space="preserve"> Norway)</w:t>
            </w:r>
          </w:p>
        </w:tc>
        <w:tc>
          <w:tcPr>
            <w:tcW w:w="1112" w:type="pct"/>
            <w:tcBorders>
              <w:top w:val="single" w:sz="4" w:space="0" w:color="auto"/>
              <w:left w:val="nil"/>
              <w:bottom w:val="single" w:sz="4" w:space="0" w:color="auto"/>
              <w:right w:val="single" w:sz="4" w:space="0" w:color="auto"/>
            </w:tcBorders>
            <w:shd w:val="clear" w:color="auto" w:fill="E6E6E6"/>
            <w:noWrap/>
            <w:vAlign w:val="center"/>
          </w:tcPr>
          <w:p w14:paraId="4A6D75C7" w14:textId="2EA48A79" w:rsidR="0028141A" w:rsidRPr="001E5747" w:rsidRDefault="0028141A" w:rsidP="00C06C3E">
            <w:pPr>
              <w:jc w:val="center"/>
              <w:rPr>
                <w:rFonts w:ascii="Calibri" w:hAnsi="Calibri"/>
                <w:color w:val="000000"/>
                <w:sz w:val="19"/>
                <w:szCs w:val="19"/>
                <w:lang w:val="en-GB"/>
              </w:rPr>
            </w:pPr>
            <w:r>
              <w:rPr>
                <w:rFonts w:ascii="Calibri" w:hAnsi="Calibri"/>
                <w:color w:val="000000"/>
                <w:sz w:val="19"/>
                <w:szCs w:val="19"/>
                <w:lang w:val="en-GB"/>
              </w:rPr>
              <w:t>4,</w:t>
            </w:r>
            <w:r w:rsidR="00D91A29">
              <w:rPr>
                <w:rFonts w:ascii="Calibri" w:hAnsi="Calibri"/>
                <w:color w:val="000000"/>
                <w:sz w:val="19"/>
                <w:szCs w:val="19"/>
                <w:lang w:val="en-GB"/>
              </w:rPr>
              <w:t>271</w:t>
            </w:r>
            <w:r>
              <w:rPr>
                <w:rFonts w:ascii="Calibri" w:hAnsi="Calibri"/>
                <w:color w:val="000000"/>
                <w:sz w:val="19"/>
                <w:szCs w:val="19"/>
                <w:lang w:val="en-GB"/>
              </w:rPr>
              <w:t>,500</w:t>
            </w:r>
          </w:p>
        </w:tc>
      </w:tr>
      <w:tr w:rsidR="0028141A" w:rsidRPr="001E5747" w14:paraId="5778C520" w14:textId="77777777" w:rsidTr="0028141A">
        <w:trPr>
          <w:trHeight w:val="314"/>
          <w:jc w:val="center"/>
        </w:trPr>
        <w:tc>
          <w:tcPr>
            <w:tcW w:w="1789" w:type="pct"/>
            <w:tcBorders>
              <w:top w:val="single" w:sz="4" w:space="0" w:color="auto"/>
              <w:left w:val="single" w:sz="4" w:space="0" w:color="auto"/>
              <w:bottom w:val="single" w:sz="4" w:space="0" w:color="auto"/>
              <w:right w:val="single" w:sz="4" w:space="0" w:color="auto"/>
            </w:tcBorders>
            <w:shd w:val="clear" w:color="auto" w:fill="E6E6E6"/>
          </w:tcPr>
          <w:p w14:paraId="2D595A33" w14:textId="73CA89CD" w:rsidR="0028141A" w:rsidRPr="0028141A" w:rsidRDefault="0028141A" w:rsidP="00B739C3">
            <w:pPr>
              <w:jc w:val="center"/>
              <w:rPr>
                <w:rFonts w:ascii="Calibri" w:hAnsi="Calibri"/>
                <w:color w:val="000000"/>
                <w:sz w:val="19"/>
                <w:lang w:val="de-DE"/>
              </w:rPr>
            </w:pPr>
            <w:r>
              <w:rPr>
                <w:rFonts w:ascii="Calibri" w:hAnsi="Calibri"/>
                <w:color w:val="000000"/>
                <w:sz w:val="19"/>
                <w:lang w:val="de-DE"/>
              </w:rPr>
              <w:t>Budget for social audit</w:t>
            </w:r>
          </w:p>
        </w:tc>
        <w:tc>
          <w:tcPr>
            <w:tcW w:w="2096" w:type="pct"/>
            <w:tcBorders>
              <w:top w:val="single" w:sz="4" w:space="0" w:color="auto"/>
              <w:left w:val="single" w:sz="4" w:space="0" w:color="auto"/>
              <w:bottom w:val="single" w:sz="4" w:space="0" w:color="auto"/>
              <w:right w:val="single" w:sz="4" w:space="0" w:color="auto"/>
            </w:tcBorders>
            <w:shd w:val="clear" w:color="auto" w:fill="E6E6E6"/>
            <w:noWrap/>
            <w:vAlign w:val="center"/>
          </w:tcPr>
          <w:p w14:paraId="03A583A1" w14:textId="48DF2D8B" w:rsidR="0028141A" w:rsidRPr="0028141A" w:rsidRDefault="0028141A" w:rsidP="00B739C3">
            <w:pPr>
              <w:jc w:val="center"/>
              <w:rPr>
                <w:rFonts w:ascii="Calibri" w:hAnsi="Calibri"/>
                <w:color w:val="000000"/>
                <w:sz w:val="19"/>
                <w:lang w:val="de-DE"/>
              </w:rPr>
            </w:pPr>
            <w:r>
              <w:rPr>
                <w:rFonts w:ascii="Calibri" w:hAnsi="Calibri"/>
                <w:color w:val="000000"/>
                <w:sz w:val="19"/>
                <w:lang w:val="de-DE"/>
              </w:rPr>
              <w:t xml:space="preserve">Donors (EU, </w:t>
            </w:r>
            <w:r w:rsidR="00B64DC9">
              <w:rPr>
                <w:rFonts w:ascii="Calibri" w:hAnsi="Calibri"/>
                <w:color w:val="000000"/>
                <w:sz w:val="19"/>
                <w:lang w:val="de-DE"/>
              </w:rPr>
              <w:t xml:space="preserve">Sweden, </w:t>
            </w:r>
            <w:r>
              <w:rPr>
                <w:rFonts w:ascii="Calibri" w:hAnsi="Calibri"/>
                <w:color w:val="000000"/>
                <w:sz w:val="19"/>
                <w:lang w:val="de-DE"/>
              </w:rPr>
              <w:t>S</w:t>
            </w:r>
            <w:r w:rsidR="005C2523">
              <w:rPr>
                <w:rFonts w:ascii="Calibri" w:hAnsi="Calibri"/>
                <w:color w:val="000000"/>
                <w:sz w:val="19"/>
                <w:lang w:val="de-DE"/>
              </w:rPr>
              <w:t>witzerland</w:t>
            </w:r>
            <w:r>
              <w:rPr>
                <w:rFonts w:ascii="Calibri" w:hAnsi="Calibri"/>
                <w:color w:val="000000"/>
                <w:sz w:val="19"/>
                <w:lang w:val="de-DE"/>
              </w:rPr>
              <w:t>, Norway)</w:t>
            </w:r>
          </w:p>
        </w:tc>
        <w:tc>
          <w:tcPr>
            <w:tcW w:w="1115" w:type="pct"/>
            <w:tcBorders>
              <w:top w:val="single" w:sz="4" w:space="0" w:color="auto"/>
              <w:left w:val="nil"/>
              <w:bottom w:val="single" w:sz="4" w:space="0" w:color="auto"/>
              <w:right w:val="single" w:sz="4" w:space="0" w:color="auto"/>
            </w:tcBorders>
            <w:shd w:val="clear" w:color="auto" w:fill="E6E6E6"/>
            <w:noWrap/>
            <w:vAlign w:val="center"/>
          </w:tcPr>
          <w:p w14:paraId="7FB767F7" w14:textId="601804EE" w:rsidR="0028141A" w:rsidRDefault="0028141A" w:rsidP="00C06C3E">
            <w:pPr>
              <w:jc w:val="center"/>
              <w:rPr>
                <w:rFonts w:ascii="Calibri" w:hAnsi="Calibri"/>
                <w:color w:val="000000"/>
                <w:sz w:val="19"/>
                <w:szCs w:val="19"/>
                <w:lang w:val="en-GB"/>
              </w:rPr>
            </w:pPr>
            <w:r>
              <w:rPr>
                <w:rFonts w:ascii="Calibri" w:hAnsi="Calibri"/>
                <w:color w:val="000000"/>
                <w:sz w:val="19"/>
                <w:szCs w:val="19"/>
                <w:lang w:val="en-GB"/>
              </w:rPr>
              <w:t>78,500</w:t>
            </w:r>
          </w:p>
        </w:tc>
      </w:tr>
      <w:tr w:rsidR="0069038E" w:rsidRPr="001E5747" w14:paraId="652DAA05" w14:textId="77777777" w:rsidTr="0069038E">
        <w:trPr>
          <w:trHeight w:val="227"/>
          <w:jc w:val="center"/>
        </w:trPr>
        <w:tc>
          <w:tcPr>
            <w:tcW w:w="3885" w:type="pct"/>
            <w:gridSpan w:val="2"/>
            <w:tcBorders>
              <w:top w:val="single" w:sz="4" w:space="0" w:color="auto"/>
              <w:left w:val="single" w:sz="4" w:space="0" w:color="auto"/>
              <w:bottom w:val="single" w:sz="4" w:space="0" w:color="auto"/>
              <w:right w:val="single" w:sz="4" w:space="0" w:color="auto"/>
            </w:tcBorders>
            <w:shd w:val="clear" w:color="auto" w:fill="666699"/>
          </w:tcPr>
          <w:p w14:paraId="593E4517" w14:textId="57E62893" w:rsidR="0028141A" w:rsidRPr="001E5747" w:rsidRDefault="0028141A" w:rsidP="00B739C3">
            <w:pPr>
              <w:jc w:val="center"/>
              <w:rPr>
                <w:rFonts w:ascii="Arial" w:hAnsi="Arial" w:cs="Arial"/>
                <w:color w:val="FFFFFF" w:themeColor="background1"/>
                <w:sz w:val="19"/>
                <w:szCs w:val="19"/>
                <w:lang w:val="en-GB"/>
              </w:rPr>
            </w:pPr>
            <w:r w:rsidRPr="001E5747">
              <w:rPr>
                <w:rFonts w:ascii="Arial" w:hAnsi="Arial" w:cs="Arial"/>
                <w:color w:val="FFFFFF" w:themeColor="background1"/>
                <w:sz w:val="19"/>
                <w:szCs w:val="19"/>
                <w:lang w:val="en-GB"/>
              </w:rPr>
              <w:t>Total</w:t>
            </w:r>
          </w:p>
        </w:tc>
        <w:tc>
          <w:tcPr>
            <w:tcW w:w="1112" w:type="pct"/>
            <w:tcBorders>
              <w:top w:val="single" w:sz="4" w:space="0" w:color="auto"/>
              <w:left w:val="single" w:sz="4" w:space="0" w:color="auto"/>
              <w:bottom w:val="single" w:sz="4" w:space="0" w:color="auto"/>
              <w:right w:val="single" w:sz="4" w:space="0" w:color="auto"/>
            </w:tcBorders>
            <w:shd w:val="clear" w:color="auto" w:fill="666699"/>
            <w:noWrap/>
            <w:vAlign w:val="center"/>
            <w:hideMark/>
          </w:tcPr>
          <w:p w14:paraId="44ED7852" w14:textId="1901037D" w:rsidR="0028141A" w:rsidRPr="001E5747" w:rsidRDefault="0077514F">
            <w:pPr>
              <w:jc w:val="center"/>
              <w:rPr>
                <w:rFonts w:ascii="Arial" w:hAnsi="Arial" w:cs="Arial"/>
                <w:b/>
                <w:color w:val="FFFFFF" w:themeColor="background1"/>
                <w:sz w:val="19"/>
                <w:szCs w:val="19"/>
                <w:lang w:val="en-GB"/>
              </w:rPr>
            </w:pPr>
            <w:r>
              <w:rPr>
                <w:rFonts w:ascii="Calibri" w:hAnsi="Calibri"/>
                <w:b/>
                <w:color w:val="FFFFFF" w:themeColor="background1"/>
                <w:sz w:val="19"/>
                <w:szCs w:val="19"/>
                <w:lang w:val="en-GB"/>
              </w:rPr>
              <w:t>7</w:t>
            </w:r>
            <w:r w:rsidR="0028141A">
              <w:rPr>
                <w:rFonts w:ascii="Calibri" w:hAnsi="Calibri"/>
                <w:b/>
                <w:color w:val="FFFFFF" w:themeColor="background1"/>
                <w:sz w:val="19"/>
                <w:szCs w:val="19"/>
                <w:lang w:val="en-GB"/>
              </w:rPr>
              <w:t>,</w:t>
            </w:r>
            <w:r>
              <w:rPr>
                <w:rFonts w:ascii="Calibri" w:hAnsi="Calibri"/>
                <w:b/>
                <w:color w:val="FFFFFF" w:themeColor="background1"/>
                <w:sz w:val="19"/>
                <w:szCs w:val="19"/>
                <w:lang w:val="en-GB"/>
              </w:rPr>
              <w:t>850</w:t>
            </w:r>
            <w:r w:rsidR="0028141A">
              <w:rPr>
                <w:rFonts w:ascii="Calibri" w:hAnsi="Calibri"/>
                <w:b/>
                <w:color w:val="FFFFFF" w:themeColor="background1"/>
                <w:sz w:val="19"/>
                <w:szCs w:val="19"/>
                <w:lang w:val="en-GB"/>
              </w:rPr>
              <w:t>,000</w:t>
            </w:r>
          </w:p>
        </w:tc>
      </w:tr>
    </w:tbl>
    <w:p w14:paraId="23E05F8E" w14:textId="77777777" w:rsidR="00B739C3" w:rsidRPr="001E5747" w:rsidRDefault="00B739C3" w:rsidP="00B739C3">
      <w:pPr>
        <w:rPr>
          <w:b/>
          <w:lang w:val="en-GB"/>
        </w:rPr>
      </w:pPr>
      <w:bookmarkStart w:id="39" w:name="_Toc170432965"/>
      <w:bookmarkStart w:id="40" w:name="_Toc170004024"/>
      <w:bookmarkStart w:id="41" w:name="_Toc236632746"/>
    </w:p>
    <w:p w14:paraId="71BE86FA" w14:textId="77777777" w:rsidR="00B739C3" w:rsidRPr="001E5747" w:rsidRDefault="00B739C3" w:rsidP="00B739C3">
      <w:pPr>
        <w:pStyle w:val="Heading1"/>
        <w:numPr>
          <w:ilvl w:val="1"/>
          <w:numId w:val="43"/>
        </w:numPr>
        <w:tabs>
          <w:tab w:val="left" w:pos="540"/>
        </w:tabs>
        <w:ind w:hanging="1800"/>
        <w:rPr>
          <w:rFonts w:asciiTheme="majorHAnsi" w:hAnsiTheme="majorHAnsi"/>
          <w:color w:val="C0504D"/>
          <w:szCs w:val="28"/>
          <w:lang w:val="en-GB"/>
        </w:rPr>
      </w:pPr>
      <w:bookmarkStart w:id="42" w:name="_Toc61062524"/>
      <w:bookmarkEnd w:id="39"/>
      <w:bookmarkEnd w:id="40"/>
      <w:bookmarkEnd w:id="41"/>
      <w:r w:rsidRPr="001E5747">
        <w:rPr>
          <w:rFonts w:asciiTheme="majorHAnsi" w:hAnsiTheme="majorHAnsi"/>
          <w:color w:val="C0504D"/>
          <w:szCs w:val="28"/>
          <w:lang w:val="en-GB"/>
        </w:rPr>
        <w:t>Calculation of the amount of the municipal performance grant</w:t>
      </w:r>
      <w:bookmarkEnd w:id="42"/>
    </w:p>
    <w:p w14:paraId="354D0E18" w14:textId="77777777" w:rsidR="00B739C3" w:rsidRPr="001E5747" w:rsidRDefault="00DA4274" w:rsidP="00DA4274">
      <w:pPr>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t>The indicators are defined in such a way that all municipalities, independent of their size, location or economic strength, can be a good performer provided they make an effort to perform as a democratic local government serving its people</w:t>
      </w:r>
      <w:r w:rsidR="00B739C3" w:rsidRPr="001E5747">
        <w:rPr>
          <w:rFonts w:asciiTheme="majorHAnsi" w:hAnsiTheme="majorHAnsi"/>
          <w:sz w:val="21"/>
          <w:szCs w:val="21"/>
          <w:lang w:val="en-GB"/>
        </w:rPr>
        <w:t xml:space="preserve">. </w:t>
      </w:r>
    </w:p>
    <w:p w14:paraId="6822907F" w14:textId="77777777" w:rsidR="00B739C3" w:rsidRPr="001E5747" w:rsidRDefault="00DA4274" w:rsidP="00B739C3">
      <w:pPr>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t>MPG is allocated in that way that 90% of total grant amount is allocated based on formula, while 10% of total grant amount is allocated for additional reward for three (3) municipalities with best performance</w:t>
      </w:r>
      <w:r w:rsidR="00B739C3" w:rsidRPr="001E5747">
        <w:rPr>
          <w:rFonts w:asciiTheme="majorHAnsi" w:hAnsiTheme="majorHAnsi"/>
          <w:sz w:val="21"/>
          <w:szCs w:val="21"/>
          <w:lang w:val="en-GB"/>
        </w:rPr>
        <w:t>.</w:t>
      </w:r>
    </w:p>
    <w:p w14:paraId="110E59EA" w14:textId="77777777" w:rsidR="00B739C3" w:rsidRPr="001E5747" w:rsidRDefault="00B739C3" w:rsidP="00B739C3">
      <w:pPr>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t>The first place receives 5% of the total grant amount; the second place receives 3% of the total grant amount and the third place receives 2% of the total grant amount.</w:t>
      </w:r>
    </w:p>
    <w:p w14:paraId="6E9C308F" w14:textId="77777777" w:rsidR="00B739C3" w:rsidRPr="001E5747" w:rsidRDefault="00DA4274" w:rsidP="00B739C3">
      <w:pPr>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t>If two or more municipalities have the same result of performance, then the reward amount for the relevant place is proportionally allocated</w:t>
      </w:r>
      <w:r w:rsidR="00B739C3" w:rsidRPr="001E5747">
        <w:rPr>
          <w:rFonts w:asciiTheme="majorHAnsi" w:hAnsiTheme="majorHAnsi"/>
          <w:sz w:val="21"/>
          <w:szCs w:val="21"/>
          <w:lang w:val="en-GB"/>
        </w:rPr>
        <w:t>.</w:t>
      </w:r>
    </w:p>
    <w:p w14:paraId="78FFD3E2" w14:textId="77777777" w:rsidR="00B739C3" w:rsidRPr="001E5747" w:rsidRDefault="00DA4274" w:rsidP="00B739C3">
      <w:pPr>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t>The amount of MPG is based on formula (90% of total grant amount of MPG) is determined by</w:t>
      </w:r>
      <w:r w:rsidR="00B739C3" w:rsidRPr="001E5747">
        <w:rPr>
          <w:rFonts w:asciiTheme="majorHAnsi" w:hAnsiTheme="majorHAnsi"/>
          <w:sz w:val="21"/>
          <w:szCs w:val="21"/>
          <w:lang w:val="en-GB"/>
        </w:rPr>
        <w:t xml:space="preserve">: </w:t>
      </w:r>
    </w:p>
    <w:p w14:paraId="097081B6" w14:textId="77777777" w:rsidR="00B739C3" w:rsidRPr="001E5747" w:rsidRDefault="00DA4274" w:rsidP="00B739C3">
      <w:pPr>
        <w:pStyle w:val="ListParagraph"/>
        <w:numPr>
          <w:ilvl w:val="2"/>
          <w:numId w:val="27"/>
        </w:numPr>
        <w:spacing w:after="0" w:line="264" w:lineRule="auto"/>
        <w:ind w:left="907"/>
        <w:jc w:val="both"/>
        <w:rPr>
          <w:rFonts w:asciiTheme="majorHAnsi" w:hAnsiTheme="majorHAnsi"/>
          <w:sz w:val="21"/>
          <w:szCs w:val="21"/>
          <w:lang w:val="en-GB"/>
        </w:rPr>
      </w:pPr>
      <w:r w:rsidRPr="001E5747">
        <w:rPr>
          <w:rFonts w:asciiTheme="majorHAnsi" w:hAnsiTheme="majorHAnsi"/>
          <w:sz w:val="21"/>
          <w:szCs w:val="21"/>
          <w:lang w:val="en-GB"/>
        </w:rPr>
        <w:t>The relative performance of each municipality as measured against the defined performance indicators</w:t>
      </w:r>
      <w:r w:rsidR="00B739C3" w:rsidRPr="001E5747">
        <w:rPr>
          <w:rFonts w:asciiTheme="majorHAnsi" w:hAnsiTheme="majorHAnsi"/>
          <w:sz w:val="21"/>
          <w:szCs w:val="21"/>
          <w:lang w:val="en-GB"/>
        </w:rPr>
        <w:t>; and</w:t>
      </w:r>
    </w:p>
    <w:p w14:paraId="3C2CD94A" w14:textId="77777777" w:rsidR="00B739C3" w:rsidRPr="001E5747" w:rsidRDefault="00B739C3" w:rsidP="00B739C3">
      <w:pPr>
        <w:pStyle w:val="ListParagraph"/>
        <w:numPr>
          <w:ilvl w:val="2"/>
          <w:numId w:val="27"/>
        </w:numPr>
        <w:spacing w:after="0" w:line="264" w:lineRule="auto"/>
        <w:ind w:left="907"/>
        <w:jc w:val="both"/>
        <w:rPr>
          <w:rFonts w:asciiTheme="majorHAnsi" w:hAnsiTheme="majorHAnsi"/>
          <w:sz w:val="21"/>
          <w:szCs w:val="21"/>
          <w:lang w:val="en-GB"/>
        </w:rPr>
      </w:pPr>
      <w:r w:rsidRPr="001E5747">
        <w:rPr>
          <w:rFonts w:asciiTheme="majorHAnsi" w:hAnsiTheme="majorHAnsi"/>
          <w:sz w:val="21"/>
          <w:szCs w:val="21"/>
          <w:lang w:val="en-GB"/>
        </w:rPr>
        <w:t>The amount of the municipal performance grant in the total grant allocated.</w:t>
      </w:r>
    </w:p>
    <w:p w14:paraId="1F98D23D" w14:textId="77777777" w:rsidR="00B739C3" w:rsidRPr="001E5747" w:rsidRDefault="00DA4274" w:rsidP="00B739C3">
      <w:pPr>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t>In fact, the municipal performance grant will be allocated on the basis of relative scores, in such a way that two municipalities that have the same score will</w:t>
      </w:r>
      <w:r w:rsidR="00B739C3" w:rsidRPr="001E5747">
        <w:rPr>
          <w:rFonts w:asciiTheme="majorHAnsi" w:hAnsiTheme="majorHAnsi"/>
          <w:sz w:val="21"/>
          <w:szCs w:val="21"/>
          <w:lang w:val="en-GB"/>
        </w:rPr>
        <w:t xml:space="preserve"> receive an equal relative </w:t>
      </w:r>
      <w:r w:rsidRPr="001E5747">
        <w:rPr>
          <w:rFonts w:asciiTheme="majorHAnsi" w:hAnsiTheme="majorHAnsi"/>
          <w:sz w:val="21"/>
          <w:szCs w:val="21"/>
          <w:lang w:val="en-GB"/>
        </w:rPr>
        <w:t>addition to</w:t>
      </w:r>
      <w:r w:rsidR="00B739C3" w:rsidRPr="001E5747">
        <w:rPr>
          <w:rFonts w:asciiTheme="majorHAnsi" w:hAnsiTheme="majorHAnsi"/>
          <w:sz w:val="21"/>
          <w:szCs w:val="21"/>
          <w:lang w:val="en-GB"/>
        </w:rPr>
        <w:t xml:space="preserve"> </w:t>
      </w:r>
      <w:r w:rsidRPr="001E5747">
        <w:rPr>
          <w:rFonts w:asciiTheme="majorHAnsi" w:hAnsiTheme="majorHAnsi"/>
          <w:sz w:val="21"/>
          <w:szCs w:val="21"/>
          <w:lang w:val="en-GB"/>
        </w:rPr>
        <w:t xml:space="preserve">the </w:t>
      </w:r>
      <w:r w:rsidR="00B739C3" w:rsidRPr="001E5747">
        <w:rPr>
          <w:rFonts w:asciiTheme="majorHAnsi" w:hAnsiTheme="majorHAnsi"/>
          <w:sz w:val="21"/>
          <w:szCs w:val="21"/>
          <w:lang w:val="en-GB"/>
        </w:rPr>
        <w:t xml:space="preserve">share of </w:t>
      </w:r>
      <w:r w:rsidR="00B739C3" w:rsidRPr="001E5747">
        <w:rPr>
          <w:rFonts w:asciiTheme="majorHAnsi" w:hAnsiTheme="majorHAnsi"/>
          <w:sz w:val="21"/>
          <w:szCs w:val="21"/>
          <w:lang w:val="en-GB"/>
        </w:rPr>
        <w:lastRenderedPageBreak/>
        <w:t xml:space="preserve">capital investments of the </w:t>
      </w:r>
      <w:r w:rsidRPr="001E5747">
        <w:rPr>
          <w:rFonts w:asciiTheme="majorHAnsi" w:hAnsiTheme="majorHAnsi"/>
          <w:sz w:val="21"/>
          <w:szCs w:val="21"/>
          <w:lang w:val="en-GB"/>
        </w:rPr>
        <w:t>general</w:t>
      </w:r>
      <w:r w:rsidR="00B739C3" w:rsidRPr="001E5747">
        <w:rPr>
          <w:rFonts w:asciiTheme="majorHAnsi" w:hAnsiTheme="majorHAnsi"/>
          <w:sz w:val="21"/>
          <w:szCs w:val="21"/>
          <w:lang w:val="en-GB"/>
        </w:rPr>
        <w:t xml:space="preserve"> grant. This means that both municipalities will be awarded a grant that is the same percentage of their total grant (while the absolute amounts of the municipal performance grant will vary). The size of the absolute amount is proportional to the total grant. The rationale for this is clear: a municipality that has a larger overall grant needs a larger amount to have the same incentive in terms of improving its performance. Annex 4 shows how the MPG </w:t>
      </w:r>
      <w:r w:rsidR="00A5672F">
        <w:rPr>
          <w:rFonts w:asciiTheme="majorHAnsi" w:hAnsiTheme="majorHAnsi"/>
          <w:sz w:val="21"/>
          <w:szCs w:val="21"/>
          <w:lang w:val="en-GB"/>
        </w:rPr>
        <w:t>allocation</w:t>
      </w:r>
      <w:r w:rsidR="00B739C3" w:rsidRPr="001E5747">
        <w:rPr>
          <w:rFonts w:asciiTheme="majorHAnsi" w:hAnsiTheme="majorHAnsi"/>
          <w:sz w:val="21"/>
          <w:szCs w:val="21"/>
          <w:lang w:val="en-GB"/>
        </w:rPr>
        <w:t xml:space="preserve"> is calculated.</w:t>
      </w:r>
    </w:p>
    <w:p w14:paraId="44C62648" w14:textId="77777777" w:rsidR="00B739C3" w:rsidRPr="001E5747" w:rsidRDefault="00B739C3" w:rsidP="00B739C3">
      <w:pPr>
        <w:spacing w:before="60" w:line="264" w:lineRule="auto"/>
        <w:ind w:left="567"/>
        <w:jc w:val="both"/>
        <w:rPr>
          <w:rFonts w:asciiTheme="majorHAnsi" w:hAnsiTheme="majorHAnsi"/>
          <w:sz w:val="16"/>
          <w:szCs w:val="16"/>
          <w:lang w:val="en-GB"/>
        </w:rPr>
      </w:pPr>
    </w:p>
    <w:p w14:paraId="00B773DF" w14:textId="77777777" w:rsidR="00B739C3" w:rsidRPr="001E5747" w:rsidRDefault="00B739C3" w:rsidP="00B739C3">
      <w:pPr>
        <w:pStyle w:val="Heading1"/>
        <w:numPr>
          <w:ilvl w:val="1"/>
          <w:numId w:val="43"/>
        </w:numPr>
        <w:tabs>
          <w:tab w:val="left" w:pos="540"/>
        </w:tabs>
        <w:ind w:hanging="1800"/>
        <w:rPr>
          <w:rFonts w:asciiTheme="majorHAnsi" w:hAnsiTheme="majorHAnsi"/>
          <w:color w:val="C0504D"/>
          <w:szCs w:val="28"/>
          <w:lang w:val="en-GB"/>
        </w:rPr>
      </w:pPr>
      <w:bookmarkStart w:id="43" w:name="_Toc61062525"/>
      <w:r w:rsidRPr="001E5747">
        <w:rPr>
          <w:rFonts w:asciiTheme="majorHAnsi" w:hAnsiTheme="majorHAnsi"/>
          <w:color w:val="C0504D"/>
          <w:szCs w:val="28"/>
          <w:lang w:val="en-GB"/>
        </w:rPr>
        <w:t>Criteria for using the municipal performance grant</w:t>
      </w:r>
      <w:bookmarkEnd w:id="43"/>
    </w:p>
    <w:p w14:paraId="18E4F214" w14:textId="77777777" w:rsidR="00B739C3" w:rsidRPr="001E5747" w:rsidRDefault="00B739C3" w:rsidP="00B739C3">
      <w:pPr>
        <w:bidi/>
        <w:rPr>
          <w:lang w:val="en-GB"/>
        </w:rPr>
      </w:pPr>
    </w:p>
    <w:p w14:paraId="2227A85C" w14:textId="77777777" w:rsidR="00B739C3" w:rsidRPr="001E5747" w:rsidRDefault="00B739C3" w:rsidP="00B739C3">
      <w:pPr>
        <w:rPr>
          <w:rFonts w:asciiTheme="majorHAnsi" w:hAnsiTheme="majorHAnsi"/>
          <w:sz w:val="21"/>
          <w:szCs w:val="21"/>
          <w:lang w:val="en-GB"/>
        </w:rPr>
      </w:pPr>
      <w:r w:rsidRPr="001E5747">
        <w:rPr>
          <w:rFonts w:asciiTheme="majorHAnsi" w:hAnsiTheme="majorHAnsi"/>
          <w:sz w:val="21"/>
          <w:szCs w:val="21"/>
          <w:lang w:val="en-GB"/>
        </w:rPr>
        <w:t>The grant is used to finance municipal projects for the benefit of citizens, in accordance with the following rules and principles:</w:t>
      </w:r>
    </w:p>
    <w:p w14:paraId="66728E26" w14:textId="77777777" w:rsidR="00B739C3" w:rsidRPr="001E5747" w:rsidRDefault="00B739C3" w:rsidP="00B739C3">
      <w:pPr>
        <w:pStyle w:val="ListParagraph"/>
        <w:numPr>
          <w:ilvl w:val="0"/>
          <w:numId w:val="23"/>
        </w:numPr>
        <w:spacing w:after="0" w:line="264" w:lineRule="auto"/>
        <w:jc w:val="both"/>
        <w:rPr>
          <w:lang w:val="en-GB"/>
        </w:rPr>
      </w:pPr>
      <w:r w:rsidRPr="001E5747">
        <w:rPr>
          <w:rFonts w:asciiTheme="majorHAnsi" w:hAnsiTheme="majorHAnsi"/>
          <w:sz w:val="21"/>
          <w:szCs w:val="21"/>
          <w:lang w:val="en-GB"/>
        </w:rPr>
        <w:t>MPG is used only for capital investments and cannot be used for salaries, goods, services or subsidies.</w:t>
      </w:r>
    </w:p>
    <w:p w14:paraId="53C43D41" w14:textId="77777777" w:rsidR="00B739C3" w:rsidRPr="001E5747" w:rsidRDefault="00B739C3" w:rsidP="00B739C3">
      <w:pPr>
        <w:pStyle w:val="ListParagraph"/>
        <w:numPr>
          <w:ilvl w:val="0"/>
          <w:numId w:val="23"/>
        </w:numPr>
        <w:spacing w:after="0" w:line="264" w:lineRule="auto"/>
        <w:jc w:val="both"/>
        <w:rPr>
          <w:rFonts w:asciiTheme="majorHAnsi" w:hAnsiTheme="majorHAnsi"/>
          <w:sz w:val="21"/>
          <w:szCs w:val="21"/>
          <w:lang w:val="en-GB"/>
        </w:rPr>
      </w:pPr>
      <w:r w:rsidRPr="001E5747">
        <w:rPr>
          <w:rFonts w:asciiTheme="majorHAnsi" w:hAnsiTheme="majorHAnsi"/>
          <w:sz w:val="21"/>
          <w:szCs w:val="21"/>
          <w:lang w:val="en-GB"/>
        </w:rPr>
        <w:t>The municipality is free to decide for which investments the municipal performance grant will be used. It is recommended that municipalities focus on concrete projects, limited in number, to avoid lengthy administrative procedures and to use the funds within the fiscal year.</w:t>
      </w:r>
    </w:p>
    <w:p w14:paraId="2A6EC8EC" w14:textId="0560B720" w:rsidR="00B739C3" w:rsidRPr="001E5747" w:rsidRDefault="00B739C3" w:rsidP="00B739C3">
      <w:pPr>
        <w:pStyle w:val="ListParagraph"/>
        <w:numPr>
          <w:ilvl w:val="0"/>
          <w:numId w:val="23"/>
        </w:numPr>
        <w:spacing w:after="0" w:line="264" w:lineRule="auto"/>
        <w:jc w:val="both"/>
        <w:rPr>
          <w:rFonts w:asciiTheme="majorHAnsi" w:hAnsiTheme="majorHAnsi"/>
          <w:sz w:val="21"/>
          <w:szCs w:val="21"/>
          <w:lang w:val="en-GB"/>
        </w:rPr>
      </w:pPr>
      <w:r w:rsidRPr="001E5747">
        <w:rPr>
          <w:rFonts w:asciiTheme="majorHAnsi" w:hAnsiTheme="majorHAnsi"/>
          <w:sz w:val="21"/>
          <w:szCs w:val="21"/>
          <w:lang w:val="en-GB"/>
        </w:rPr>
        <w:t xml:space="preserve">The grant must be used by the municipality in accordance with applicable law. In case the municipality does not spend the grant in accordance with these rules and legislation in force, the contractual obligations to economic operators are transferred </w:t>
      </w:r>
      <w:r w:rsidR="00B808D2">
        <w:rPr>
          <w:rFonts w:asciiTheme="majorHAnsi" w:hAnsiTheme="majorHAnsi"/>
          <w:sz w:val="21"/>
          <w:szCs w:val="21"/>
          <w:lang w:val="en-GB"/>
        </w:rPr>
        <w:t>to</w:t>
      </w:r>
      <w:r w:rsidR="00B808D2" w:rsidRPr="001E5747">
        <w:rPr>
          <w:rFonts w:asciiTheme="majorHAnsi" w:hAnsiTheme="majorHAnsi"/>
          <w:sz w:val="21"/>
          <w:szCs w:val="21"/>
          <w:lang w:val="en-GB"/>
        </w:rPr>
        <w:t xml:space="preserve"> </w:t>
      </w:r>
      <w:r w:rsidRPr="001E5747">
        <w:rPr>
          <w:rFonts w:asciiTheme="majorHAnsi" w:hAnsiTheme="majorHAnsi"/>
          <w:sz w:val="21"/>
          <w:szCs w:val="21"/>
          <w:lang w:val="en-GB"/>
        </w:rPr>
        <w:t>the municipality itself.</w:t>
      </w:r>
    </w:p>
    <w:p w14:paraId="771EC532" w14:textId="77777777" w:rsidR="00B739C3" w:rsidRPr="001E5747" w:rsidRDefault="00B739C3" w:rsidP="00B739C3">
      <w:pPr>
        <w:pStyle w:val="ListParagraph"/>
        <w:numPr>
          <w:ilvl w:val="0"/>
          <w:numId w:val="23"/>
        </w:numPr>
        <w:spacing w:after="0" w:line="264" w:lineRule="auto"/>
        <w:jc w:val="both"/>
        <w:rPr>
          <w:rFonts w:asciiTheme="majorHAnsi" w:hAnsiTheme="majorHAnsi"/>
          <w:sz w:val="21"/>
          <w:szCs w:val="21"/>
          <w:lang w:val="en-GB"/>
        </w:rPr>
      </w:pPr>
      <w:r w:rsidRPr="001E5747">
        <w:rPr>
          <w:rFonts w:asciiTheme="majorHAnsi" w:hAnsiTheme="majorHAnsi"/>
          <w:sz w:val="21"/>
          <w:szCs w:val="21"/>
          <w:lang w:val="en-GB"/>
        </w:rPr>
        <w:t xml:space="preserve">The use of the grant is subject to the rules of supervision and control in accordance with the legislation in force for the management of public finances and the rules of the </w:t>
      </w:r>
      <w:r w:rsidR="006165E8">
        <w:rPr>
          <w:rFonts w:asciiTheme="majorHAnsi" w:hAnsiTheme="majorHAnsi"/>
          <w:sz w:val="21"/>
          <w:szCs w:val="21"/>
          <w:lang w:val="en-GB"/>
        </w:rPr>
        <w:t xml:space="preserve">performance </w:t>
      </w:r>
      <w:r w:rsidRPr="001E5747">
        <w:rPr>
          <w:rFonts w:asciiTheme="majorHAnsi" w:hAnsiTheme="majorHAnsi"/>
          <w:sz w:val="21"/>
          <w:szCs w:val="21"/>
          <w:lang w:val="en-GB"/>
        </w:rPr>
        <w:t>grant.</w:t>
      </w:r>
    </w:p>
    <w:p w14:paraId="72800998" w14:textId="77777777" w:rsidR="00B739C3" w:rsidRPr="001E5747" w:rsidRDefault="00B739C3" w:rsidP="00B739C3">
      <w:pPr>
        <w:rPr>
          <w:rFonts w:asciiTheme="majorHAnsi" w:hAnsiTheme="majorHAnsi"/>
          <w:b/>
          <w:color w:val="C0504D"/>
          <w:sz w:val="28"/>
          <w:szCs w:val="28"/>
          <w:lang w:val="en-GB"/>
        </w:rPr>
      </w:pPr>
    </w:p>
    <w:p w14:paraId="34FD04EE" w14:textId="77777777" w:rsidR="00B739C3" w:rsidRPr="001E5747" w:rsidRDefault="00B739C3" w:rsidP="00B739C3">
      <w:pPr>
        <w:pStyle w:val="Heading1"/>
        <w:numPr>
          <w:ilvl w:val="1"/>
          <w:numId w:val="43"/>
        </w:numPr>
        <w:tabs>
          <w:tab w:val="left" w:pos="540"/>
        </w:tabs>
        <w:ind w:hanging="1800"/>
        <w:rPr>
          <w:rFonts w:asciiTheme="majorHAnsi" w:hAnsiTheme="majorHAnsi"/>
          <w:color w:val="C0504D"/>
          <w:szCs w:val="28"/>
          <w:lang w:val="en-GB"/>
        </w:rPr>
      </w:pPr>
      <w:bookmarkStart w:id="44" w:name="_Toc61062526"/>
      <w:r w:rsidRPr="001E5747">
        <w:rPr>
          <w:rFonts w:asciiTheme="majorHAnsi" w:hAnsiTheme="majorHAnsi"/>
          <w:color w:val="C0504D"/>
          <w:szCs w:val="28"/>
          <w:lang w:val="en-GB"/>
        </w:rPr>
        <w:t>Municipal performance grant audit</w:t>
      </w:r>
      <w:bookmarkEnd w:id="44"/>
    </w:p>
    <w:p w14:paraId="69B2E9E9" w14:textId="77777777" w:rsidR="00B739C3" w:rsidRPr="001E5747" w:rsidRDefault="00B739C3" w:rsidP="00B739C3">
      <w:pPr>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t xml:space="preserve">MPG expenditures may be audited as part of a regular audit by the National Audit Office. </w:t>
      </w:r>
    </w:p>
    <w:p w14:paraId="0FC48C7A" w14:textId="059D430E" w:rsidR="00B739C3" w:rsidRPr="001E5747" w:rsidRDefault="00B739C3" w:rsidP="00B739C3">
      <w:pPr>
        <w:pStyle w:val="ListParagraph"/>
        <w:numPr>
          <w:ilvl w:val="0"/>
          <w:numId w:val="25"/>
        </w:numPr>
        <w:spacing w:after="0" w:line="264" w:lineRule="auto"/>
        <w:jc w:val="both"/>
        <w:rPr>
          <w:rFonts w:asciiTheme="majorHAnsi" w:hAnsiTheme="majorHAnsi"/>
          <w:sz w:val="21"/>
          <w:szCs w:val="21"/>
          <w:lang w:val="en-GB"/>
        </w:rPr>
      </w:pPr>
      <w:r w:rsidRPr="001E5747">
        <w:rPr>
          <w:rFonts w:asciiTheme="majorHAnsi" w:hAnsiTheme="majorHAnsi"/>
          <w:sz w:val="21"/>
          <w:szCs w:val="21"/>
          <w:lang w:val="en-GB"/>
        </w:rPr>
        <w:t>MLG</w:t>
      </w:r>
      <w:r w:rsidR="00C06C3E">
        <w:rPr>
          <w:rFonts w:asciiTheme="majorHAnsi" w:hAnsiTheme="majorHAnsi"/>
          <w:sz w:val="21"/>
          <w:szCs w:val="21"/>
          <w:lang w:val="en-GB"/>
        </w:rPr>
        <w:t>A</w:t>
      </w:r>
      <w:r w:rsidRPr="001E5747">
        <w:rPr>
          <w:rFonts w:asciiTheme="majorHAnsi" w:hAnsiTheme="majorHAnsi"/>
          <w:sz w:val="21"/>
          <w:szCs w:val="21"/>
          <w:lang w:val="en-GB"/>
        </w:rPr>
        <w:t xml:space="preserve"> and donors may agree to </w:t>
      </w:r>
      <w:r w:rsidR="00296FE0" w:rsidRPr="001E5747">
        <w:rPr>
          <w:rFonts w:asciiTheme="majorHAnsi" w:hAnsiTheme="majorHAnsi"/>
          <w:sz w:val="21"/>
          <w:szCs w:val="21"/>
          <w:lang w:val="en-GB"/>
        </w:rPr>
        <w:t>carry out</w:t>
      </w:r>
      <w:r w:rsidRPr="001E5747">
        <w:rPr>
          <w:rFonts w:asciiTheme="majorHAnsi" w:hAnsiTheme="majorHAnsi"/>
          <w:sz w:val="21"/>
          <w:szCs w:val="21"/>
          <w:lang w:val="en-GB"/>
        </w:rPr>
        <w:t xml:space="preserve"> a </w:t>
      </w:r>
      <w:r w:rsidRPr="001E5747">
        <w:rPr>
          <w:rFonts w:asciiTheme="majorHAnsi" w:hAnsiTheme="majorHAnsi"/>
          <w:i/>
          <w:iCs/>
          <w:sz w:val="21"/>
          <w:szCs w:val="21"/>
          <w:lang w:val="en-GB"/>
        </w:rPr>
        <w:t>special annual audit</w:t>
      </w:r>
      <w:r w:rsidRPr="001E5747">
        <w:rPr>
          <w:rFonts w:asciiTheme="majorHAnsi" w:hAnsiTheme="majorHAnsi"/>
          <w:sz w:val="21"/>
          <w:szCs w:val="21"/>
          <w:lang w:val="en-GB"/>
        </w:rPr>
        <w:t xml:space="preserve"> to </w:t>
      </w:r>
      <w:r w:rsidR="00296FE0" w:rsidRPr="001E5747">
        <w:rPr>
          <w:rFonts w:asciiTheme="majorHAnsi" w:hAnsiTheme="majorHAnsi"/>
          <w:sz w:val="21"/>
          <w:szCs w:val="21"/>
          <w:lang w:val="en-GB"/>
        </w:rPr>
        <w:t>review</w:t>
      </w:r>
      <w:r w:rsidRPr="001E5747">
        <w:rPr>
          <w:rFonts w:asciiTheme="majorHAnsi" w:hAnsiTheme="majorHAnsi"/>
          <w:sz w:val="21"/>
          <w:szCs w:val="21"/>
          <w:lang w:val="en-GB"/>
        </w:rPr>
        <w:t xml:space="preserve"> certain aspects related to MPG). Audit may include </w:t>
      </w:r>
      <w:r w:rsidR="00BF2EB2">
        <w:rPr>
          <w:rFonts w:asciiTheme="majorHAnsi" w:hAnsiTheme="majorHAnsi"/>
          <w:sz w:val="21"/>
          <w:szCs w:val="21"/>
          <w:lang w:val="en-GB"/>
        </w:rPr>
        <w:t xml:space="preserve">functioning of MPG, </w:t>
      </w:r>
      <w:r w:rsidRPr="001E5747">
        <w:rPr>
          <w:rFonts w:asciiTheme="majorHAnsi" w:hAnsiTheme="majorHAnsi"/>
          <w:sz w:val="21"/>
          <w:szCs w:val="21"/>
          <w:lang w:val="en-GB"/>
        </w:rPr>
        <w:t xml:space="preserve">procurement processes, technical acceptance procedures of services, payments, etc. Details for this audit are specified in cooperation with the </w:t>
      </w:r>
      <w:r w:rsidR="006165E8">
        <w:rPr>
          <w:rFonts w:asciiTheme="majorHAnsi" w:hAnsiTheme="majorHAnsi"/>
          <w:sz w:val="21"/>
          <w:szCs w:val="21"/>
          <w:lang w:val="en-GB"/>
        </w:rPr>
        <w:t>donors</w:t>
      </w:r>
      <w:r w:rsidRPr="001E5747">
        <w:rPr>
          <w:rFonts w:asciiTheme="majorHAnsi" w:hAnsiTheme="majorHAnsi"/>
          <w:sz w:val="21"/>
          <w:szCs w:val="21"/>
          <w:lang w:val="en-GB"/>
        </w:rPr>
        <w:t>.</w:t>
      </w:r>
    </w:p>
    <w:p w14:paraId="024DEF54" w14:textId="77777777" w:rsidR="00F63783" w:rsidRDefault="00296FE0" w:rsidP="00F63783">
      <w:pPr>
        <w:pStyle w:val="ListParagraph"/>
        <w:numPr>
          <w:ilvl w:val="0"/>
          <w:numId w:val="24"/>
        </w:numPr>
        <w:spacing w:after="0" w:line="264" w:lineRule="auto"/>
        <w:jc w:val="both"/>
        <w:rPr>
          <w:rFonts w:asciiTheme="majorHAnsi" w:hAnsiTheme="majorHAnsi"/>
          <w:sz w:val="21"/>
          <w:szCs w:val="21"/>
          <w:lang w:val="en-GB"/>
        </w:rPr>
      </w:pPr>
      <w:r w:rsidRPr="001E5747">
        <w:rPr>
          <w:rFonts w:asciiTheme="majorHAnsi" w:hAnsiTheme="majorHAnsi"/>
          <w:sz w:val="21"/>
          <w:szCs w:val="21"/>
          <w:lang w:val="en-GB"/>
        </w:rPr>
        <w:t xml:space="preserve">If the violations and irregularities identified by the </w:t>
      </w:r>
      <w:r w:rsidR="006165E8">
        <w:rPr>
          <w:rFonts w:asciiTheme="majorHAnsi" w:hAnsiTheme="majorHAnsi"/>
          <w:sz w:val="21"/>
          <w:szCs w:val="21"/>
          <w:lang w:val="en-GB"/>
        </w:rPr>
        <w:t>audit</w:t>
      </w:r>
      <w:r w:rsidR="006165E8" w:rsidRPr="001E5747">
        <w:rPr>
          <w:rFonts w:asciiTheme="majorHAnsi" w:hAnsiTheme="majorHAnsi"/>
          <w:sz w:val="21"/>
          <w:szCs w:val="21"/>
          <w:lang w:val="en-GB"/>
        </w:rPr>
        <w:t xml:space="preserve"> </w:t>
      </w:r>
      <w:r w:rsidRPr="001E5747">
        <w:rPr>
          <w:rFonts w:asciiTheme="majorHAnsi" w:hAnsiTheme="majorHAnsi"/>
          <w:sz w:val="21"/>
          <w:szCs w:val="21"/>
          <w:lang w:val="en-GB"/>
        </w:rPr>
        <w:t xml:space="preserve">are ascertained, the MLGA and donors may decide to exclude the municipality from the right to benefit from the grant for a certain period, </w:t>
      </w:r>
      <w:r w:rsidR="00B739C3" w:rsidRPr="001E5747">
        <w:rPr>
          <w:rFonts w:asciiTheme="majorHAnsi" w:hAnsiTheme="majorHAnsi"/>
          <w:sz w:val="21"/>
          <w:szCs w:val="21"/>
          <w:lang w:val="en-GB"/>
        </w:rPr>
        <w:t>in accordance with Article 42.2 of Regulation 01/2020 for the Municipal Performance Management System and the Municipal Performance Grants Scheme.</w:t>
      </w:r>
    </w:p>
    <w:p w14:paraId="02E3162D" w14:textId="7D221DA4" w:rsidR="003061DA" w:rsidRPr="00F63783" w:rsidRDefault="00795CAC" w:rsidP="00F63783">
      <w:pPr>
        <w:pStyle w:val="ListParagraph"/>
        <w:numPr>
          <w:ilvl w:val="0"/>
          <w:numId w:val="24"/>
        </w:numPr>
        <w:spacing w:after="0" w:line="264" w:lineRule="auto"/>
        <w:jc w:val="both"/>
        <w:rPr>
          <w:rFonts w:asciiTheme="majorHAnsi" w:hAnsiTheme="majorHAnsi"/>
          <w:sz w:val="21"/>
          <w:szCs w:val="21"/>
          <w:lang w:val="en-GB"/>
        </w:rPr>
      </w:pPr>
      <w:r w:rsidRPr="00F63783">
        <w:rPr>
          <w:rFonts w:asciiTheme="majorHAnsi" w:hAnsiTheme="majorHAnsi"/>
          <w:sz w:val="21"/>
          <w:szCs w:val="21"/>
          <w:lang w:val="en-GB"/>
        </w:rPr>
        <w:t xml:space="preserve">To monitor the impact of projects on citizens, social audit will be </w:t>
      </w:r>
      <w:r w:rsidR="00BF2EB2">
        <w:rPr>
          <w:rFonts w:asciiTheme="majorHAnsi" w:hAnsiTheme="majorHAnsi"/>
          <w:sz w:val="21"/>
          <w:szCs w:val="21"/>
          <w:lang w:val="en-GB"/>
        </w:rPr>
        <w:t>implemented</w:t>
      </w:r>
      <w:r w:rsidR="00BF2EB2" w:rsidRPr="00F63783">
        <w:rPr>
          <w:rFonts w:asciiTheme="majorHAnsi" w:hAnsiTheme="majorHAnsi"/>
          <w:sz w:val="21"/>
          <w:szCs w:val="21"/>
          <w:lang w:val="en-GB"/>
        </w:rPr>
        <w:t xml:space="preserve"> </w:t>
      </w:r>
      <w:r w:rsidRPr="00F63783">
        <w:rPr>
          <w:rFonts w:asciiTheme="majorHAnsi" w:hAnsiTheme="majorHAnsi"/>
          <w:sz w:val="21"/>
          <w:szCs w:val="21"/>
          <w:lang w:val="en-GB"/>
        </w:rPr>
        <w:t xml:space="preserve">within the MPG. Social audit </w:t>
      </w:r>
      <w:r w:rsidR="003B726A">
        <w:rPr>
          <w:rFonts w:asciiTheme="majorHAnsi" w:hAnsiTheme="majorHAnsi"/>
          <w:sz w:val="21"/>
          <w:szCs w:val="21"/>
          <w:lang w:val="en-GB"/>
        </w:rPr>
        <w:t xml:space="preserve">may </w:t>
      </w:r>
      <w:r w:rsidRPr="00F63783">
        <w:rPr>
          <w:rFonts w:asciiTheme="majorHAnsi" w:hAnsiTheme="majorHAnsi"/>
          <w:sz w:val="21"/>
          <w:szCs w:val="21"/>
          <w:lang w:val="en-GB"/>
        </w:rPr>
        <w:t xml:space="preserve">include monitoring of performance and project planning processes at the municipal level. Social audit will be paid from a share of the MPG </w:t>
      </w:r>
      <w:r w:rsidRPr="00EF13F3">
        <w:rPr>
          <w:rFonts w:asciiTheme="majorHAnsi" w:hAnsiTheme="majorHAnsi"/>
          <w:sz w:val="21"/>
          <w:szCs w:val="21"/>
          <w:lang w:val="en-GB"/>
        </w:rPr>
        <w:t xml:space="preserve">funds </w:t>
      </w:r>
      <w:r w:rsidR="0077514F" w:rsidRPr="00EF13F3">
        <w:rPr>
          <w:rFonts w:asciiTheme="majorHAnsi" w:hAnsiTheme="majorHAnsi"/>
          <w:sz w:val="21"/>
          <w:szCs w:val="21"/>
          <w:lang w:val="en-GB"/>
        </w:rPr>
        <w:t xml:space="preserve">(from donors) </w:t>
      </w:r>
      <w:r w:rsidRPr="00EF13F3">
        <w:rPr>
          <w:rFonts w:asciiTheme="majorHAnsi" w:hAnsiTheme="majorHAnsi"/>
          <w:sz w:val="21"/>
          <w:szCs w:val="21"/>
          <w:lang w:val="en-GB"/>
        </w:rPr>
        <w:t>and be</w:t>
      </w:r>
      <w:r w:rsidRPr="00F63783">
        <w:rPr>
          <w:rFonts w:asciiTheme="majorHAnsi" w:hAnsiTheme="majorHAnsi"/>
          <w:sz w:val="21"/>
          <w:szCs w:val="21"/>
          <w:lang w:val="en-GB"/>
        </w:rPr>
        <w:t xml:space="preserve"> conducted by civil society organisations. The results of the social audit shall be reported to the MPG Commission.</w:t>
      </w:r>
    </w:p>
    <w:p w14:paraId="5CD679B7" w14:textId="65C3B292" w:rsidR="00B739C3" w:rsidRDefault="00B739C3" w:rsidP="00B739C3">
      <w:pPr>
        <w:spacing w:line="264" w:lineRule="auto"/>
        <w:jc w:val="both"/>
        <w:rPr>
          <w:rFonts w:asciiTheme="majorHAnsi" w:hAnsiTheme="majorHAnsi"/>
          <w:sz w:val="21"/>
          <w:szCs w:val="21"/>
          <w:lang w:val="en-GB"/>
        </w:rPr>
      </w:pPr>
    </w:p>
    <w:p w14:paraId="1FA689AC" w14:textId="77777777" w:rsidR="00A25A8C" w:rsidRPr="001E5747" w:rsidRDefault="00A25A8C" w:rsidP="00B739C3">
      <w:pPr>
        <w:spacing w:line="264" w:lineRule="auto"/>
        <w:jc w:val="both"/>
        <w:rPr>
          <w:rFonts w:asciiTheme="majorHAnsi" w:hAnsiTheme="majorHAnsi"/>
          <w:sz w:val="21"/>
          <w:szCs w:val="21"/>
          <w:lang w:val="en-GB"/>
        </w:rPr>
      </w:pPr>
    </w:p>
    <w:p w14:paraId="2B084941" w14:textId="77777777" w:rsidR="00B739C3" w:rsidRPr="001E5747" w:rsidRDefault="00B739C3" w:rsidP="00B739C3">
      <w:pPr>
        <w:pStyle w:val="Heading1"/>
        <w:numPr>
          <w:ilvl w:val="0"/>
          <w:numId w:val="41"/>
        </w:numPr>
        <w:shd w:val="clear" w:color="auto" w:fill="D55635"/>
        <w:tabs>
          <w:tab w:val="left" w:pos="540"/>
        </w:tabs>
        <w:ind w:left="902" w:hanging="902"/>
        <w:rPr>
          <w:rFonts w:asciiTheme="majorHAnsi" w:hAnsiTheme="majorHAnsi"/>
          <w:color w:val="FFFFFF" w:themeColor="background1"/>
          <w:sz w:val="32"/>
          <w:szCs w:val="32"/>
          <w:lang w:val="en-GB"/>
        </w:rPr>
      </w:pPr>
      <w:bookmarkStart w:id="45" w:name="_Toc61062527"/>
      <w:r w:rsidRPr="001E5747">
        <w:rPr>
          <w:rFonts w:asciiTheme="majorHAnsi" w:hAnsiTheme="majorHAnsi"/>
          <w:color w:val="FFFFFF" w:themeColor="background1"/>
          <w:sz w:val="32"/>
          <w:szCs w:val="32"/>
          <w:lang w:val="en-GB"/>
        </w:rPr>
        <w:t xml:space="preserve">Municipal Performance Grant - </w:t>
      </w:r>
      <w:r w:rsidR="00296FE0" w:rsidRPr="001E5747">
        <w:rPr>
          <w:rFonts w:asciiTheme="majorHAnsi" w:hAnsiTheme="majorHAnsi"/>
          <w:color w:val="FFFFFF" w:themeColor="background1"/>
          <w:sz w:val="32"/>
          <w:szCs w:val="32"/>
          <w:lang w:val="en-GB"/>
        </w:rPr>
        <w:t>Assessment</w:t>
      </w:r>
      <w:r w:rsidRPr="001E5747">
        <w:rPr>
          <w:rFonts w:asciiTheme="majorHAnsi" w:hAnsiTheme="majorHAnsi"/>
          <w:color w:val="FFFFFF" w:themeColor="background1"/>
          <w:sz w:val="32"/>
          <w:szCs w:val="32"/>
          <w:lang w:val="en-GB"/>
        </w:rPr>
        <w:t xml:space="preserve"> process</w:t>
      </w:r>
      <w:bookmarkEnd w:id="45"/>
    </w:p>
    <w:p w14:paraId="77EF0466" w14:textId="77777777" w:rsidR="00B739C3" w:rsidRPr="001E5747" w:rsidRDefault="00B739C3" w:rsidP="00B739C3">
      <w:pPr>
        <w:spacing w:before="60" w:line="264" w:lineRule="auto"/>
        <w:ind w:left="567"/>
        <w:jc w:val="both"/>
        <w:rPr>
          <w:rFonts w:asciiTheme="majorHAnsi" w:hAnsiTheme="majorHAnsi"/>
          <w:sz w:val="21"/>
          <w:szCs w:val="21"/>
          <w:lang w:val="en-GB"/>
        </w:rPr>
      </w:pPr>
    </w:p>
    <w:p w14:paraId="2788A954" w14:textId="77777777" w:rsidR="00B739C3" w:rsidRPr="001E5747" w:rsidRDefault="00B739C3" w:rsidP="00B739C3">
      <w:pPr>
        <w:pStyle w:val="Heading1"/>
        <w:numPr>
          <w:ilvl w:val="1"/>
          <w:numId w:val="7"/>
        </w:numPr>
        <w:tabs>
          <w:tab w:val="left" w:pos="540"/>
        </w:tabs>
        <w:ind w:hanging="1800"/>
        <w:rPr>
          <w:rFonts w:asciiTheme="majorHAnsi" w:hAnsiTheme="majorHAnsi"/>
          <w:color w:val="C0504D"/>
          <w:szCs w:val="28"/>
          <w:lang w:val="en-GB"/>
        </w:rPr>
      </w:pPr>
      <w:bookmarkStart w:id="46" w:name="_Toc61062528"/>
      <w:r w:rsidRPr="001E5747">
        <w:rPr>
          <w:rFonts w:asciiTheme="majorHAnsi" w:hAnsiTheme="majorHAnsi"/>
          <w:color w:val="C0504D"/>
          <w:szCs w:val="28"/>
          <w:lang w:val="en-GB"/>
        </w:rPr>
        <w:t>Institutional arrangements</w:t>
      </w:r>
      <w:bookmarkEnd w:id="46"/>
    </w:p>
    <w:p w14:paraId="40D4C120" w14:textId="77777777" w:rsidR="00B739C3" w:rsidRPr="001E5747" w:rsidRDefault="00B739C3" w:rsidP="00B739C3">
      <w:pPr>
        <w:spacing w:before="60" w:line="264" w:lineRule="auto"/>
        <w:jc w:val="both"/>
        <w:rPr>
          <w:rFonts w:asciiTheme="majorHAnsi" w:hAnsiTheme="majorHAnsi"/>
          <w:sz w:val="8"/>
          <w:szCs w:val="8"/>
          <w:lang w:val="en-GB"/>
        </w:rPr>
      </w:pPr>
    </w:p>
    <w:p w14:paraId="3D01B8A6" w14:textId="77777777" w:rsidR="00B739C3" w:rsidRPr="001E5747" w:rsidRDefault="00B739C3" w:rsidP="00B739C3">
      <w:pPr>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t>The Municipal Performance Grant Commission and the technical group are the bodies responsible for evaluating and allocating the municipal performance grant.</w:t>
      </w:r>
    </w:p>
    <w:p w14:paraId="061591D9" w14:textId="77777777" w:rsidR="00B739C3" w:rsidRPr="001E5747" w:rsidRDefault="00B739C3" w:rsidP="00B739C3">
      <w:pPr>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lastRenderedPageBreak/>
        <w:t xml:space="preserve">The </w:t>
      </w:r>
      <w:r w:rsidR="00091613" w:rsidRPr="001E5747">
        <w:rPr>
          <w:rFonts w:asciiTheme="majorHAnsi" w:hAnsiTheme="majorHAnsi"/>
          <w:sz w:val="21"/>
          <w:szCs w:val="21"/>
          <w:lang w:val="en-GB"/>
        </w:rPr>
        <w:t>Appeals Commission</w:t>
      </w:r>
      <w:r w:rsidRPr="001E5747">
        <w:rPr>
          <w:rFonts w:asciiTheme="majorHAnsi" w:hAnsiTheme="majorHAnsi"/>
          <w:sz w:val="21"/>
          <w:szCs w:val="21"/>
          <w:lang w:val="en-GB"/>
        </w:rPr>
        <w:t xml:space="preserve"> reviews and decides on municipal appeals.</w:t>
      </w:r>
    </w:p>
    <w:p w14:paraId="0488E7A2" w14:textId="77777777" w:rsidR="00B739C3" w:rsidRPr="001E5747" w:rsidRDefault="00B739C3" w:rsidP="00B739C3">
      <w:pPr>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t xml:space="preserve">The preparation of the Performance Grant Rules before each </w:t>
      </w:r>
      <w:r w:rsidR="009767E2">
        <w:rPr>
          <w:rFonts w:asciiTheme="majorHAnsi" w:hAnsiTheme="majorHAnsi"/>
          <w:sz w:val="21"/>
          <w:szCs w:val="21"/>
          <w:lang w:val="en-GB"/>
        </w:rPr>
        <w:t>assessment</w:t>
      </w:r>
      <w:r w:rsidRPr="001E5747">
        <w:rPr>
          <w:rFonts w:asciiTheme="majorHAnsi" w:hAnsiTheme="majorHAnsi"/>
          <w:sz w:val="21"/>
          <w:szCs w:val="21"/>
          <w:lang w:val="en-GB"/>
        </w:rPr>
        <w:t xml:space="preserve"> cycle is done by </w:t>
      </w:r>
      <w:r w:rsidR="00EA7257">
        <w:rPr>
          <w:rFonts w:asciiTheme="majorHAnsi" w:hAnsiTheme="majorHAnsi" w:cstheme="majorHAnsi"/>
          <w:sz w:val="21"/>
          <w:szCs w:val="21"/>
          <w:lang w:val="en-GB"/>
        </w:rPr>
        <w:t xml:space="preserve">the Working </w:t>
      </w:r>
      <w:r w:rsidRPr="001E5747">
        <w:rPr>
          <w:rFonts w:asciiTheme="majorHAnsi" w:hAnsiTheme="majorHAnsi" w:cstheme="majorHAnsi"/>
          <w:sz w:val="21"/>
          <w:szCs w:val="21"/>
          <w:lang w:val="en-GB"/>
        </w:rPr>
        <w:t xml:space="preserve">Group </w:t>
      </w:r>
      <w:r w:rsidR="00EA7257">
        <w:rPr>
          <w:rFonts w:asciiTheme="majorHAnsi" w:hAnsiTheme="majorHAnsi" w:cstheme="majorHAnsi"/>
          <w:sz w:val="21"/>
          <w:szCs w:val="21"/>
          <w:lang w:val="en-GB"/>
        </w:rPr>
        <w:t xml:space="preserve">responsible </w:t>
      </w:r>
      <w:r w:rsidRPr="001E5747">
        <w:rPr>
          <w:rFonts w:asciiTheme="majorHAnsi" w:hAnsiTheme="majorHAnsi" w:cstheme="majorHAnsi"/>
          <w:sz w:val="21"/>
          <w:szCs w:val="21"/>
          <w:lang w:val="en-GB"/>
        </w:rPr>
        <w:t>for drafting MPG Rules established by the Secretary General of MLG</w:t>
      </w:r>
      <w:r w:rsidR="00C06C3E">
        <w:rPr>
          <w:rFonts w:asciiTheme="majorHAnsi" w:hAnsiTheme="majorHAnsi" w:cstheme="majorHAnsi"/>
          <w:sz w:val="21"/>
          <w:szCs w:val="21"/>
          <w:lang w:val="en-GB"/>
        </w:rPr>
        <w:t>A</w:t>
      </w:r>
      <w:r w:rsidRPr="001E5747">
        <w:rPr>
          <w:rFonts w:asciiTheme="majorHAnsi" w:hAnsiTheme="majorHAnsi" w:cstheme="majorHAnsi"/>
          <w:sz w:val="21"/>
          <w:szCs w:val="21"/>
          <w:lang w:val="en-GB"/>
        </w:rPr>
        <w:t>.</w:t>
      </w:r>
    </w:p>
    <w:p w14:paraId="132AF55D" w14:textId="77777777" w:rsidR="00B739C3" w:rsidRPr="001E5747" w:rsidRDefault="00B739C3" w:rsidP="00B739C3">
      <w:pPr>
        <w:spacing w:before="60" w:line="264" w:lineRule="auto"/>
        <w:jc w:val="both"/>
        <w:rPr>
          <w:rFonts w:asciiTheme="majorHAnsi" w:hAnsiTheme="majorHAnsi"/>
          <w:sz w:val="21"/>
          <w:szCs w:val="21"/>
          <w:lang w:val="en-GB"/>
        </w:rPr>
      </w:pPr>
    </w:p>
    <w:p w14:paraId="7213BD82" w14:textId="494A45A6" w:rsidR="00B739C3" w:rsidRPr="001E5747" w:rsidRDefault="00B739C3" w:rsidP="00B739C3">
      <w:pPr>
        <w:pStyle w:val="Heading1"/>
        <w:numPr>
          <w:ilvl w:val="2"/>
          <w:numId w:val="7"/>
        </w:numPr>
        <w:tabs>
          <w:tab w:val="left" w:pos="540"/>
        </w:tabs>
        <w:ind w:hanging="3600"/>
        <w:rPr>
          <w:rFonts w:asciiTheme="majorHAnsi" w:hAnsiTheme="majorHAnsi"/>
          <w:sz w:val="24"/>
          <w:szCs w:val="21"/>
          <w:lang w:val="en-GB"/>
        </w:rPr>
      </w:pPr>
      <w:bookmarkStart w:id="47" w:name="_Toc61062529"/>
      <w:bookmarkStart w:id="48" w:name="_Toc31194801"/>
      <w:bookmarkStart w:id="49" w:name="_Toc31029003"/>
      <w:r w:rsidRPr="001E5747">
        <w:rPr>
          <w:rFonts w:asciiTheme="majorHAnsi" w:hAnsiTheme="majorHAnsi"/>
          <w:sz w:val="24"/>
          <w:szCs w:val="21"/>
          <w:lang w:val="en-GB"/>
        </w:rPr>
        <w:t>Municipal Performance Grant Commission</w:t>
      </w:r>
      <w:bookmarkEnd w:id="47"/>
      <w:bookmarkEnd w:id="48"/>
      <w:bookmarkEnd w:id="49"/>
    </w:p>
    <w:p w14:paraId="7A5A246D" w14:textId="77777777" w:rsidR="00B739C3" w:rsidRPr="001E5747" w:rsidRDefault="00B739C3" w:rsidP="00B739C3">
      <w:pPr>
        <w:tabs>
          <w:tab w:val="left" w:pos="1710"/>
        </w:tabs>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t>The Municipal Performance Grant Commission is the highest decision-making body for the MPG.</w:t>
      </w:r>
    </w:p>
    <w:p w14:paraId="6F3461B5" w14:textId="77777777" w:rsidR="00B739C3" w:rsidRPr="001E5747" w:rsidRDefault="00B739C3" w:rsidP="00B739C3">
      <w:pPr>
        <w:tabs>
          <w:tab w:val="left" w:pos="1710"/>
        </w:tabs>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t>The duties and responsibilities of the Municipal Performance Grant Commission are as follows:</w:t>
      </w:r>
    </w:p>
    <w:p w14:paraId="47953D30" w14:textId="77777777" w:rsidR="00B739C3" w:rsidRPr="001E5747" w:rsidRDefault="0090509E" w:rsidP="00B739C3">
      <w:pPr>
        <w:pStyle w:val="ListParagraph"/>
        <w:numPr>
          <w:ilvl w:val="1"/>
          <w:numId w:val="32"/>
        </w:numPr>
        <w:tabs>
          <w:tab w:val="left" w:pos="1710"/>
        </w:tabs>
        <w:spacing w:after="0" w:line="264" w:lineRule="auto"/>
        <w:jc w:val="both"/>
        <w:rPr>
          <w:rFonts w:asciiTheme="majorHAnsi" w:hAnsiTheme="majorHAnsi"/>
          <w:sz w:val="21"/>
          <w:szCs w:val="21"/>
          <w:lang w:val="en-GB"/>
        </w:rPr>
      </w:pPr>
      <w:r>
        <w:rPr>
          <w:rFonts w:asciiTheme="majorHAnsi" w:hAnsiTheme="majorHAnsi"/>
          <w:sz w:val="21"/>
          <w:szCs w:val="21"/>
          <w:lang w:val="en-GB"/>
        </w:rPr>
        <w:t>Establishing</w:t>
      </w:r>
      <w:r w:rsidR="00B739C3" w:rsidRPr="001E5747">
        <w:rPr>
          <w:rFonts w:asciiTheme="majorHAnsi" w:hAnsiTheme="majorHAnsi"/>
          <w:sz w:val="21"/>
          <w:szCs w:val="21"/>
          <w:lang w:val="en-GB"/>
        </w:rPr>
        <w:t xml:space="preserve"> the rules and procedures of the </w:t>
      </w:r>
      <w:r w:rsidR="00F63783" w:rsidRPr="001E5747">
        <w:rPr>
          <w:rFonts w:asciiTheme="majorHAnsi" w:hAnsiTheme="majorHAnsi"/>
          <w:sz w:val="21"/>
          <w:szCs w:val="21"/>
          <w:lang w:val="en-GB"/>
        </w:rPr>
        <w:t>commission</w:t>
      </w:r>
      <w:r w:rsidR="00F63783">
        <w:rPr>
          <w:rFonts w:asciiTheme="majorHAnsi" w:hAnsiTheme="majorHAnsi"/>
          <w:sz w:val="21"/>
          <w:szCs w:val="21"/>
          <w:lang w:val="en-GB"/>
        </w:rPr>
        <w:t>’s work</w:t>
      </w:r>
      <w:r w:rsidR="00B739C3" w:rsidRPr="001E5747">
        <w:rPr>
          <w:rFonts w:asciiTheme="majorHAnsi" w:hAnsiTheme="majorHAnsi"/>
          <w:sz w:val="21"/>
          <w:szCs w:val="21"/>
          <w:lang w:val="en-GB"/>
        </w:rPr>
        <w:t>;</w:t>
      </w:r>
    </w:p>
    <w:p w14:paraId="43592B96" w14:textId="77777777" w:rsidR="00B739C3" w:rsidRPr="001E5747" w:rsidRDefault="00B739C3" w:rsidP="00B739C3">
      <w:pPr>
        <w:pStyle w:val="ListParagraph"/>
        <w:numPr>
          <w:ilvl w:val="1"/>
          <w:numId w:val="32"/>
        </w:numPr>
        <w:tabs>
          <w:tab w:val="left" w:pos="1710"/>
        </w:tabs>
        <w:spacing w:after="0" w:line="264" w:lineRule="auto"/>
        <w:jc w:val="both"/>
        <w:rPr>
          <w:rFonts w:asciiTheme="majorHAnsi" w:hAnsiTheme="majorHAnsi"/>
          <w:sz w:val="21"/>
          <w:szCs w:val="21"/>
          <w:lang w:val="en-GB"/>
        </w:rPr>
      </w:pPr>
      <w:r w:rsidRPr="001E5747">
        <w:rPr>
          <w:rFonts w:asciiTheme="majorHAnsi" w:hAnsiTheme="majorHAnsi"/>
          <w:sz w:val="21"/>
          <w:szCs w:val="21"/>
          <w:lang w:val="en-GB"/>
        </w:rPr>
        <w:t>Oversee</w:t>
      </w:r>
      <w:r w:rsidR="0090509E">
        <w:rPr>
          <w:rFonts w:asciiTheme="majorHAnsi" w:hAnsiTheme="majorHAnsi"/>
          <w:sz w:val="21"/>
          <w:szCs w:val="21"/>
          <w:lang w:val="en-GB"/>
        </w:rPr>
        <w:t>ing</w:t>
      </w:r>
      <w:r w:rsidRPr="001E5747">
        <w:rPr>
          <w:rFonts w:asciiTheme="majorHAnsi" w:hAnsiTheme="majorHAnsi"/>
          <w:sz w:val="21"/>
          <w:szCs w:val="21"/>
          <w:lang w:val="en-GB"/>
        </w:rPr>
        <w:t xml:space="preserve"> the process and ensur</w:t>
      </w:r>
      <w:r w:rsidR="0090509E">
        <w:rPr>
          <w:rFonts w:asciiTheme="majorHAnsi" w:hAnsiTheme="majorHAnsi"/>
          <w:sz w:val="21"/>
          <w:szCs w:val="21"/>
          <w:lang w:val="en-GB"/>
        </w:rPr>
        <w:t>ing</w:t>
      </w:r>
      <w:r w:rsidRPr="001E5747">
        <w:rPr>
          <w:rFonts w:asciiTheme="majorHAnsi" w:hAnsiTheme="majorHAnsi"/>
          <w:sz w:val="21"/>
          <w:szCs w:val="21"/>
          <w:lang w:val="en-GB"/>
        </w:rPr>
        <w:t xml:space="preserve"> that the Technical Group has followed the </w:t>
      </w:r>
      <w:r w:rsidR="009767E2">
        <w:rPr>
          <w:rFonts w:asciiTheme="majorHAnsi" w:hAnsiTheme="majorHAnsi"/>
          <w:sz w:val="21"/>
          <w:szCs w:val="21"/>
          <w:lang w:val="en-GB"/>
        </w:rPr>
        <w:t>assessment</w:t>
      </w:r>
      <w:r w:rsidRPr="001E5747">
        <w:rPr>
          <w:rFonts w:asciiTheme="majorHAnsi" w:hAnsiTheme="majorHAnsi"/>
          <w:sz w:val="21"/>
          <w:szCs w:val="21"/>
          <w:lang w:val="en-GB"/>
        </w:rPr>
        <w:t xml:space="preserve"> criteria and procedures set out in the performance grant rules;</w:t>
      </w:r>
    </w:p>
    <w:p w14:paraId="4EE9E877" w14:textId="77777777" w:rsidR="00B739C3" w:rsidRPr="001E5747" w:rsidRDefault="00EA7257" w:rsidP="00B739C3">
      <w:pPr>
        <w:pStyle w:val="ListParagraph"/>
        <w:numPr>
          <w:ilvl w:val="1"/>
          <w:numId w:val="32"/>
        </w:numPr>
        <w:tabs>
          <w:tab w:val="left" w:pos="1710"/>
        </w:tabs>
        <w:spacing w:after="0" w:line="264" w:lineRule="auto"/>
        <w:jc w:val="both"/>
        <w:rPr>
          <w:rFonts w:asciiTheme="majorHAnsi" w:hAnsiTheme="majorHAnsi"/>
          <w:sz w:val="21"/>
          <w:szCs w:val="21"/>
          <w:lang w:val="en-GB"/>
        </w:rPr>
      </w:pPr>
      <w:r>
        <w:rPr>
          <w:rFonts w:asciiTheme="majorHAnsi" w:hAnsiTheme="majorHAnsi"/>
          <w:sz w:val="21"/>
          <w:szCs w:val="21"/>
          <w:lang w:val="en-GB"/>
        </w:rPr>
        <w:t>Endorsing</w:t>
      </w:r>
      <w:r w:rsidR="00B739C3" w:rsidRPr="001E5747">
        <w:rPr>
          <w:rFonts w:asciiTheme="majorHAnsi" w:hAnsiTheme="majorHAnsi"/>
          <w:sz w:val="21"/>
          <w:szCs w:val="21"/>
          <w:lang w:val="en-GB"/>
        </w:rPr>
        <w:t xml:space="preserve"> the performance </w:t>
      </w:r>
      <w:r w:rsidR="009767E2">
        <w:rPr>
          <w:rFonts w:asciiTheme="majorHAnsi" w:hAnsiTheme="majorHAnsi"/>
          <w:sz w:val="21"/>
          <w:szCs w:val="21"/>
          <w:lang w:val="en-GB"/>
        </w:rPr>
        <w:t>assessment</w:t>
      </w:r>
      <w:r w:rsidR="00B739C3" w:rsidRPr="001E5747">
        <w:rPr>
          <w:rFonts w:asciiTheme="majorHAnsi" w:hAnsiTheme="majorHAnsi"/>
          <w:sz w:val="21"/>
          <w:szCs w:val="21"/>
          <w:lang w:val="en-GB"/>
        </w:rPr>
        <w:t xml:space="preserve"> results for the MPG;</w:t>
      </w:r>
    </w:p>
    <w:p w14:paraId="7E88084D" w14:textId="77777777" w:rsidR="00B739C3" w:rsidRPr="001E5747" w:rsidRDefault="00B739C3" w:rsidP="00B739C3">
      <w:pPr>
        <w:pStyle w:val="ListParagraph"/>
        <w:numPr>
          <w:ilvl w:val="1"/>
          <w:numId w:val="32"/>
        </w:numPr>
        <w:tabs>
          <w:tab w:val="left" w:pos="1710"/>
        </w:tabs>
        <w:spacing w:after="0" w:line="264" w:lineRule="auto"/>
        <w:jc w:val="both"/>
        <w:rPr>
          <w:sz w:val="21"/>
          <w:szCs w:val="21"/>
          <w:lang w:val="en-GB"/>
        </w:rPr>
      </w:pPr>
      <w:r w:rsidRPr="001E5747">
        <w:rPr>
          <w:sz w:val="21"/>
          <w:szCs w:val="21"/>
          <w:lang w:val="en-GB"/>
        </w:rPr>
        <w:t xml:space="preserve">In case of irregularities, the Commission may return the </w:t>
      </w:r>
      <w:r w:rsidR="009767E2">
        <w:rPr>
          <w:sz w:val="21"/>
          <w:szCs w:val="21"/>
          <w:lang w:val="en-GB"/>
        </w:rPr>
        <w:t>assessment</w:t>
      </w:r>
      <w:r w:rsidRPr="001E5747">
        <w:rPr>
          <w:sz w:val="21"/>
          <w:szCs w:val="21"/>
          <w:lang w:val="en-GB"/>
        </w:rPr>
        <w:t xml:space="preserve"> process for reconsideration;</w:t>
      </w:r>
    </w:p>
    <w:p w14:paraId="43B36177" w14:textId="77777777" w:rsidR="00B739C3" w:rsidRPr="001E5747" w:rsidRDefault="00B739C3" w:rsidP="00B739C3">
      <w:pPr>
        <w:pStyle w:val="ListParagraph"/>
        <w:numPr>
          <w:ilvl w:val="1"/>
          <w:numId w:val="32"/>
        </w:numPr>
        <w:tabs>
          <w:tab w:val="left" w:pos="1710"/>
        </w:tabs>
        <w:spacing w:after="0" w:line="264" w:lineRule="auto"/>
        <w:jc w:val="both"/>
        <w:rPr>
          <w:color w:val="000000" w:themeColor="text1"/>
          <w:sz w:val="21"/>
          <w:szCs w:val="21"/>
          <w:lang w:val="en-GB"/>
        </w:rPr>
      </w:pPr>
      <w:r w:rsidRPr="001E5747">
        <w:rPr>
          <w:rFonts w:asciiTheme="majorHAnsi" w:hAnsiTheme="majorHAnsi"/>
          <w:sz w:val="21"/>
          <w:szCs w:val="21"/>
          <w:lang w:val="en-GB"/>
        </w:rPr>
        <w:t xml:space="preserve">Informing municipalities about the results of the grant </w:t>
      </w:r>
      <w:r w:rsidR="009767E2">
        <w:rPr>
          <w:rFonts w:asciiTheme="majorHAnsi" w:hAnsiTheme="majorHAnsi"/>
          <w:sz w:val="21"/>
          <w:szCs w:val="21"/>
          <w:lang w:val="en-GB"/>
        </w:rPr>
        <w:t>assessment</w:t>
      </w:r>
      <w:r w:rsidRPr="001E5747">
        <w:rPr>
          <w:rFonts w:asciiTheme="majorHAnsi" w:hAnsiTheme="majorHAnsi"/>
          <w:sz w:val="21"/>
          <w:szCs w:val="21"/>
          <w:lang w:val="en-GB"/>
        </w:rPr>
        <w:t>;</w:t>
      </w:r>
    </w:p>
    <w:p w14:paraId="53AEF6DC" w14:textId="77777777" w:rsidR="00B739C3" w:rsidRPr="001E5747" w:rsidRDefault="00B739C3" w:rsidP="00B739C3">
      <w:pPr>
        <w:pStyle w:val="ListParagraph"/>
        <w:numPr>
          <w:ilvl w:val="1"/>
          <w:numId w:val="32"/>
        </w:numPr>
        <w:tabs>
          <w:tab w:val="left" w:pos="1710"/>
        </w:tabs>
        <w:spacing w:after="0" w:line="264" w:lineRule="auto"/>
        <w:ind w:left="662"/>
        <w:jc w:val="both"/>
        <w:rPr>
          <w:color w:val="000000" w:themeColor="text1"/>
          <w:sz w:val="21"/>
          <w:szCs w:val="21"/>
          <w:lang w:val="en-GB"/>
        </w:rPr>
      </w:pPr>
      <w:r w:rsidRPr="001E5747">
        <w:rPr>
          <w:rFonts w:asciiTheme="majorHAnsi" w:hAnsiTheme="majorHAnsi"/>
          <w:sz w:val="21"/>
          <w:szCs w:val="21"/>
          <w:lang w:val="en-GB"/>
        </w:rPr>
        <w:t xml:space="preserve">The Grant Commission may not change the </w:t>
      </w:r>
      <w:r w:rsidR="009767E2">
        <w:rPr>
          <w:rFonts w:asciiTheme="majorHAnsi" w:hAnsiTheme="majorHAnsi"/>
          <w:sz w:val="21"/>
          <w:szCs w:val="21"/>
          <w:lang w:val="en-GB"/>
        </w:rPr>
        <w:t>assessment</w:t>
      </w:r>
      <w:r w:rsidRPr="001E5747">
        <w:rPr>
          <w:rFonts w:asciiTheme="majorHAnsi" w:hAnsiTheme="majorHAnsi"/>
          <w:sz w:val="21"/>
          <w:szCs w:val="21"/>
          <w:lang w:val="en-GB"/>
        </w:rPr>
        <w:t xml:space="preserve"> results and grant amounts without fully applying the </w:t>
      </w:r>
      <w:r w:rsidR="009767E2">
        <w:rPr>
          <w:rFonts w:asciiTheme="majorHAnsi" w:hAnsiTheme="majorHAnsi"/>
          <w:sz w:val="21"/>
          <w:szCs w:val="21"/>
          <w:lang w:val="en-GB"/>
        </w:rPr>
        <w:t>assessment</w:t>
      </w:r>
      <w:r w:rsidRPr="001E5747">
        <w:rPr>
          <w:rFonts w:asciiTheme="majorHAnsi" w:hAnsiTheme="majorHAnsi"/>
          <w:sz w:val="21"/>
          <w:szCs w:val="21"/>
          <w:lang w:val="en-GB"/>
        </w:rPr>
        <w:t xml:space="preserve"> process in accordance with MPG rules;</w:t>
      </w:r>
    </w:p>
    <w:p w14:paraId="7A412D96" w14:textId="77777777" w:rsidR="00B739C3" w:rsidRPr="001E5747" w:rsidRDefault="00B739C3" w:rsidP="00B739C3">
      <w:pPr>
        <w:pStyle w:val="ListParagraph"/>
        <w:numPr>
          <w:ilvl w:val="1"/>
          <w:numId w:val="32"/>
        </w:numPr>
        <w:tabs>
          <w:tab w:val="left" w:pos="1710"/>
        </w:tabs>
        <w:spacing w:after="0" w:line="264" w:lineRule="auto"/>
        <w:ind w:left="662"/>
        <w:jc w:val="both"/>
        <w:rPr>
          <w:color w:val="000000" w:themeColor="text1"/>
          <w:sz w:val="21"/>
          <w:szCs w:val="21"/>
          <w:lang w:val="en-GB"/>
        </w:rPr>
      </w:pPr>
      <w:r w:rsidRPr="001E5747">
        <w:rPr>
          <w:rFonts w:asciiTheme="majorHAnsi" w:hAnsiTheme="majorHAnsi"/>
          <w:sz w:val="21"/>
          <w:szCs w:val="21"/>
          <w:lang w:val="en-GB"/>
        </w:rPr>
        <w:t xml:space="preserve">In case of change of the </w:t>
      </w:r>
      <w:r w:rsidR="009767E2">
        <w:rPr>
          <w:rFonts w:asciiTheme="majorHAnsi" w:hAnsiTheme="majorHAnsi"/>
          <w:sz w:val="21"/>
          <w:szCs w:val="21"/>
          <w:lang w:val="en-GB"/>
        </w:rPr>
        <w:t>assessment</w:t>
      </w:r>
      <w:r w:rsidRPr="001E5747">
        <w:rPr>
          <w:rFonts w:asciiTheme="majorHAnsi" w:hAnsiTheme="majorHAnsi"/>
          <w:sz w:val="21"/>
          <w:szCs w:val="21"/>
          <w:lang w:val="en-GB"/>
        </w:rPr>
        <w:t xml:space="preserve"> results as a result of the appeal decision issued by the </w:t>
      </w:r>
      <w:r w:rsidR="00091613" w:rsidRPr="001E5747">
        <w:rPr>
          <w:rFonts w:asciiTheme="majorHAnsi" w:hAnsiTheme="majorHAnsi"/>
          <w:sz w:val="21"/>
          <w:szCs w:val="21"/>
          <w:lang w:val="en-GB"/>
        </w:rPr>
        <w:t>Appeals Commission</w:t>
      </w:r>
      <w:r w:rsidRPr="001E5747">
        <w:rPr>
          <w:rFonts w:asciiTheme="majorHAnsi" w:hAnsiTheme="majorHAnsi"/>
          <w:sz w:val="21"/>
          <w:szCs w:val="21"/>
          <w:lang w:val="en-GB"/>
        </w:rPr>
        <w:t xml:space="preserve">, the grant commission through the technical group makes changes in the </w:t>
      </w:r>
      <w:r w:rsidR="009767E2">
        <w:rPr>
          <w:rFonts w:asciiTheme="majorHAnsi" w:hAnsiTheme="majorHAnsi"/>
          <w:sz w:val="21"/>
          <w:szCs w:val="21"/>
          <w:lang w:val="en-GB"/>
        </w:rPr>
        <w:t>assessment</w:t>
      </w:r>
      <w:r w:rsidRPr="001E5747">
        <w:rPr>
          <w:rFonts w:asciiTheme="majorHAnsi" w:hAnsiTheme="majorHAnsi"/>
          <w:sz w:val="21"/>
          <w:szCs w:val="21"/>
          <w:lang w:val="en-GB"/>
        </w:rPr>
        <w:t xml:space="preserve"> report and notifies the relevant municipality of the final result.</w:t>
      </w:r>
    </w:p>
    <w:p w14:paraId="317EC143" w14:textId="77777777" w:rsidR="00B739C3" w:rsidRPr="001E5747" w:rsidRDefault="00B739C3" w:rsidP="00B739C3">
      <w:pPr>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t>The Municipal Performance Grant Commission is established by a decision of the Secretary General of the MLG</w:t>
      </w:r>
      <w:r w:rsidR="00C06C3E">
        <w:rPr>
          <w:rFonts w:asciiTheme="majorHAnsi" w:hAnsiTheme="majorHAnsi"/>
          <w:sz w:val="21"/>
          <w:szCs w:val="21"/>
          <w:lang w:val="en-GB"/>
        </w:rPr>
        <w:t>A</w:t>
      </w:r>
      <w:r w:rsidRPr="001E5747">
        <w:rPr>
          <w:rFonts w:asciiTheme="majorHAnsi" w:hAnsiTheme="majorHAnsi"/>
          <w:sz w:val="21"/>
          <w:szCs w:val="21"/>
          <w:lang w:val="en-GB"/>
        </w:rPr>
        <w:t xml:space="preserve">, the composition of which is defined in Article 35.4 of Regulation 01/2020 on the Municipal Performance Management System and Performance Based Grant Scheme, as follows: </w:t>
      </w:r>
    </w:p>
    <w:p w14:paraId="66C90539" w14:textId="77777777" w:rsidR="00B739C3" w:rsidRPr="001E5747" w:rsidRDefault="00B739C3" w:rsidP="00B739C3">
      <w:pPr>
        <w:pStyle w:val="ListParagraph"/>
        <w:numPr>
          <w:ilvl w:val="0"/>
          <w:numId w:val="33"/>
        </w:numPr>
        <w:spacing w:after="0" w:line="264" w:lineRule="auto"/>
        <w:ind w:left="634" w:hanging="274"/>
        <w:jc w:val="both"/>
        <w:rPr>
          <w:rFonts w:asciiTheme="majorHAnsi" w:hAnsiTheme="majorHAnsi"/>
          <w:sz w:val="21"/>
          <w:szCs w:val="21"/>
          <w:lang w:val="en-GB"/>
        </w:rPr>
      </w:pPr>
      <w:r w:rsidRPr="001E5747">
        <w:rPr>
          <w:rFonts w:asciiTheme="majorHAnsi" w:hAnsiTheme="majorHAnsi"/>
          <w:sz w:val="21"/>
          <w:szCs w:val="21"/>
          <w:lang w:val="en-GB"/>
        </w:rPr>
        <w:t>1 member from MLG</w:t>
      </w:r>
      <w:r w:rsidR="00C06C3E">
        <w:rPr>
          <w:rFonts w:asciiTheme="majorHAnsi" w:hAnsiTheme="majorHAnsi"/>
          <w:sz w:val="21"/>
          <w:szCs w:val="21"/>
          <w:lang w:val="en-GB"/>
        </w:rPr>
        <w:t>A</w:t>
      </w:r>
      <w:r w:rsidRPr="001E5747">
        <w:rPr>
          <w:rFonts w:asciiTheme="majorHAnsi" w:hAnsiTheme="majorHAnsi"/>
          <w:sz w:val="21"/>
          <w:szCs w:val="21"/>
          <w:lang w:val="en-GB"/>
        </w:rPr>
        <w:t xml:space="preserve"> (General Secretary/Chairperson),</w:t>
      </w:r>
    </w:p>
    <w:p w14:paraId="48DA4C66" w14:textId="77777777" w:rsidR="00B739C3" w:rsidRPr="001E5747" w:rsidRDefault="00B739C3" w:rsidP="00B739C3">
      <w:pPr>
        <w:pStyle w:val="ListParagraph"/>
        <w:numPr>
          <w:ilvl w:val="0"/>
          <w:numId w:val="33"/>
        </w:numPr>
        <w:tabs>
          <w:tab w:val="left" w:pos="1710"/>
        </w:tabs>
        <w:spacing w:after="0" w:line="264" w:lineRule="auto"/>
        <w:ind w:left="634" w:hanging="274"/>
        <w:jc w:val="both"/>
        <w:rPr>
          <w:rFonts w:asciiTheme="majorHAnsi" w:hAnsiTheme="majorHAnsi"/>
          <w:sz w:val="21"/>
          <w:szCs w:val="21"/>
          <w:lang w:val="en-GB"/>
        </w:rPr>
      </w:pPr>
      <w:r w:rsidRPr="001E5747">
        <w:rPr>
          <w:rFonts w:asciiTheme="majorHAnsi" w:hAnsiTheme="majorHAnsi"/>
          <w:sz w:val="21"/>
          <w:szCs w:val="21"/>
          <w:lang w:val="en-GB"/>
        </w:rPr>
        <w:t>1 public official of the leading level of the ministry;</w:t>
      </w:r>
    </w:p>
    <w:p w14:paraId="79B1C615" w14:textId="77777777" w:rsidR="00B739C3" w:rsidRPr="001E5747" w:rsidRDefault="00B739C3" w:rsidP="00B739C3">
      <w:pPr>
        <w:pStyle w:val="ListParagraph"/>
        <w:numPr>
          <w:ilvl w:val="0"/>
          <w:numId w:val="33"/>
        </w:numPr>
        <w:tabs>
          <w:tab w:val="left" w:pos="1710"/>
        </w:tabs>
        <w:spacing w:after="0" w:line="264" w:lineRule="auto"/>
        <w:ind w:left="634" w:hanging="274"/>
        <w:jc w:val="both"/>
        <w:rPr>
          <w:rFonts w:asciiTheme="majorHAnsi" w:hAnsiTheme="majorHAnsi"/>
          <w:sz w:val="21"/>
          <w:szCs w:val="21"/>
          <w:lang w:val="en-GB"/>
        </w:rPr>
      </w:pPr>
      <w:r w:rsidRPr="001E5747">
        <w:rPr>
          <w:rFonts w:asciiTheme="majorHAnsi" w:hAnsiTheme="majorHAnsi"/>
          <w:sz w:val="21"/>
          <w:szCs w:val="21"/>
          <w:lang w:val="en-GB"/>
        </w:rPr>
        <w:t xml:space="preserve">1 public official from the ministry responsible for finance; </w:t>
      </w:r>
    </w:p>
    <w:p w14:paraId="3D2CEB70" w14:textId="18AAF269" w:rsidR="003D5997" w:rsidRPr="003061DA" w:rsidRDefault="003D5997" w:rsidP="003D5997">
      <w:pPr>
        <w:pStyle w:val="ListParagraph"/>
        <w:numPr>
          <w:ilvl w:val="0"/>
          <w:numId w:val="33"/>
        </w:numPr>
        <w:tabs>
          <w:tab w:val="left" w:pos="1710"/>
        </w:tabs>
        <w:spacing w:after="0" w:line="264" w:lineRule="auto"/>
        <w:ind w:left="634" w:hanging="274"/>
        <w:jc w:val="both"/>
        <w:rPr>
          <w:rFonts w:asciiTheme="majorHAnsi" w:hAnsiTheme="majorHAnsi"/>
          <w:sz w:val="21"/>
          <w:szCs w:val="21"/>
          <w:lang w:val="en-GB"/>
        </w:rPr>
      </w:pPr>
      <w:r>
        <w:rPr>
          <w:rFonts w:asciiTheme="majorHAnsi" w:hAnsiTheme="majorHAnsi"/>
          <w:sz w:val="21"/>
          <w:szCs w:val="21"/>
          <w:lang w:val="en-GB"/>
        </w:rPr>
        <w:t xml:space="preserve">1 observer from European Union in Kosovo; </w:t>
      </w:r>
    </w:p>
    <w:p w14:paraId="34091C73" w14:textId="5525AA25" w:rsidR="005846E1" w:rsidRDefault="00B739C3" w:rsidP="003061DA">
      <w:pPr>
        <w:pStyle w:val="ListParagraph"/>
        <w:numPr>
          <w:ilvl w:val="0"/>
          <w:numId w:val="33"/>
        </w:numPr>
        <w:tabs>
          <w:tab w:val="left" w:pos="1710"/>
        </w:tabs>
        <w:spacing w:after="0" w:line="264" w:lineRule="auto"/>
        <w:ind w:left="634" w:hanging="274"/>
        <w:jc w:val="both"/>
        <w:rPr>
          <w:rFonts w:asciiTheme="majorHAnsi" w:hAnsiTheme="majorHAnsi"/>
          <w:sz w:val="21"/>
          <w:szCs w:val="21"/>
          <w:lang w:val="en-GB"/>
        </w:rPr>
      </w:pPr>
      <w:r w:rsidRPr="001E5747">
        <w:rPr>
          <w:rFonts w:asciiTheme="majorHAnsi" w:hAnsiTheme="majorHAnsi"/>
          <w:sz w:val="21"/>
          <w:szCs w:val="21"/>
          <w:lang w:val="en-GB"/>
        </w:rPr>
        <w:t xml:space="preserve">1 observer from </w:t>
      </w:r>
      <w:r w:rsidR="005C2523">
        <w:rPr>
          <w:rFonts w:asciiTheme="majorHAnsi" w:hAnsiTheme="majorHAnsi"/>
          <w:sz w:val="21"/>
          <w:szCs w:val="21"/>
          <w:lang w:val="en-GB"/>
        </w:rPr>
        <w:t>Sweden</w:t>
      </w:r>
      <w:r w:rsidRPr="001E5747">
        <w:rPr>
          <w:rFonts w:asciiTheme="majorHAnsi" w:hAnsiTheme="majorHAnsi"/>
          <w:sz w:val="21"/>
          <w:szCs w:val="21"/>
          <w:lang w:val="en-GB"/>
        </w:rPr>
        <w:t>;</w:t>
      </w:r>
    </w:p>
    <w:p w14:paraId="632BB147" w14:textId="4AE849FF" w:rsidR="00B739C3" w:rsidRPr="001E5747" w:rsidRDefault="00B739C3" w:rsidP="00B739C3">
      <w:pPr>
        <w:pStyle w:val="ListParagraph"/>
        <w:numPr>
          <w:ilvl w:val="0"/>
          <w:numId w:val="33"/>
        </w:numPr>
        <w:tabs>
          <w:tab w:val="left" w:pos="1710"/>
        </w:tabs>
        <w:spacing w:after="0" w:line="264" w:lineRule="auto"/>
        <w:ind w:left="634" w:hanging="274"/>
        <w:jc w:val="both"/>
        <w:rPr>
          <w:rFonts w:asciiTheme="majorHAnsi" w:hAnsiTheme="majorHAnsi"/>
          <w:sz w:val="21"/>
          <w:szCs w:val="21"/>
          <w:lang w:val="en-GB"/>
        </w:rPr>
      </w:pPr>
      <w:r w:rsidRPr="001E5747">
        <w:rPr>
          <w:rFonts w:asciiTheme="majorHAnsi" w:hAnsiTheme="majorHAnsi"/>
          <w:sz w:val="21"/>
          <w:szCs w:val="21"/>
          <w:lang w:val="en-GB"/>
        </w:rPr>
        <w:t xml:space="preserve">1 observer from </w:t>
      </w:r>
      <w:r w:rsidR="005C2523">
        <w:rPr>
          <w:rFonts w:asciiTheme="majorHAnsi" w:hAnsiTheme="majorHAnsi"/>
          <w:sz w:val="21"/>
          <w:szCs w:val="21"/>
          <w:lang w:val="en-GB"/>
        </w:rPr>
        <w:t>Switzerland</w:t>
      </w:r>
      <w:r w:rsidR="000F32CA">
        <w:rPr>
          <w:rFonts w:asciiTheme="majorHAnsi" w:hAnsiTheme="majorHAnsi"/>
          <w:sz w:val="21"/>
          <w:szCs w:val="21"/>
          <w:lang w:val="en-GB"/>
        </w:rPr>
        <w:t>;</w:t>
      </w:r>
    </w:p>
    <w:p w14:paraId="1E3CE1DD" w14:textId="4C6B9387" w:rsidR="00B739C3" w:rsidRPr="001E5747" w:rsidRDefault="00B739C3" w:rsidP="00B739C3">
      <w:pPr>
        <w:pStyle w:val="ListParagraph"/>
        <w:numPr>
          <w:ilvl w:val="0"/>
          <w:numId w:val="33"/>
        </w:numPr>
        <w:tabs>
          <w:tab w:val="left" w:pos="1710"/>
        </w:tabs>
        <w:spacing w:after="0" w:line="264" w:lineRule="auto"/>
        <w:ind w:left="634" w:hanging="274"/>
        <w:jc w:val="both"/>
        <w:rPr>
          <w:rFonts w:asciiTheme="majorHAnsi" w:hAnsiTheme="majorHAnsi"/>
          <w:sz w:val="21"/>
          <w:szCs w:val="21"/>
          <w:lang w:val="en-GB"/>
        </w:rPr>
      </w:pPr>
      <w:r w:rsidRPr="001E5747">
        <w:rPr>
          <w:rFonts w:asciiTheme="majorHAnsi" w:hAnsiTheme="majorHAnsi"/>
          <w:sz w:val="21"/>
          <w:szCs w:val="21"/>
          <w:lang w:val="en-GB"/>
        </w:rPr>
        <w:t xml:space="preserve">1 observer from </w:t>
      </w:r>
      <w:r w:rsidR="005C2523" w:rsidRPr="001E5747">
        <w:rPr>
          <w:rFonts w:asciiTheme="majorHAnsi" w:hAnsiTheme="majorHAnsi"/>
          <w:sz w:val="21"/>
          <w:szCs w:val="21"/>
          <w:lang w:val="en-GB"/>
        </w:rPr>
        <w:t>N</w:t>
      </w:r>
      <w:r w:rsidR="005C2523">
        <w:rPr>
          <w:rFonts w:asciiTheme="majorHAnsi" w:hAnsiTheme="majorHAnsi"/>
          <w:sz w:val="21"/>
          <w:szCs w:val="21"/>
          <w:lang w:val="en-GB"/>
        </w:rPr>
        <w:t>orway</w:t>
      </w:r>
      <w:r w:rsidR="000F32CA">
        <w:rPr>
          <w:rFonts w:asciiTheme="majorHAnsi" w:hAnsiTheme="majorHAnsi"/>
          <w:sz w:val="21"/>
          <w:szCs w:val="21"/>
          <w:lang w:val="en-GB"/>
        </w:rPr>
        <w:t>;</w:t>
      </w:r>
      <w:r w:rsidRPr="001E5747">
        <w:rPr>
          <w:rFonts w:asciiTheme="majorHAnsi" w:hAnsiTheme="majorHAnsi"/>
          <w:sz w:val="21"/>
          <w:szCs w:val="21"/>
          <w:lang w:val="en-GB"/>
        </w:rPr>
        <w:t xml:space="preserve"> and</w:t>
      </w:r>
    </w:p>
    <w:p w14:paraId="20B1926F" w14:textId="77777777" w:rsidR="00B739C3" w:rsidRPr="001E5747" w:rsidRDefault="00B739C3" w:rsidP="00B739C3">
      <w:pPr>
        <w:pStyle w:val="ListParagraph"/>
        <w:numPr>
          <w:ilvl w:val="0"/>
          <w:numId w:val="33"/>
        </w:numPr>
        <w:tabs>
          <w:tab w:val="left" w:pos="1710"/>
        </w:tabs>
        <w:spacing w:after="0" w:line="264" w:lineRule="auto"/>
        <w:ind w:left="634" w:hanging="274"/>
        <w:jc w:val="both"/>
        <w:rPr>
          <w:rFonts w:asciiTheme="majorHAnsi" w:hAnsiTheme="majorHAnsi"/>
          <w:sz w:val="21"/>
          <w:szCs w:val="21"/>
          <w:lang w:val="en-GB"/>
        </w:rPr>
      </w:pPr>
      <w:r w:rsidRPr="001E5747">
        <w:rPr>
          <w:rFonts w:asciiTheme="majorHAnsi" w:hAnsiTheme="majorHAnsi"/>
          <w:sz w:val="21"/>
          <w:szCs w:val="21"/>
          <w:lang w:val="en-GB"/>
        </w:rPr>
        <w:t>observers from civil society.</w:t>
      </w:r>
    </w:p>
    <w:p w14:paraId="574B7A2C" w14:textId="77777777" w:rsidR="00B739C3" w:rsidRPr="001E5747" w:rsidRDefault="00B739C3" w:rsidP="00B739C3">
      <w:pPr>
        <w:pStyle w:val="ListParagraph"/>
        <w:tabs>
          <w:tab w:val="left" w:pos="1710"/>
        </w:tabs>
        <w:spacing w:before="20" w:after="0" w:line="264" w:lineRule="auto"/>
        <w:ind w:left="-54"/>
        <w:jc w:val="both"/>
        <w:rPr>
          <w:rFonts w:asciiTheme="majorHAnsi" w:hAnsiTheme="majorHAnsi"/>
          <w:sz w:val="21"/>
          <w:szCs w:val="21"/>
          <w:lang w:val="en-GB"/>
        </w:rPr>
      </w:pPr>
    </w:p>
    <w:p w14:paraId="059ADFA0" w14:textId="1A71CF46" w:rsidR="00B739C3" w:rsidRPr="001E5747" w:rsidRDefault="00B739C3" w:rsidP="00B739C3">
      <w:pPr>
        <w:pStyle w:val="ListParagraph"/>
        <w:tabs>
          <w:tab w:val="left" w:pos="1710"/>
        </w:tabs>
        <w:spacing w:before="20" w:after="0" w:line="264" w:lineRule="auto"/>
        <w:ind w:left="-54"/>
        <w:jc w:val="both"/>
        <w:rPr>
          <w:rFonts w:asciiTheme="majorHAnsi" w:hAnsiTheme="majorHAnsi"/>
          <w:sz w:val="21"/>
          <w:szCs w:val="21"/>
          <w:lang w:val="en-GB"/>
        </w:rPr>
      </w:pPr>
      <w:r w:rsidRPr="001E5747">
        <w:rPr>
          <w:rFonts w:asciiTheme="majorHAnsi" w:hAnsiTheme="majorHAnsi"/>
          <w:sz w:val="21"/>
          <w:szCs w:val="21"/>
          <w:lang w:val="en-GB"/>
        </w:rPr>
        <w:t xml:space="preserve">Members of the MPG Commission may not be officials involved in the Technical Group and the </w:t>
      </w:r>
      <w:r w:rsidR="00091613" w:rsidRPr="001E5747">
        <w:rPr>
          <w:rFonts w:asciiTheme="majorHAnsi" w:hAnsiTheme="majorHAnsi"/>
          <w:sz w:val="21"/>
          <w:szCs w:val="21"/>
          <w:lang w:val="en-GB"/>
        </w:rPr>
        <w:t>Appeals Commission</w:t>
      </w:r>
      <w:r w:rsidRPr="001E5747">
        <w:rPr>
          <w:rFonts w:asciiTheme="majorHAnsi" w:hAnsiTheme="majorHAnsi"/>
          <w:sz w:val="21"/>
          <w:szCs w:val="21"/>
          <w:lang w:val="en-GB"/>
        </w:rPr>
        <w:t xml:space="preserve"> at the same time. </w:t>
      </w:r>
      <w:r w:rsidR="005C2523">
        <w:rPr>
          <w:rFonts w:asciiTheme="majorHAnsi" w:hAnsiTheme="majorHAnsi"/>
          <w:sz w:val="21"/>
          <w:szCs w:val="21"/>
          <w:lang w:val="en-GB"/>
        </w:rPr>
        <w:t xml:space="preserve">Members have the voting right while the observers can provide their suggestions but do not have a voting right. </w:t>
      </w:r>
    </w:p>
    <w:p w14:paraId="2181B759" w14:textId="77777777" w:rsidR="00B739C3" w:rsidRPr="001E5747" w:rsidRDefault="00B739C3" w:rsidP="00B739C3">
      <w:pPr>
        <w:ind w:left="567"/>
        <w:jc w:val="both"/>
        <w:rPr>
          <w:rFonts w:asciiTheme="majorHAnsi" w:hAnsiTheme="majorHAnsi"/>
          <w:sz w:val="21"/>
          <w:szCs w:val="21"/>
          <w:lang w:val="en-GB"/>
        </w:rPr>
      </w:pPr>
    </w:p>
    <w:p w14:paraId="086389FB" w14:textId="6F337EA0" w:rsidR="00B739C3" w:rsidRPr="001E5747" w:rsidRDefault="00B739C3" w:rsidP="00B739C3">
      <w:pPr>
        <w:pStyle w:val="Heading1"/>
        <w:numPr>
          <w:ilvl w:val="2"/>
          <w:numId w:val="7"/>
        </w:numPr>
        <w:tabs>
          <w:tab w:val="left" w:pos="540"/>
        </w:tabs>
        <w:ind w:hanging="3600"/>
        <w:rPr>
          <w:rFonts w:asciiTheme="majorHAnsi" w:hAnsiTheme="majorHAnsi"/>
          <w:sz w:val="24"/>
          <w:szCs w:val="21"/>
          <w:lang w:val="en-GB"/>
        </w:rPr>
      </w:pPr>
      <w:bookmarkStart w:id="50" w:name="_Toc61062530"/>
      <w:bookmarkStart w:id="51" w:name="_Toc31194802"/>
      <w:bookmarkStart w:id="52" w:name="_Toc31029004"/>
      <w:r w:rsidRPr="001E5747">
        <w:rPr>
          <w:rFonts w:asciiTheme="majorHAnsi" w:hAnsiTheme="majorHAnsi"/>
          <w:sz w:val="24"/>
          <w:szCs w:val="21"/>
          <w:lang w:val="en-GB"/>
        </w:rPr>
        <w:t>Technical group</w:t>
      </w:r>
      <w:bookmarkEnd w:id="50"/>
      <w:bookmarkEnd w:id="51"/>
      <w:bookmarkEnd w:id="52"/>
    </w:p>
    <w:p w14:paraId="6DB121F2" w14:textId="77777777" w:rsidR="00B739C3" w:rsidRPr="001E5747" w:rsidRDefault="00B739C3" w:rsidP="00B739C3">
      <w:pPr>
        <w:rPr>
          <w:lang w:val="en-GB"/>
        </w:rPr>
      </w:pPr>
      <w:r w:rsidRPr="001E5747">
        <w:rPr>
          <w:rFonts w:asciiTheme="majorHAnsi" w:hAnsiTheme="majorHAnsi"/>
          <w:sz w:val="21"/>
          <w:szCs w:val="21"/>
          <w:lang w:val="en-GB"/>
        </w:rPr>
        <w:t xml:space="preserve">The technical group is a professional level body composed of public officials of the unit responsible for municipal performance and representatives of </w:t>
      </w:r>
      <w:r w:rsidR="00EA7257">
        <w:rPr>
          <w:rFonts w:asciiTheme="majorHAnsi" w:hAnsiTheme="majorHAnsi"/>
          <w:sz w:val="21"/>
          <w:szCs w:val="21"/>
          <w:lang w:val="en-GB"/>
        </w:rPr>
        <w:t>donors</w:t>
      </w:r>
      <w:r w:rsidRPr="001E5747">
        <w:rPr>
          <w:rFonts w:asciiTheme="majorHAnsi" w:hAnsiTheme="majorHAnsi"/>
          <w:sz w:val="21"/>
          <w:szCs w:val="21"/>
          <w:lang w:val="en-GB"/>
        </w:rPr>
        <w:t xml:space="preserve">.  </w:t>
      </w:r>
    </w:p>
    <w:p w14:paraId="3F7030DB" w14:textId="77777777" w:rsidR="00B739C3" w:rsidRPr="001E5747" w:rsidRDefault="00B739C3" w:rsidP="00B739C3">
      <w:pPr>
        <w:tabs>
          <w:tab w:val="left" w:pos="1710"/>
        </w:tabs>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t>The duties and responsibilities of the technical group are as follows:</w:t>
      </w:r>
    </w:p>
    <w:p w14:paraId="4E0F29C9" w14:textId="77777777" w:rsidR="00B739C3" w:rsidRPr="001E5747" w:rsidRDefault="00B739C3" w:rsidP="00B739C3">
      <w:pPr>
        <w:pStyle w:val="ListParagraph"/>
        <w:numPr>
          <w:ilvl w:val="1"/>
          <w:numId w:val="34"/>
        </w:numPr>
        <w:tabs>
          <w:tab w:val="left" w:pos="1710"/>
        </w:tabs>
        <w:spacing w:after="0" w:line="264" w:lineRule="auto"/>
        <w:jc w:val="both"/>
        <w:rPr>
          <w:rFonts w:asciiTheme="majorHAnsi" w:hAnsiTheme="majorHAnsi"/>
          <w:sz w:val="21"/>
          <w:szCs w:val="21"/>
          <w:lang w:val="en-GB"/>
        </w:rPr>
      </w:pPr>
      <w:r w:rsidRPr="001E5747">
        <w:rPr>
          <w:rFonts w:asciiTheme="majorHAnsi" w:hAnsiTheme="majorHAnsi"/>
          <w:sz w:val="21"/>
          <w:szCs w:val="21"/>
          <w:lang w:val="en-GB"/>
        </w:rPr>
        <w:t>Implementation of performance appraisal and calculation standards as defined in MPG rules;</w:t>
      </w:r>
    </w:p>
    <w:p w14:paraId="36C2D0E6" w14:textId="77777777" w:rsidR="00B739C3" w:rsidRPr="001E5747" w:rsidRDefault="00B739C3" w:rsidP="00B739C3">
      <w:pPr>
        <w:pStyle w:val="ListParagraph"/>
        <w:numPr>
          <w:ilvl w:val="1"/>
          <w:numId w:val="34"/>
        </w:numPr>
        <w:tabs>
          <w:tab w:val="left" w:pos="1710"/>
        </w:tabs>
        <w:spacing w:after="0" w:line="264" w:lineRule="auto"/>
        <w:jc w:val="both"/>
        <w:rPr>
          <w:rFonts w:asciiTheme="majorHAnsi" w:hAnsiTheme="majorHAnsi"/>
          <w:sz w:val="21"/>
          <w:szCs w:val="21"/>
          <w:lang w:val="en-GB"/>
        </w:rPr>
      </w:pPr>
      <w:r w:rsidRPr="001E5747">
        <w:rPr>
          <w:rFonts w:asciiTheme="majorHAnsi" w:hAnsiTheme="majorHAnsi"/>
          <w:sz w:val="21"/>
          <w:szCs w:val="21"/>
          <w:lang w:val="en-GB"/>
        </w:rPr>
        <w:t>Calculation of the grant amount according to the formula defined in the rules of the MPG;</w:t>
      </w:r>
    </w:p>
    <w:p w14:paraId="6AD4C8F7" w14:textId="77777777" w:rsidR="00B739C3" w:rsidRPr="001E5747" w:rsidRDefault="00B739C3" w:rsidP="00B739C3">
      <w:pPr>
        <w:pStyle w:val="ListParagraph"/>
        <w:numPr>
          <w:ilvl w:val="1"/>
          <w:numId w:val="34"/>
        </w:numPr>
        <w:tabs>
          <w:tab w:val="left" w:pos="1710"/>
        </w:tabs>
        <w:spacing w:after="0" w:line="264" w:lineRule="auto"/>
        <w:jc w:val="both"/>
        <w:rPr>
          <w:rFonts w:asciiTheme="majorHAnsi" w:hAnsiTheme="majorHAnsi"/>
          <w:sz w:val="21"/>
          <w:szCs w:val="21"/>
          <w:lang w:val="en-GB"/>
        </w:rPr>
      </w:pPr>
      <w:r w:rsidRPr="001E5747">
        <w:rPr>
          <w:rFonts w:asciiTheme="majorHAnsi" w:hAnsiTheme="majorHAnsi"/>
          <w:sz w:val="21"/>
          <w:szCs w:val="21"/>
          <w:lang w:val="en-GB"/>
        </w:rPr>
        <w:t xml:space="preserve">Drafting the </w:t>
      </w:r>
      <w:r w:rsidR="009767E2">
        <w:rPr>
          <w:rFonts w:asciiTheme="majorHAnsi" w:hAnsiTheme="majorHAnsi"/>
          <w:sz w:val="21"/>
          <w:szCs w:val="21"/>
          <w:lang w:val="en-GB"/>
        </w:rPr>
        <w:t>assessment</w:t>
      </w:r>
      <w:r w:rsidRPr="001E5747">
        <w:rPr>
          <w:rFonts w:asciiTheme="majorHAnsi" w:hAnsiTheme="majorHAnsi"/>
          <w:sz w:val="21"/>
          <w:szCs w:val="21"/>
          <w:lang w:val="en-GB"/>
        </w:rPr>
        <w:t xml:space="preserve"> report for the grant and addressing it for </w:t>
      </w:r>
      <w:r w:rsidR="00EA7257">
        <w:rPr>
          <w:rFonts w:asciiTheme="majorHAnsi" w:hAnsiTheme="majorHAnsi"/>
          <w:sz w:val="21"/>
          <w:szCs w:val="21"/>
          <w:lang w:val="en-GB"/>
        </w:rPr>
        <w:t>endorsement</w:t>
      </w:r>
      <w:r w:rsidR="00EA7257" w:rsidRPr="001E5747">
        <w:rPr>
          <w:rFonts w:asciiTheme="majorHAnsi" w:hAnsiTheme="majorHAnsi"/>
          <w:sz w:val="21"/>
          <w:szCs w:val="21"/>
          <w:lang w:val="en-GB"/>
        </w:rPr>
        <w:t xml:space="preserve"> </w:t>
      </w:r>
      <w:r w:rsidRPr="001E5747">
        <w:rPr>
          <w:rFonts w:asciiTheme="majorHAnsi" w:hAnsiTheme="majorHAnsi"/>
          <w:sz w:val="21"/>
          <w:szCs w:val="21"/>
          <w:lang w:val="en-GB"/>
        </w:rPr>
        <w:t>to the MPG Commission;</w:t>
      </w:r>
    </w:p>
    <w:p w14:paraId="002E9B87" w14:textId="77777777" w:rsidR="00B739C3" w:rsidRPr="001E5747" w:rsidRDefault="00B739C3" w:rsidP="00B739C3">
      <w:pPr>
        <w:pStyle w:val="ListParagraph"/>
        <w:tabs>
          <w:tab w:val="left" w:pos="1710"/>
        </w:tabs>
        <w:spacing w:after="0" w:line="264" w:lineRule="auto"/>
        <w:ind w:left="-54"/>
        <w:jc w:val="both"/>
        <w:rPr>
          <w:rFonts w:asciiTheme="majorHAnsi" w:hAnsiTheme="majorHAnsi"/>
          <w:sz w:val="21"/>
          <w:szCs w:val="21"/>
          <w:lang w:val="en-GB"/>
        </w:rPr>
      </w:pPr>
      <w:r w:rsidRPr="001E5747">
        <w:rPr>
          <w:rFonts w:asciiTheme="majorHAnsi" w:hAnsiTheme="majorHAnsi"/>
          <w:sz w:val="21"/>
          <w:szCs w:val="21"/>
          <w:lang w:val="en-GB"/>
        </w:rPr>
        <w:t>The Technical Group is established by a decision of the Secretary General of the MLG</w:t>
      </w:r>
      <w:r w:rsidR="00C06C3E">
        <w:rPr>
          <w:rFonts w:asciiTheme="majorHAnsi" w:hAnsiTheme="majorHAnsi"/>
          <w:sz w:val="21"/>
          <w:szCs w:val="21"/>
          <w:lang w:val="en-GB"/>
        </w:rPr>
        <w:t>A</w:t>
      </w:r>
      <w:r w:rsidRPr="001E5747">
        <w:rPr>
          <w:rFonts w:asciiTheme="majorHAnsi" w:hAnsiTheme="majorHAnsi"/>
          <w:sz w:val="21"/>
          <w:szCs w:val="21"/>
          <w:lang w:val="en-GB"/>
        </w:rPr>
        <w:t xml:space="preserve"> in accordance with Article 34.1 of Regulation 01/2020 on the Municipal Performance Management System and Performance Based Grant Scheme, the composition of which is as follows:</w:t>
      </w:r>
    </w:p>
    <w:p w14:paraId="17113DD2" w14:textId="77777777" w:rsidR="00B739C3" w:rsidRPr="001E5747" w:rsidRDefault="00B739C3" w:rsidP="00B739C3">
      <w:pPr>
        <w:pStyle w:val="ListParagraph"/>
        <w:numPr>
          <w:ilvl w:val="0"/>
          <w:numId w:val="35"/>
        </w:numPr>
        <w:tabs>
          <w:tab w:val="left" w:pos="1710"/>
        </w:tabs>
        <w:spacing w:after="0" w:line="264" w:lineRule="auto"/>
        <w:jc w:val="both"/>
        <w:rPr>
          <w:rFonts w:asciiTheme="majorHAnsi" w:hAnsiTheme="majorHAnsi"/>
          <w:sz w:val="21"/>
          <w:szCs w:val="21"/>
          <w:lang w:val="en-GB"/>
        </w:rPr>
      </w:pPr>
      <w:r w:rsidRPr="001E5747">
        <w:rPr>
          <w:rFonts w:asciiTheme="majorHAnsi" w:hAnsiTheme="majorHAnsi"/>
          <w:sz w:val="21"/>
          <w:szCs w:val="21"/>
          <w:lang w:val="en-GB"/>
        </w:rPr>
        <w:t xml:space="preserve">3 members from the </w:t>
      </w:r>
      <w:r w:rsidR="00EA7257">
        <w:rPr>
          <w:rFonts w:asciiTheme="majorHAnsi" w:hAnsiTheme="majorHAnsi"/>
          <w:sz w:val="21"/>
          <w:szCs w:val="21"/>
          <w:lang w:val="en-GB"/>
        </w:rPr>
        <w:t xml:space="preserve">MLGA </w:t>
      </w:r>
      <w:r w:rsidRPr="001E5747">
        <w:rPr>
          <w:rFonts w:asciiTheme="majorHAnsi" w:hAnsiTheme="majorHAnsi"/>
          <w:sz w:val="21"/>
          <w:szCs w:val="21"/>
          <w:lang w:val="en-GB"/>
        </w:rPr>
        <w:t>unit responsible for municipal performance;</w:t>
      </w:r>
    </w:p>
    <w:p w14:paraId="42E5E488" w14:textId="77777777" w:rsidR="005C2523" w:rsidRDefault="00B739C3" w:rsidP="00B739C3">
      <w:pPr>
        <w:pStyle w:val="ListParagraph"/>
        <w:numPr>
          <w:ilvl w:val="0"/>
          <w:numId w:val="35"/>
        </w:numPr>
        <w:tabs>
          <w:tab w:val="left" w:pos="1710"/>
        </w:tabs>
        <w:spacing w:after="0" w:line="264" w:lineRule="auto"/>
        <w:jc w:val="both"/>
        <w:rPr>
          <w:rFonts w:asciiTheme="majorHAnsi" w:hAnsiTheme="majorHAnsi"/>
          <w:sz w:val="21"/>
          <w:szCs w:val="21"/>
          <w:lang w:val="en-GB"/>
        </w:rPr>
      </w:pPr>
      <w:r w:rsidRPr="001E5747">
        <w:rPr>
          <w:rFonts w:asciiTheme="majorHAnsi" w:hAnsiTheme="majorHAnsi"/>
          <w:sz w:val="21"/>
          <w:szCs w:val="21"/>
          <w:lang w:val="en-GB"/>
        </w:rPr>
        <w:lastRenderedPageBreak/>
        <w:t>2 members from the DEMOS project (representing contributing entities)</w:t>
      </w:r>
      <w:r w:rsidR="005C2523">
        <w:rPr>
          <w:rFonts w:asciiTheme="majorHAnsi" w:hAnsiTheme="majorHAnsi"/>
          <w:sz w:val="21"/>
          <w:szCs w:val="21"/>
          <w:lang w:val="en-GB"/>
        </w:rPr>
        <w:t>;</w:t>
      </w:r>
    </w:p>
    <w:p w14:paraId="0B7D687A" w14:textId="255A3D10" w:rsidR="00B739C3" w:rsidRPr="001E5747" w:rsidRDefault="005C2523" w:rsidP="00B739C3">
      <w:pPr>
        <w:pStyle w:val="ListParagraph"/>
        <w:numPr>
          <w:ilvl w:val="0"/>
          <w:numId w:val="35"/>
        </w:numPr>
        <w:tabs>
          <w:tab w:val="left" w:pos="1710"/>
        </w:tabs>
        <w:spacing w:after="0" w:line="264" w:lineRule="auto"/>
        <w:jc w:val="both"/>
        <w:rPr>
          <w:rFonts w:asciiTheme="majorHAnsi" w:hAnsiTheme="majorHAnsi"/>
          <w:sz w:val="21"/>
          <w:szCs w:val="21"/>
          <w:lang w:val="en-GB"/>
        </w:rPr>
      </w:pPr>
      <w:r>
        <w:rPr>
          <w:rFonts w:asciiTheme="majorHAnsi" w:hAnsiTheme="majorHAnsi"/>
          <w:sz w:val="21"/>
          <w:szCs w:val="21"/>
          <w:lang w:val="en-GB"/>
        </w:rPr>
        <w:t>1 member from CSO as an observer</w:t>
      </w:r>
      <w:r w:rsidR="00B739C3" w:rsidRPr="001E5747">
        <w:rPr>
          <w:rFonts w:asciiTheme="majorHAnsi" w:hAnsiTheme="majorHAnsi"/>
          <w:sz w:val="21"/>
          <w:szCs w:val="21"/>
          <w:lang w:val="en-GB"/>
        </w:rPr>
        <w:t>.</w:t>
      </w:r>
    </w:p>
    <w:p w14:paraId="651DC13A" w14:textId="77777777" w:rsidR="00B739C3" w:rsidRPr="001E5747" w:rsidRDefault="00B739C3" w:rsidP="00B739C3">
      <w:pPr>
        <w:tabs>
          <w:tab w:val="left" w:pos="1710"/>
        </w:tabs>
        <w:spacing w:line="264" w:lineRule="auto"/>
        <w:jc w:val="both"/>
        <w:rPr>
          <w:rFonts w:asciiTheme="majorHAnsi" w:hAnsiTheme="majorHAnsi"/>
          <w:sz w:val="21"/>
          <w:szCs w:val="21"/>
          <w:lang w:val="en-GB"/>
        </w:rPr>
      </w:pPr>
    </w:p>
    <w:p w14:paraId="418AC736" w14:textId="60CD32D1" w:rsidR="00B739C3" w:rsidRPr="001E5747" w:rsidRDefault="00091613" w:rsidP="00B739C3">
      <w:pPr>
        <w:pStyle w:val="Heading1"/>
        <w:numPr>
          <w:ilvl w:val="2"/>
          <w:numId w:val="7"/>
        </w:numPr>
        <w:tabs>
          <w:tab w:val="left" w:pos="540"/>
        </w:tabs>
        <w:ind w:hanging="3600"/>
        <w:rPr>
          <w:rFonts w:asciiTheme="majorHAnsi" w:hAnsiTheme="majorHAnsi"/>
          <w:sz w:val="24"/>
          <w:szCs w:val="21"/>
          <w:lang w:val="en-GB"/>
        </w:rPr>
      </w:pPr>
      <w:r w:rsidRPr="001E5747">
        <w:rPr>
          <w:rFonts w:asciiTheme="majorHAnsi" w:hAnsiTheme="majorHAnsi"/>
          <w:sz w:val="24"/>
          <w:szCs w:val="21"/>
          <w:lang w:val="en-GB"/>
        </w:rPr>
        <w:t>Appeals Commission</w:t>
      </w:r>
    </w:p>
    <w:p w14:paraId="04093950" w14:textId="77777777" w:rsidR="00B739C3" w:rsidRPr="001E5747" w:rsidRDefault="00B739C3" w:rsidP="00B739C3">
      <w:pPr>
        <w:jc w:val="both"/>
        <w:rPr>
          <w:rFonts w:asciiTheme="majorHAnsi" w:hAnsiTheme="majorHAnsi"/>
          <w:sz w:val="21"/>
          <w:szCs w:val="21"/>
          <w:lang w:val="en-GB"/>
        </w:rPr>
      </w:pPr>
      <w:r w:rsidRPr="001E5747">
        <w:rPr>
          <w:rFonts w:asciiTheme="majorHAnsi" w:hAnsiTheme="majorHAnsi"/>
          <w:sz w:val="21"/>
          <w:szCs w:val="21"/>
          <w:lang w:val="en-GB"/>
        </w:rPr>
        <w:t xml:space="preserve">The </w:t>
      </w:r>
      <w:r w:rsidR="00091613" w:rsidRPr="001E5747">
        <w:rPr>
          <w:rFonts w:asciiTheme="majorHAnsi" w:hAnsiTheme="majorHAnsi"/>
          <w:sz w:val="21"/>
          <w:szCs w:val="21"/>
          <w:lang w:val="en-GB"/>
        </w:rPr>
        <w:t>Appeals Commission</w:t>
      </w:r>
      <w:r w:rsidRPr="001E5747">
        <w:rPr>
          <w:rFonts w:asciiTheme="majorHAnsi" w:hAnsiTheme="majorHAnsi"/>
          <w:sz w:val="21"/>
          <w:szCs w:val="21"/>
          <w:lang w:val="en-GB"/>
        </w:rPr>
        <w:t xml:space="preserve"> reviews and decides on appeals submitted by municipalities regarding their performance appraisal to the MPG, pursuant to Section 39 of Regulation 01/2020 on the Municipal Performance Management System and Performance Based Grant Scheme.</w:t>
      </w:r>
    </w:p>
    <w:p w14:paraId="70E86B9B" w14:textId="77777777" w:rsidR="00B739C3" w:rsidRPr="001E5747" w:rsidRDefault="00B739C3" w:rsidP="00B739C3">
      <w:pPr>
        <w:rPr>
          <w:rFonts w:asciiTheme="majorHAnsi" w:hAnsiTheme="majorHAnsi"/>
          <w:sz w:val="21"/>
          <w:szCs w:val="21"/>
          <w:lang w:val="en-GB"/>
        </w:rPr>
      </w:pPr>
    </w:p>
    <w:p w14:paraId="1F750655" w14:textId="77777777" w:rsidR="00B739C3" w:rsidRPr="001E5747" w:rsidRDefault="00B739C3" w:rsidP="00B739C3">
      <w:pPr>
        <w:rPr>
          <w:rFonts w:asciiTheme="majorHAnsi" w:hAnsiTheme="majorHAnsi"/>
          <w:sz w:val="21"/>
          <w:szCs w:val="21"/>
          <w:lang w:val="en-GB"/>
        </w:rPr>
      </w:pPr>
      <w:bookmarkStart w:id="53" w:name="_Hlk61425159"/>
      <w:r w:rsidRPr="001E5747">
        <w:rPr>
          <w:rFonts w:asciiTheme="majorHAnsi" w:hAnsiTheme="majorHAnsi"/>
          <w:sz w:val="21"/>
          <w:szCs w:val="21"/>
          <w:lang w:val="en-GB"/>
        </w:rPr>
        <w:t xml:space="preserve">The duties of the </w:t>
      </w:r>
      <w:r w:rsidR="00091613" w:rsidRPr="001E5747">
        <w:rPr>
          <w:rFonts w:asciiTheme="majorHAnsi" w:hAnsiTheme="majorHAnsi"/>
          <w:sz w:val="21"/>
          <w:szCs w:val="21"/>
          <w:lang w:val="en-GB"/>
        </w:rPr>
        <w:t>Appeals Commission</w:t>
      </w:r>
      <w:r w:rsidRPr="001E5747">
        <w:rPr>
          <w:rFonts w:asciiTheme="majorHAnsi" w:hAnsiTheme="majorHAnsi"/>
          <w:sz w:val="21"/>
          <w:szCs w:val="21"/>
          <w:lang w:val="en-GB"/>
        </w:rPr>
        <w:t xml:space="preserve"> are</w:t>
      </w:r>
      <w:bookmarkEnd w:id="53"/>
      <w:r w:rsidRPr="001E5747">
        <w:rPr>
          <w:rFonts w:asciiTheme="majorHAnsi" w:hAnsiTheme="majorHAnsi"/>
          <w:sz w:val="21"/>
          <w:szCs w:val="21"/>
          <w:lang w:val="en-GB"/>
        </w:rPr>
        <w:t>:</w:t>
      </w:r>
    </w:p>
    <w:p w14:paraId="6780A971" w14:textId="77777777" w:rsidR="00B739C3" w:rsidRPr="001E5747" w:rsidRDefault="00B739C3" w:rsidP="00B739C3">
      <w:pPr>
        <w:pStyle w:val="ListParagraph"/>
        <w:numPr>
          <w:ilvl w:val="0"/>
          <w:numId w:val="24"/>
        </w:numPr>
        <w:spacing w:after="0"/>
        <w:rPr>
          <w:rFonts w:asciiTheme="majorHAnsi" w:hAnsiTheme="majorHAnsi"/>
          <w:sz w:val="21"/>
          <w:szCs w:val="21"/>
          <w:lang w:val="en-GB"/>
        </w:rPr>
      </w:pPr>
      <w:r w:rsidRPr="001E5747">
        <w:rPr>
          <w:rFonts w:asciiTheme="majorHAnsi" w:hAnsiTheme="majorHAnsi"/>
          <w:sz w:val="21"/>
          <w:szCs w:val="21"/>
          <w:lang w:val="en-GB"/>
        </w:rPr>
        <w:t>Review of grant appeals submitted by municipalities;</w:t>
      </w:r>
    </w:p>
    <w:p w14:paraId="4DF14797" w14:textId="77777777" w:rsidR="00B739C3" w:rsidRPr="001E5747" w:rsidRDefault="008D5661" w:rsidP="00B739C3">
      <w:pPr>
        <w:pStyle w:val="ListParagraph"/>
        <w:numPr>
          <w:ilvl w:val="0"/>
          <w:numId w:val="24"/>
        </w:numPr>
        <w:spacing w:after="0"/>
        <w:rPr>
          <w:rFonts w:asciiTheme="majorHAnsi" w:hAnsiTheme="majorHAnsi"/>
          <w:sz w:val="21"/>
          <w:szCs w:val="21"/>
          <w:lang w:val="en-GB"/>
        </w:rPr>
      </w:pPr>
      <w:r>
        <w:rPr>
          <w:rFonts w:asciiTheme="majorHAnsi" w:hAnsiTheme="majorHAnsi"/>
          <w:sz w:val="21"/>
          <w:szCs w:val="21"/>
          <w:lang w:val="en-GB"/>
        </w:rPr>
        <w:t>Taking</w:t>
      </w:r>
      <w:r w:rsidRPr="001E5747">
        <w:rPr>
          <w:rFonts w:asciiTheme="majorHAnsi" w:hAnsiTheme="majorHAnsi"/>
          <w:sz w:val="21"/>
          <w:szCs w:val="21"/>
          <w:lang w:val="en-GB"/>
        </w:rPr>
        <w:t xml:space="preserve"> </w:t>
      </w:r>
      <w:r w:rsidR="00B739C3" w:rsidRPr="001E5747">
        <w:rPr>
          <w:rFonts w:asciiTheme="majorHAnsi" w:hAnsiTheme="majorHAnsi"/>
          <w:sz w:val="21"/>
          <w:szCs w:val="21"/>
          <w:lang w:val="en-GB"/>
        </w:rPr>
        <w:t>decisions on appeals submitted.</w:t>
      </w:r>
    </w:p>
    <w:p w14:paraId="3C544924" w14:textId="77777777" w:rsidR="00B739C3" w:rsidRPr="001E5747" w:rsidRDefault="00B739C3" w:rsidP="00B739C3">
      <w:pPr>
        <w:rPr>
          <w:rFonts w:asciiTheme="majorHAnsi" w:hAnsiTheme="majorHAnsi"/>
          <w:sz w:val="21"/>
          <w:szCs w:val="21"/>
          <w:lang w:val="en-GB"/>
        </w:rPr>
      </w:pPr>
      <w:r w:rsidRPr="001E5747">
        <w:rPr>
          <w:rFonts w:asciiTheme="majorHAnsi" w:hAnsiTheme="majorHAnsi"/>
          <w:sz w:val="21"/>
          <w:szCs w:val="21"/>
          <w:lang w:val="en-GB"/>
        </w:rPr>
        <w:t xml:space="preserve">The </w:t>
      </w:r>
      <w:r w:rsidR="00091613" w:rsidRPr="001E5747">
        <w:rPr>
          <w:rFonts w:asciiTheme="majorHAnsi" w:hAnsiTheme="majorHAnsi"/>
          <w:sz w:val="21"/>
          <w:szCs w:val="21"/>
          <w:lang w:val="en-GB"/>
        </w:rPr>
        <w:t>Appeals Commission</w:t>
      </w:r>
      <w:r w:rsidRPr="001E5747">
        <w:rPr>
          <w:rFonts w:asciiTheme="majorHAnsi" w:hAnsiTheme="majorHAnsi"/>
          <w:sz w:val="21"/>
          <w:szCs w:val="21"/>
          <w:lang w:val="en-GB"/>
        </w:rPr>
        <w:t xml:space="preserve"> consists of 3 members</w:t>
      </w:r>
      <w:r w:rsidR="00091613" w:rsidRPr="001E5747">
        <w:rPr>
          <w:rFonts w:asciiTheme="majorHAnsi" w:hAnsiTheme="majorHAnsi"/>
          <w:sz w:val="21"/>
          <w:szCs w:val="21"/>
          <w:lang w:val="en-GB"/>
        </w:rPr>
        <w:t xml:space="preserve"> and 2 observers</w:t>
      </w:r>
      <w:r w:rsidRPr="001E5747">
        <w:rPr>
          <w:rFonts w:asciiTheme="majorHAnsi" w:hAnsiTheme="majorHAnsi"/>
          <w:sz w:val="21"/>
          <w:szCs w:val="21"/>
          <w:lang w:val="en-GB"/>
        </w:rPr>
        <w:t>:</w:t>
      </w:r>
    </w:p>
    <w:p w14:paraId="0886C964" w14:textId="77777777" w:rsidR="00B739C3" w:rsidRPr="001E5747" w:rsidRDefault="00B739C3" w:rsidP="00B739C3">
      <w:pPr>
        <w:pStyle w:val="ListParagraph"/>
        <w:numPr>
          <w:ilvl w:val="0"/>
          <w:numId w:val="36"/>
        </w:numPr>
        <w:spacing w:after="0"/>
        <w:rPr>
          <w:rFonts w:asciiTheme="majorHAnsi" w:hAnsiTheme="majorHAnsi"/>
          <w:sz w:val="21"/>
          <w:szCs w:val="21"/>
          <w:lang w:val="en-GB"/>
        </w:rPr>
      </w:pPr>
      <w:r w:rsidRPr="001E5747">
        <w:rPr>
          <w:rFonts w:asciiTheme="majorHAnsi" w:hAnsiTheme="majorHAnsi"/>
          <w:sz w:val="21"/>
          <w:szCs w:val="21"/>
          <w:lang w:val="en-GB"/>
        </w:rPr>
        <w:t>2 representatives from MLG</w:t>
      </w:r>
      <w:r w:rsidR="00C06C3E">
        <w:rPr>
          <w:rFonts w:asciiTheme="majorHAnsi" w:hAnsiTheme="majorHAnsi"/>
          <w:sz w:val="21"/>
          <w:szCs w:val="21"/>
          <w:lang w:val="en-GB"/>
        </w:rPr>
        <w:t>A</w:t>
      </w:r>
      <w:r w:rsidRPr="001E5747">
        <w:rPr>
          <w:rFonts w:asciiTheme="majorHAnsi" w:hAnsiTheme="majorHAnsi"/>
          <w:sz w:val="21"/>
          <w:szCs w:val="21"/>
          <w:lang w:val="en-GB"/>
        </w:rPr>
        <w:t xml:space="preserve"> (one of them Chairperson)</w:t>
      </w:r>
    </w:p>
    <w:p w14:paraId="35E8B69A" w14:textId="20D80734" w:rsidR="00091613" w:rsidRPr="001E5747" w:rsidRDefault="00B739C3" w:rsidP="00B739C3">
      <w:pPr>
        <w:pStyle w:val="ListParagraph"/>
        <w:numPr>
          <w:ilvl w:val="0"/>
          <w:numId w:val="36"/>
        </w:numPr>
        <w:spacing w:after="0"/>
        <w:rPr>
          <w:rFonts w:asciiTheme="majorHAnsi" w:hAnsiTheme="majorHAnsi"/>
          <w:sz w:val="21"/>
          <w:szCs w:val="21"/>
          <w:lang w:val="en-GB"/>
        </w:rPr>
      </w:pPr>
      <w:r w:rsidRPr="001E5747">
        <w:rPr>
          <w:rFonts w:asciiTheme="majorHAnsi" w:hAnsiTheme="majorHAnsi"/>
          <w:sz w:val="21"/>
          <w:szCs w:val="21"/>
          <w:lang w:val="en-GB"/>
        </w:rPr>
        <w:t>1 external representative</w:t>
      </w:r>
      <w:r w:rsidR="002E66CA">
        <w:rPr>
          <w:rFonts w:asciiTheme="majorHAnsi" w:hAnsiTheme="majorHAnsi"/>
          <w:sz w:val="21"/>
          <w:szCs w:val="21"/>
          <w:lang w:val="en-GB"/>
        </w:rPr>
        <w:t xml:space="preserve"> (from a CSO)</w:t>
      </w:r>
    </w:p>
    <w:p w14:paraId="3BB21168" w14:textId="76DC51B5" w:rsidR="00B739C3" w:rsidRPr="001E5747" w:rsidRDefault="00091613" w:rsidP="00B739C3">
      <w:pPr>
        <w:pStyle w:val="ListParagraph"/>
        <w:numPr>
          <w:ilvl w:val="0"/>
          <w:numId w:val="36"/>
        </w:numPr>
        <w:spacing w:after="0"/>
        <w:rPr>
          <w:rFonts w:asciiTheme="majorHAnsi" w:hAnsiTheme="majorHAnsi"/>
          <w:sz w:val="21"/>
          <w:szCs w:val="21"/>
          <w:lang w:val="en-GB"/>
        </w:rPr>
      </w:pPr>
      <w:r w:rsidRPr="001E5747">
        <w:rPr>
          <w:rFonts w:asciiTheme="majorHAnsi" w:hAnsiTheme="majorHAnsi"/>
          <w:sz w:val="21"/>
          <w:szCs w:val="21"/>
          <w:lang w:val="en-GB"/>
        </w:rPr>
        <w:t xml:space="preserve">2 observers from </w:t>
      </w:r>
      <w:r w:rsidR="00322FF3">
        <w:rPr>
          <w:rFonts w:asciiTheme="majorHAnsi" w:hAnsiTheme="majorHAnsi"/>
          <w:sz w:val="21"/>
          <w:szCs w:val="21"/>
          <w:lang w:val="en-GB"/>
        </w:rPr>
        <w:t xml:space="preserve">the </w:t>
      </w:r>
      <w:r w:rsidRPr="001E5747">
        <w:rPr>
          <w:rFonts w:asciiTheme="majorHAnsi" w:hAnsiTheme="majorHAnsi"/>
          <w:sz w:val="21"/>
          <w:szCs w:val="21"/>
          <w:lang w:val="en-GB"/>
        </w:rPr>
        <w:t>DEMOS</w:t>
      </w:r>
      <w:r w:rsidR="00322FF3">
        <w:rPr>
          <w:rFonts w:asciiTheme="majorHAnsi" w:hAnsiTheme="majorHAnsi"/>
          <w:sz w:val="21"/>
          <w:szCs w:val="21"/>
          <w:lang w:val="en-GB"/>
        </w:rPr>
        <w:t xml:space="preserve"> project</w:t>
      </w:r>
    </w:p>
    <w:p w14:paraId="7D3A80A4" w14:textId="7F5B9AE3" w:rsidR="00912C92" w:rsidRDefault="00912C92" w:rsidP="00B739C3">
      <w:pPr>
        <w:rPr>
          <w:rFonts w:asciiTheme="majorHAnsi" w:hAnsiTheme="majorHAnsi"/>
          <w:sz w:val="21"/>
          <w:szCs w:val="21"/>
          <w:lang w:val="en-GB"/>
        </w:rPr>
      </w:pPr>
    </w:p>
    <w:p w14:paraId="7852050D" w14:textId="1508BCDC" w:rsidR="00912C92" w:rsidRDefault="00912C92" w:rsidP="00B739C3">
      <w:pPr>
        <w:rPr>
          <w:rFonts w:asciiTheme="majorHAnsi" w:hAnsiTheme="majorHAnsi"/>
          <w:sz w:val="21"/>
          <w:szCs w:val="21"/>
          <w:lang w:val="en-GB"/>
        </w:rPr>
      </w:pPr>
      <w:r>
        <w:rPr>
          <w:rFonts w:asciiTheme="majorHAnsi" w:hAnsiTheme="majorHAnsi"/>
          <w:sz w:val="21"/>
          <w:szCs w:val="21"/>
          <w:lang w:val="en-GB"/>
        </w:rPr>
        <w:t>The Appeals Commission will not review the complaints related to the data source used during the assessment.</w:t>
      </w:r>
    </w:p>
    <w:p w14:paraId="631DC53A" w14:textId="77777777" w:rsidR="00DD1A72" w:rsidRDefault="00DD1A72" w:rsidP="00B739C3">
      <w:pPr>
        <w:rPr>
          <w:rFonts w:asciiTheme="majorHAnsi" w:hAnsiTheme="majorHAnsi"/>
          <w:sz w:val="21"/>
          <w:szCs w:val="21"/>
          <w:lang w:val="en-GB"/>
        </w:rPr>
      </w:pPr>
    </w:p>
    <w:p w14:paraId="2DEB387E" w14:textId="77777777" w:rsidR="00B739C3" w:rsidRPr="001E5747" w:rsidRDefault="00B739C3" w:rsidP="00B739C3">
      <w:pPr>
        <w:rPr>
          <w:rFonts w:asciiTheme="majorHAnsi" w:hAnsiTheme="majorHAnsi"/>
          <w:sz w:val="21"/>
          <w:szCs w:val="21"/>
          <w:lang w:val="en-GB"/>
        </w:rPr>
      </w:pPr>
      <w:r w:rsidRPr="001E5747">
        <w:rPr>
          <w:rFonts w:asciiTheme="majorHAnsi" w:hAnsiTheme="majorHAnsi"/>
          <w:sz w:val="21"/>
          <w:szCs w:val="21"/>
          <w:lang w:val="en-GB"/>
        </w:rPr>
        <w:t xml:space="preserve">Members of the grant commission or technical group may not be members of the </w:t>
      </w:r>
      <w:r w:rsidR="00091613" w:rsidRPr="001E5747">
        <w:rPr>
          <w:rFonts w:asciiTheme="majorHAnsi" w:hAnsiTheme="majorHAnsi"/>
          <w:sz w:val="21"/>
          <w:szCs w:val="21"/>
          <w:lang w:val="en-GB"/>
        </w:rPr>
        <w:t>Appeals Commission</w:t>
      </w:r>
      <w:r w:rsidRPr="001E5747">
        <w:rPr>
          <w:rFonts w:asciiTheme="majorHAnsi" w:hAnsiTheme="majorHAnsi"/>
          <w:sz w:val="21"/>
          <w:szCs w:val="21"/>
          <w:lang w:val="en-GB"/>
        </w:rPr>
        <w:t>.</w:t>
      </w:r>
    </w:p>
    <w:p w14:paraId="33E2FDBC" w14:textId="77777777" w:rsidR="00B739C3" w:rsidRPr="001E5747" w:rsidRDefault="00B739C3" w:rsidP="00B739C3">
      <w:pPr>
        <w:rPr>
          <w:rFonts w:asciiTheme="majorHAnsi" w:hAnsiTheme="majorHAnsi"/>
          <w:sz w:val="21"/>
          <w:szCs w:val="21"/>
          <w:lang w:val="en-GB"/>
        </w:rPr>
      </w:pPr>
    </w:p>
    <w:p w14:paraId="262CE579" w14:textId="73BC85B4" w:rsidR="00B739C3" w:rsidRPr="001E5747" w:rsidRDefault="00B739C3" w:rsidP="00B739C3">
      <w:pPr>
        <w:pStyle w:val="Heading1"/>
        <w:tabs>
          <w:tab w:val="left" w:pos="540"/>
        </w:tabs>
        <w:rPr>
          <w:rFonts w:asciiTheme="majorHAnsi" w:hAnsiTheme="majorHAnsi" w:cstheme="majorHAnsi"/>
          <w:sz w:val="24"/>
          <w:szCs w:val="21"/>
          <w:lang w:val="en-GB"/>
        </w:rPr>
      </w:pPr>
      <w:bookmarkStart w:id="54" w:name="_Toc61062532"/>
      <w:r w:rsidRPr="001E5747">
        <w:rPr>
          <w:rFonts w:asciiTheme="majorHAnsi" w:hAnsiTheme="majorHAnsi" w:cstheme="majorHAnsi"/>
          <w:sz w:val="24"/>
          <w:szCs w:val="21"/>
          <w:lang w:val="en-GB"/>
        </w:rPr>
        <w:t xml:space="preserve">3.1.4. </w:t>
      </w:r>
      <w:bookmarkEnd w:id="54"/>
      <w:r w:rsidR="00EA7257">
        <w:rPr>
          <w:rFonts w:asciiTheme="majorHAnsi" w:hAnsiTheme="majorHAnsi" w:cstheme="majorHAnsi"/>
          <w:sz w:val="24"/>
          <w:szCs w:val="21"/>
          <w:lang w:val="en-GB"/>
        </w:rPr>
        <w:t xml:space="preserve">Working </w:t>
      </w:r>
      <w:r w:rsidRPr="001E5747">
        <w:rPr>
          <w:rFonts w:asciiTheme="majorHAnsi" w:hAnsiTheme="majorHAnsi" w:cstheme="majorHAnsi"/>
          <w:sz w:val="24"/>
          <w:szCs w:val="21"/>
          <w:lang w:val="en-GB"/>
        </w:rPr>
        <w:t xml:space="preserve">Group </w:t>
      </w:r>
      <w:r w:rsidR="00EA7257">
        <w:rPr>
          <w:rFonts w:asciiTheme="majorHAnsi" w:hAnsiTheme="majorHAnsi" w:cstheme="majorHAnsi"/>
          <w:sz w:val="24"/>
          <w:szCs w:val="21"/>
          <w:lang w:val="en-GB"/>
        </w:rPr>
        <w:t>r</w:t>
      </w:r>
      <w:r w:rsidRPr="001E5747">
        <w:rPr>
          <w:rFonts w:asciiTheme="majorHAnsi" w:hAnsiTheme="majorHAnsi" w:cstheme="majorHAnsi"/>
          <w:sz w:val="24"/>
          <w:szCs w:val="21"/>
          <w:lang w:val="en-GB"/>
        </w:rPr>
        <w:t>esponsible for drafting MPG Rules</w:t>
      </w:r>
    </w:p>
    <w:p w14:paraId="236C1412" w14:textId="77777777" w:rsidR="00EA7257" w:rsidRDefault="00EA7257" w:rsidP="00B739C3">
      <w:pPr>
        <w:rPr>
          <w:rStyle w:val="Heading1Char"/>
          <w:rFonts w:asciiTheme="majorHAnsi" w:hAnsiTheme="majorHAnsi" w:cstheme="majorHAnsi"/>
          <w:b w:val="0"/>
          <w:sz w:val="21"/>
          <w:szCs w:val="21"/>
          <w:lang w:val="en-GB"/>
        </w:rPr>
      </w:pPr>
      <w:bookmarkStart w:id="55" w:name="_Toc61062360"/>
      <w:bookmarkStart w:id="56" w:name="_Toc61062533"/>
    </w:p>
    <w:p w14:paraId="044ACA76" w14:textId="77777777" w:rsidR="00B739C3" w:rsidRPr="001E5747" w:rsidRDefault="00EA7257" w:rsidP="00B739C3">
      <w:pPr>
        <w:rPr>
          <w:b/>
          <w:lang w:val="en-GB"/>
        </w:rPr>
      </w:pPr>
      <w:r>
        <w:rPr>
          <w:rStyle w:val="Heading1Char"/>
          <w:rFonts w:asciiTheme="majorHAnsi" w:hAnsiTheme="majorHAnsi" w:cstheme="majorHAnsi"/>
          <w:b w:val="0"/>
          <w:sz w:val="21"/>
          <w:szCs w:val="21"/>
          <w:lang w:val="en-GB"/>
        </w:rPr>
        <w:t xml:space="preserve">The Working </w:t>
      </w:r>
      <w:r w:rsidRPr="00EA7257">
        <w:rPr>
          <w:rStyle w:val="Heading1Char"/>
          <w:rFonts w:asciiTheme="majorHAnsi" w:hAnsiTheme="majorHAnsi" w:cstheme="majorHAnsi"/>
          <w:b w:val="0"/>
          <w:sz w:val="21"/>
          <w:szCs w:val="21"/>
          <w:lang w:val="en-GB"/>
        </w:rPr>
        <w:t xml:space="preserve">Group </w:t>
      </w:r>
      <w:r>
        <w:rPr>
          <w:rStyle w:val="Heading1Char"/>
          <w:rFonts w:asciiTheme="majorHAnsi" w:hAnsiTheme="majorHAnsi" w:cstheme="majorHAnsi"/>
          <w:b w:val="0"/>
          <w:sz w:val="21"/>
          <w:szCs w:val="21"/>
          <w:lang w:val="en-GB"/>
        </w:rPr>
        <w:t>r</w:t>
      </w:r>
      <w:r w:rsidRPr="00EA7257">
        <w:rPr>
          <w:rStyle w:val="Heading1Char"/>
          <w:rFonts w:asciiTheme="majorHAnsi" w:hAnsiTheme="majorHAnsi" w:cstheme="majorHAnsi"/>
          <w:b w:val="0"/>
          <w:sz w:val="21"/>
          <w:szCs w:val="21"/>
          <w:lang w:val="en-GB"/>
        </w:rPr>
        <w:t xml:space="preserve">esponsible for drafting </w:t>
      </w:r>
      <w:r>
        <w:rPr>
          <w:rStyle w:val="Heading1Char"/>
          <w:rFonts w:asciiTheme="majorHAnsi" w:hAnsiTheme="majorHAnsi" w:cstheme="majorHAnsi"/>
          <w:b w:val="0"/>
          <w:sz w:val="21"/>
          <w:szCs w:val="21"/>
          <w:lang w:val="en-GB"/>
        </w:rPr>
        <w:t xml:space="preserve">these </w:t>
      </w:r>
      <w:r w:rsidRPr="00EA7257">
        <w:rPr>
          <w:rStyle w:val="Heading1Char"/>
          <w:rFonts w:asciiTheme="majorHAnsi" w:hAnsiTheme="majorHAnsi" w:cstheme="majorHAnsi"/>
          <w:b w:val="0"/>
          <w:sz w:val="21"/>
          <w:szCs w:val="21"/>
          <w:lang w:val="en-GB"/>
        </w:rPr>
        <w:t xml:space="preserve">MPG Rules </w:t>
      </w:r>
      <w:r w:rsidR="00B739C3" w:rsidRPr="001E5747">
        <w:rPr>
          <w:rStyle w:val="Heading1Char"/>
          <w:rFonts w:asciiTheme="majorHAnsi" w:hAnsiTheme="majorHAnsi" w:cstheme="majorHAnsi"/>
          <w:b w:val="0"/>
          <w:sz w:val="21"/>
          <w:szCs w:val="21"/>
          <w:lang w:val="en-GB"/>
        </w:rPr>
        <w:t>is established by decision of the General Secretary of MLG</w:t>
      </w:r>
      <w:r w:rsidR="00C06C3E">
        <w:rPr>
          <w:rStyle w:val="Heading1Char"/>
          <w:rFonts w:asciiTheme="majorHAnsi" w:hAnsiTheme="majorHAnsi" w:cstheme="majorHAnsi"/>
          <w:b w:val="0"/>
          <w:sz w:val="21"/>
          <w:szCs w:val="21"/>
          <w:lang w:val="en-GB"/>
        </w:rPr>
        <w:t>A</w:t>
      </w:r>
      <w:r w:rsidR="00B739C3" w:rsidRPr="001E5747">
        <w:rPr>
          <w:b/>
          <w:lang w:val="en-GB"/>
        </w:rPr>
        <w:t>.</w:t>
      </w:r>
      <w:bookmarkEnd w:id="55"/>
      <w:bookmarkEnd w:id="56"/>
    </w:p>
    <w:p w14:paraId="4445D520" w14:textId="77777777" w:rsidR="00B739C3" w:rsidRPr="001E5747" w:rsidRDefault="00B739C3" w:rsidP="00B739C3">
      <w:pPr>
        <w:spacing w:line="264" w:lineRule="auto"/>
        <w:jc w:val="both"/>
        <w:rPr>
          <w:rFonts w:asciiTheme="majorHAnsi" w:hAnsiTheme="majorHAnsi" w:cstheme="majorHAnsi"/>
          <w:sz w:val="21"/>
          <w:szCs w:val="21"/>
          <w:lang w:val="en-GB"/>
        </w:rPr>
      </w:pPr>
    </w:p>
    <w:p w14:paraId="460E18AC" w14:textId="77777777" w:rsidR="00B739C3" w:rsidRPr="001E5747" w:rsidRDefault="00B739C3" w:rsidP="00B739C3">
      <w:pPr>
        <w:spacing w:line="264" w:lineRule="auto"/>
        <w:jc w:val="both"/>
        <w:rPr>
          <w:rFonts w:asciiTheme="majorHAnsi" w:hAnsiTheme="majorHAnsi" w:cstheme="majorHAnsi"/>
          <w:sz w:val="21"/>
          <w:szCs w:val="21"/>
          <w:lang w:val="en-GB"/>
        </w:rPr>
      </w:pPr>
      <w:r w:rsidRPr="001E5747">
        <w:rPr>
          <w:rFonts w:asciiTheme="majorHAnsi" w:hAnsiTheme="majorHAnsi" w:cstheme="majorHAnsi"/>
          <w:sz w:val="21"/>
          <w:szCs w:val="21"/>
          <w:lang w:val="en-GB"/>
        </w:rPr>
        <w:t>The working group is responsible for:</w:t>
      </w:r>
    </w:p>
    <w:p w14:paraId="25D5557A" w14:textId="77777777" w:rsidR="00B739C3" w:rsidRPr="001E5747" w:rsidRDefault="00B739C3" w:rsidP="00B739C3">
      <w:pPr>
        <w:pStyle w:val="ListParagraph"/>
        <w:numPr>
          <w:ilvl w:val="0"/>
          <w:numId w:val="37"/>
        </w:numPr>
        <w:spacing w:after="0" w:line="264" w:lineRule="auto"/>
        <w:jc w:val="both"/>
        <w:rPr>
          <w:rFonts w:asciiTheme="majorHAnsi" w:hAnsiTheme="majorHAnsi" w:cstheme="majorHAnsi"/>
          <w:sz w:val="21"/>
          <w:szCs w:val="21"/>
          <w:lang w:val="en-GB"/>
        </w:rPr>
      </w:pPr>
      <w:r w:rsidRPr="001E5747">
        <w:rPr>
          <w:rFonts w:asciiTheme="majorHAnsi" w:hAnsiTheme="majorHAnsi" w:cstheme="majorHAnsi"/>
          <w:sz w:val="21"/>
          <w:szCs w:val="21"/>
          <w:lang w:val="en-GB"/>
        </w:rPr>
        <w:t xml:space="preserve">Preparation of MPG rules before each </w:t>
      </w:r>
      <w:r w:rsidR="009767E2">
        <w:rPr>
          <w:rFonts w:asciiTheme="majorHAnsi" w:hAnsiTheme="majorHAnsi" w:cstheme="majorHAnsi"/>
          <w:sz w:val="21"/>
          <w:szCs w:val="21"/>
          <w:lang w:val="en-GB"/>
        </w:rPr>
        <w:t>assessment</w:t>
      </w:r>
      <w:r w:rsidRPr="001E5747">
        <w:rPr>
          <w:rFonts w:asciiTheme="majorHAnsi" w:hAnsiTheme="majorHAnsi" w:cstheme="majorHAnsi"/>
          <w:sz w:val="21"/>
          <w:szCs w:val="21"/>
          <w:lang w:val="en-GB"/>
        </w:rPr>
        <w:t xml:space="preserve"> cycle;</w:t>
      </w:r>
    </w:p>
    <w:p w14:paraId="043CFEBE" w14:textId="023A1039" w:rsidR="00B739C3" w:rsidRPr="001E5747" w:rsidRDefault="00B739C3" w:rsidP="00B739C3">
      <w:pPr>
        <w:pStyle w:val="ListParagraph"/>
        <w:numPr>
          <w:ilvl w:val="0"/>
          <w:numId w:val="37"/>
        </w:numPr>
        <w:spacing w:after="0" w:line="264" w:lineRule="auto"/>
        <w:jc w:val="both"/>
        <w:rPr>
          <w:rFonts w:asciiTheme="majorHAnsi" w:hAnsiTheme="majorHAnsi" w:cstheme="majorHAnsi"/>
          <w:sz w:val="21"/>
          <w:szCs w:val="21"/>
          <w:lang w:val="en-GB"/>
        </w:rPr>
      </w:pPr>
      <w:r w:rsidRPr="001E5747">
        <w:rPr>
          <w:rFonts w:asciiTheme="majorHAnsi" w:hAnsiTheme="majorHAnsi" w:cstheme="majorHAnsi"/>
          <w:sz w:val="21"/>
          <w:szCs w:val="21"/>
          <w:lang w:val="en-GB"/>
        </w:rPr>
        <w:t>Submitting the rules to the Secretary General of the MLG</w:t>
      </w:r>
      <w:r w:rsidR="00C06C3E">
        <w:rPr>
          <w:rFonts w:asciiTheme="majorHAnsi" w:hAnsiTheme="majorHAnsi" w:cstheme="majorHAnsi"/>
          <w:sz w:val="21"/>
          <w:szCs w:val="21"/>
          <w:lang w:val="en-GB"/>
        </w:rPr>
        <w:t>A</w:t>
      </w:r>
      <w:r w:rsidRPr="001E5747">
        <w:rPr>
          <w:rFonts w:asciiTheme="majorHAnsi" w:hAnsiTheme="majorHAnsi" w:cstheme="majorHAnsi"/>
          <w:sz w:val="21"/>
          <w:szCs w:val="21"/>
          <w:lang w:val="en-GB"/>
        </w:rPr>
        <w:t xml:space="preserve"> and </w:t>
      </w:r>
      <w:r w:rsidR="00EA7257">
        <w:rPr>
          <w:rFonts w:asciiTheme="majorHAnsi" w:hAnsiTheme="majorHAnsi" w:cstheme="majorHAnsi"/>
          <w:sz w:val="21"/>
          <w:szCs w:val="21"/>
          <w:lang w:val="en-GB"/>
        </w:rPr>
        <w:t>donors</w:t>
      </w:r>
      <w:r w:rsidR="00EA7257" w:rsidRPr="001E5747">
        <w:rPr>
          <w:rFonts w:asciiTheme="majorHAnsi" w:hAnsiTheme="majorHAnsi" w:cstheme="majorHAnsi"/>
          <w:sz w:val="21"/>
          <w:szCs w:val="21"/>
          <w:lang w:val="en-GB"/>
        </w:rPr>
        <w:t xml:space="preserve"> </w:t>
      </w:r>
      <w:r w:rsidRPr="001E5747">
        <w:rPr>
          <w:rFonts w:asciiTheme="majorHAnsi" w:hAnsiTheme="majorHAnsi" w:cstheme="majorHAnsi"/>
          <w:sz w:val="21"/>
          <w:szCs w:val="21"/>
          <w:lang w:val="en-GB"/>
        </w:rPr>
        <w:t>for approval;</w:t>
      </w:r>
    </w:p>
    <w:p w14:paraId="33057533" w14:textId="77777777" w:rsidR="00B739C3" w:rsidRPr="001E5747" w:rsidRDefault="00B739C3" w:rsidP="00B739C3">
      <w:pPr>
        <w:tabs>
          <w:tab w:val="left" w:pos="1710"/>
        </w:tabs>
        <w:spacing w:line="264" w:lineRule="auto"/>
        <w:ind w:left="540"/>
        <w:jc w:val="both"/>
        <w:rPr>
          <w:rFonts w:asciiTheme="majorHAnsi" w:hAnsiTheme="majorHAnsi" w:cstheme="majorHAnsi"/>
          <w:b/>
          <w:sz w:val="21"/>
          <w:szCs w:val="21"/>
          <w:lang w:val="en-GB"/>
        </w:rPr>
      </w:pPr>
    </w:p>
    <w:p w14:paraId="736DE583" w14:textId="77777777" w:rsidR="00B739C3" w:rsidRPr="001E5747" w:rsidRDefault="00B739C3" w:rsidP="00B739C3">
      <w:pPr>
        <w:tabs>
          <w:tab w:val="left" w:pos="1710"/>
        </w:tabs>
        <w:spacing w:line="264" w:lineRule="auto"/>
        <w:jc w:val="both"/>
        <w:rPr>
          <w:rFonts w:asciiTheme="majorHAnsi" w:hAnsiTheme="majorHAnsi" w:cstheme="majorHAnsi"/>
          <w:color w:val="000000" w:themeColor="text1"/>
          <w:sz w:val="21"/>
          <w:szCs w:val="21"/>
          <w:lang w:val="en-GB"/>
        </w:rPr>
      </w:pPr>
      <w:r w:rsidRPr="001E5747">
        <w:rPr>
          <w:rFonts w:asciiTheme="majorHAnsi" w:hAnsiTheme="majorHAnsi" w:cstheme="majorHAnsi"/>
          <w:color w:val="000000" w:themeColor="text1"/>
          <w:sz w:val="21"/>
          <w:szCs w:val="21"/>
          <w:lang w:val="en-GB"/>
        </w:rPr>
        <w:t>The composition of the working group is established according to section 32.2 of Regulation 01/2020 on MPMS and the Performance Based Grant Scheme.</w:t>
      </w:r>
    </w:p>
    <w:p w14:paraId="5A0AD770" w14:textId="77777777" w:rsidR="00B739C3" w:rsidRPr="001E5747" w:rsidRDefault="00B739C3" w:rsidP="00B739C3">
      <w:pPr>
        <w:tabs>
          <w:tab w:val="left" w:pos="1710"/>
        </w:tabs>
        <w:spacing w:line="264" w:lineRule="auto"/>
        <w:jc w:val="both"/>
        <w:rPr>
          <w:rFonts w:asciiTheme="majorHAnsi" w:hAnsiTheme="majorHAnsi" w:cstheme="majorHAnsi"/>
          <w:color w:val="000000" w:themeColor="text1"/>
          <w:sz w:val="21"/>
          <w:szCs w:val="21"/>
          <w:lang w:val="en-GB"/>
        </w:rPr>
      </w:pPr>
    </w:p>
    <w:p w14:paraId="6CF7BF79" w14:textId="77777777" w:rsidR="00B739C3" w:rsidRPr="00352C4A" w:rsidRDefault="00B739C3" w:rsidP="00352C4A">
      <w:pPr>
        <w:tabs>
          <w:tab w:val="left" w:pos="1710"/>
        </w:tabs>
        <w:spacing w:line="264" w:lineRule="auto"/>
        <w:jc w:val="both"/>
        <w:rPr>
          <w:rFonts w:asciiTheme="majorHAnsi" w:hAnsiTheme="majorHAnsi" w:cstheme="majorHAnsi"/>
          <w:color w:val="000000" w:themeColor="text1"/>
          <w:sz w:val="21"/>
          <w:szCs w:val="21"/>
          <w:lang w:val="en-GB"/>
        </w:rPr>
      </w:pPr>
      <w:r w:rsidRPr="001E5747">
        <w:rPr>
          <w:rFonts w:asciiTheme="majorHAnsi" w:hAnsiTheme="majorHAnsi" w:cstheme="majorHAnsi"/>
          <w:color w:val="000000" w:themeColor="text1"/>
          <w:sz w:val="21"/>
          <w:szCs w:val="21"/>
          <w:lang w:val="en-GB"/>
        </w:rPr>
        <w:t xml:space="preserve">Working group </w:t>
      </w:r>
      <w:r w:rsidRPr="001E5747">
        <w:rPr>
          <w:rFonts w:asciiTheme="majorHAnsi" w:hAnsiTheme="majorHAnsi"/>
          <w:sz w:val="21"/>
          <w:szCs w:val="21"/>
          <w:lang w:val="en-GB"/>
        </w:rPr>
        <w:t>consists of 2 MLG</w:t>
      </w:r>
      <w:r w:rsidR="00C06C3E">
        <w:rPr>
          <w:rFonts w:asciiTheme="majorHAnsi" w:hAnsiTheme="majorHAnsi"/>
          <w:sz w:val="21"/>
          <w:szCs w:val="21"/>
          <w:lang w:val="en-GB"/>
        </w:rPr>
        <w:t>A</w:t>
      </w:r>
      <w:r w:rsidRPr="001E5747">
        <w:rPr>
          <w:rFonts w:asciiTheme="majorHAnsi" w:hAnsiTheme="majorHAnsi"/>
          <w:sz w:val="21"/>
          <w:szCs w:val="21"/>
          <w:lang w:val="en-GB"/>
        </w:rPr>
        <w:t xml:space="preserve"> officials (one chairperson) and 2 DEMOS project </w:t>
      </w:r>
      <w:r w:rsidR="00EA7257">
        <w:rPr>
          <w:rFonts w:asciiTheme="majorHAnsi" w:hAnsiTheme="majorHAnsi"/>
          <w:sz w:val="21"/>
          <w:szCs w:val="21"/>
          <w:lang w:val="en-GB"/>
        </w:rPr>
        <w:t xml:space="preserve">representatives </w:t>
      </w:r>
      <w:r w:rsidRPr="001E5747">
        <w:rPr>
          <w:rFonts w:asciiTheme="majorHAnsi" w:hAnsiTheme="majorHAnsi"/>
          <w:sz w:val="21"/>
          <w:szCs w:val="21"/>
          <w:lang w:val="en-GB"/>
        </w:rPr>
        <w:t xml:space="preserve">(as representatives of </w:t>
      </w:r>
      <w:r w:rsidR="00EA7257">
        <w:rPr>
          <w:rFonts w:asciiTheme="majorHAnsi" w:hAnsiTheme="majorHAnsi"/>
          <w:sz w:val="21"/>
          <w:szCs w:val="21"/>
          <w:lang w:val="en-GB"/>
        </w:rPr>
        <w:t>donors</w:t>
      </w:r>
      <w:r w:rsidRPr="001E5747">
        <w:rPr>
          <w:rFonts w:asciiTheme="majorHAnsi" w:hAnsiTheme="majorHAnsi"/>
          <w:sz w:val="21"/>
          <w:szCs w:val="21"/>
          <w:lang w:val="en-GB"/>
        </w:rPr>
        <w:t>).</w:t>
      </w:r>
    </w:p>
    <w:p w14:paraId="77797259" w14:textId="77777777" w:rsidR="00B739C3" w:rsidRPr="001E5747" w:rsidRDefault="00B739C3" w:rsidP="00B739C3">
      <w:pPr>
        <w:pStyle w:val="ListParagraph"/>
        <w:tabs>
          <w:tab w:val="left" w:pos="1710"/>
        </w:tabs>
        <w:spacing w:before="20" w:after="0" w:line="264" w:lineRule="auto"/>
        <w:ind w:left="839"/>
        <w:jc w:val="both"/>
        <w:rPr>
          <w:rFonts w:asciiTheme="majorHAnsi" w:hAnsiTheme="majorHAnsi"/>
          <w:sz w:val="21"/>
          <w:szCs w:val="21"/>
          <w:lang w:val="en-GB"/>
        </w:rPr>
      </w:pPr>
    </w:p>
    <w:p w14:paraId="0924C808" w14:textId="77777777" w:rsidR="00B739C3" w:rsidRPr="001E5747" w:rsidRDefault="00CD626C" w:rsidP="00B739C3">
      <w:pPr>
        <w:pStyle w:val="Heading1"/>
        <w:numPr>
          <w:ilvl w:val="1"/>
          <w:numId w:val="7"/>
        </w:numPr>
        <w:tabs>
          <w:tab w:val="left" w:pos="540"/>
        </w:tabs>
        <w:ind w:hanging="1800"/>
        <w:rPr>
          <w:rFonts w:asciiTheme="majorHAnsi" w:hAnsiTheme="majorHAnsi"/>
          <w:color w:val="C0504D"/>
          <w:szCs w:val="28"/>
          <w:lang w:val="en-GB"/>
        </w:rPr>
      </w:pPr>
      <w:r w:rsidRPr="001E5747">
        <w:rPr>
          <w:rFonts w:asciiTheme="majorHAnsi" w:hAnsiTheme="majorHAnsi"/>
          <w:color w:val="C0504D"/>
          <w:szCs w:val="28"/>
          <w:lang w:val="en-GB"/>
        </w:rPr>
        <w:t>Timeline</w:t>
      </w:r>
    </w:p>
    <w:p w14:paraId="631A8C95" w14:textId="0B8CD818" w:rsidR="00B739C3" w:rsidRPr="001E5747" w:rsidRDefault="00B739C3" w:rsidP="00B739C3">
      <w:pPr>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t xml:space="preserve">The MPG </w:t>
      </w:r>
      <w:r w:rsidR="009767E2">
        <w:rPr>
          <w:rFonts w:asciiTheme="majorHAnsi" w:hAnsiTheme="majorHAnsi"/>
          <w:sz w:val="21"/>
          <w:szCs w:val="21"/>
          <w:lang w:val="en-GB"/>
        </w:rPr>
        <w:t>assessment</w:t>
      </w:r>
      <w:r w:rsidRPr="001E5747">
        <w:rPr>
          <w:rFonts w:asciiTheme="majorHAnsi" w:hAnsiTheme="majorHAnsi"/>
          <w:sz w:val="21"/>
          <w:szCs w:val="21"/>
          <w:lang w:val="en-GB"/>
        </w:rPr>
        <w:t xml:space="preserve"> process </w:t>
      </w:r>
      <w:r w:rsidR="00CD626C" w:rsidRPr="001E5747">
        <w:rPr>
          <w:rFonts w:asciiTheme="majorHAnsi" w:hAnsiTheme="majorHAnsi"/>
          <w:sz w:val="21"/>
          <w:szCs w:val="21"/>
          <w:lang w:val="en-GB"/>
        </w:rPr>
        <w:t>starts</w:t>
      </w:r>
      <w:r w:rsidRPr="001E5747">
        <w:rPr>
          <w:rFonts w:asciiTheme="majorHAnsi" w:hAnsiTheme="majorHAnsi"/>
          <w:sz w:val="21"/>
          <w:szCs w:val="21"/>
          <w:lang w:val="en-GB"/>
        </w:rPr>
        <w:t xml:space="preserve"> each year when </w:t>
      </w:r>
      <w:r w:rsidR="00CD626C" w:rsidRPr="001E5747">
        <w:rPr>
          <w:rFonts w:asciiTheme="majorHAnsi" w:hAnsiTheme="majorHAnsi"/>
          <w:sz w:val="21"/>
          <w:szCs w:val="21"/>
          <w:lang w:val="en-GB"/>
        </w:rPr>
        <w:t xml:space="preserve">the </w:t>
      </w:r>
      <w:r w:rsidRPr="001E5747">
        <w:rPr>
          <w:rFonts w:asciiTheme="majorHAnsi" w:hAnsiTheme="majorHAnsi"/>
          <w:sz w:val="21"/>
          <w:szCs w:val="21"/>
          <w:lang w:val="en-GB"/>
        </w:rPr>
        <w:t xml:space="preserve">data </w:t>
      </w:r>
      <w:r w:rsidR="00CD626C" w:rsidRPr="001E5747">
        <w:rPr>
          <w:rFonts w:asciiTheme="majorHAnsi" w:hAnsiTheme="majorHAnsi"/>
          <w:sz w:val="21"/>
          <w:szCs w:val="21"/>
          <w:lang w:val="en-GB"/>
        </w:rPr>
        <w:t>regarding</w:t>
      </w:r>
      <w:r w:rsidRPr="001E5747">
        <w:rPr>
          <w:rFonts w:asciiTheme="majorHAnsi" w:hAnsiTheme="majorHAnsi"/>
          <w:sz w:val="21"/>
          <w:szCs w:val="21"/>
          <w:lang w:val="en-GB"/>
        </w:rPr>
        <w:t xml:space="preserve"> municipal performance becomes available. The table below shows the tentative grant allocation timeline for </w:t>
      </w:r>
      <w:r w:rsidR="002E66CA" w:rsidRPr="001E5747">
        <w:rPr>
          <w:rFonts w:asciiTheme="majorHAnsi" w:hAnsiTheme="majorHAnsi"/>
          <w:sz w:val="21"/>
          <w:szCs w:val="21"/>
          <w:lang w:val="en-GB"/>
        </w:rPr>
        <w:t>202</w:t>
      </w:r>
      <w:r w:rsidR="002E66CA">
        <w:rPr>
          <w:rFonts w:asciiTheme="majorHAnsi" w:hAnsiTheme="majorHAnsi"/>
          <w:sz w:val="21"/>
          <w:szCs w:val="21"/>
          <w:lang w:val="en-GB"/>
        </w:rPr>
        <w:t>3</w:t>
      </w:r>
      <w:r w:rsidR="002E66CA" w:rsidRPr="001E5747">
        <w:rPr>
          <w:rFonts w:asciiTheme="majorHAnsi" w:hAnsiTheme="majorHAnsi"/>
          <w:sz w:val="21"/>
          <w:szCs w:val="21"/>
          <w:lang w:val="en-GB"/>
        </w:rPr>
        <w:t xml:space="preserve"> </w:t>
      </w:r>
      <w:r w:rsidRPr="001E5747">
        <w:rPr>
          <w:rFonts w:asciiTheme="majorHAnsi" w:hAnsiTheme="majorHAnsi"/>
          <w:sz w:val="21"/>
          <w:szCs w:val="21"/>
          <w:lang w:val="en-GB"/>
        </w:rPr>
        <w:t xml:space="preserve">according to </w:t>
      </w:r>
      <w:r w:rsidR="002E66CA" w:rsidRPr="001E5747">
        <w:rPr>
          <w:rFonts w:asciiTheme="majorHAnsi" w:hAnsiTheme="majorHAnsi"/>
          <w:sz w:val="21"/>
          <w:szCs w:val="21"/>
          <w:lang w:val="en-GB"/>
        </w:rPr>
        <w:t>20</w:t>
      </w:r>
      <w:r w:rsidR="002E66CA">
        <w:rPr>
          <w:rFonts w:asciiTheme="majorHAnsi" w:hAnsiTheme="majorHAnsi"/>
          <w:sz w:val="21"/>
          <w:szCs w:val="21"/>
          <w:lang w:val="en-GB"/>
        </w:rPr>
        <w:t>21</w:t>
      </w:r>
      <w:r w:rsidR="002E66CA" w:rsidRPr="001E5747">
        <w:rPr>
          <w:rFonts w:asciiTheme="majorHAnsi" w:hAnsiTheme="majorHAnsi"/>
          <w:sz w:val="21"/>
          <w:szCs w:val="21"/>
          <w:lang w:val="en-GB"/>
        </w:rPr>
        <w:t xml:space="preserve"> </w:t>
      </w:r>
      <w:r w:rsidRPr="001E5747">
        <w:rPr>
          <w:rFonts w:asciiTheme="majorHAnsi" w:hAnsiTheme="majorHAnsi"/>
          <w:sz w:val="21"/>
          <w:szCs w:val="21"/>
          <w:lang w:val="en-GB"/>
        </w:rPr>
        <w:t>performance</w:t>
      </w:r>
      <w:r w:rsidR="007852A6">
        <w:rPr>
          <w:rFonts w:asciiTheme="majorHAnsi" w:hAnsiTheme="majorHAnsi"/>
          <w:sz w:val="21"/>
          <w:szCs w:val="21"/>
          <w:lang w:val="en-GB"/>
        </w:rPr>
        <w:t xml:space="preserve"> assessment</w:t>
      </w:r>
      <w:r w:rsidRPr="001E5747">
        <w:rPr>
          <w:rFonts w:asciiTheme="majorHAnsi" w:hAnsiTheme="majorHAnsi"/>
          <w:sz w:val="21"/>
          <w:szCs w:val="21"/>
          <w:lang w:val="en-GB"/>
        </w:rPr>
        <w:t>.</w:t>
      </w:r>
    </w:p>
    <w:p w14:paraId="0C901A61" w14:textId="77777777" w:rsidR="00B739C3" w:rsidRPr="001E5747" w:rsidRDefault="00B739C3" w:rsidP="00B739C3">
      <w:pPr>
        <w:spacing w:before="120" w:line="264" w:lineRule="auto"/>
        <w:jc w:val="both"/>
        <w:rPr>
          <w:rFonts w:asciiTheme="majorHAnsi" w:hAnsiTheme="majorHAnsi"/>
          <w:b/>
          <w:sz w:val="21"/>
          <w:szCs w:val="21"/>
          <w:lang w:val="en-GB"/>
        </w:rPr>
      </w:pPr>
      <w:r w:rsidRPr="001E5747">
        <w:rPr>
          <w:rFonts w:asciiTheme="majorHAnsi" w:hAnsiTheme="majorHAnsi"/>
          <w:b/>
          <w:sz w:val="21"/>
          <w:szCs w:val="21"/>
          <w:lang w:val="en-GB"/>
        </w:rPr>
        <w:t xml:space="preserve">Table 4: Tentative timeline of the </w:t>
      </w:r>
      <w:r w:rsidR="009767E2">
        <w:rPr>
          <w:rFonts w:asciiTheme="majorHAnsi" w:hAnsiTheme="majorHAnsi"/>
          <w:b/>
          <w:sz w:val="21"/>
          <w:szCs w:val="21"/>
          <w:lang w:val="en-GB"/>
        </w:rPr>
        <w:t>assessment</w:t>
      </w:r>
      <w:r w:rsidRPr="001E5747">
        <w:rPr>
          <w:rFonts w:asciiTheme="majorHAnsi" w:hAnsiTheme="majorHAnsi"/>
          <w:b/>
          <w:sz w:val="21"/>
          <w:szCs w:val="21"/>
          <w:lang w:val="en-GB"/>
        </w:rPr>
        <w:t xml:space="preserve"> process </w:t>
      </w:r>
    </w:p>
    <w:tbl>
      <w:tblPr>
        <w:tblStyle w:val="TableGrid"/>
        <w:tblW w:w="7285" w:type="dxa"/>
        <w:jc w:val="center"/>
        <w:tblLayout w:type="fixed"/>
        <w:tblLook w:val="04A0" w:firstRow="1" w:lastRow="0" w:firstColumn="1" w:lastColumn="0" w:noHBand="0" w:noVBand="1"/>
      </w:tblPr>
      <w:tblGrid>
        <w:gridCol w:w="4787"/>
        <w:gridCol w:w="2498"/>
      </w:tblGrid>
      <w:tr w:rsidR="00B739C3" w:rsidRPr="001E5747" w14:paraId="4677C9DA" w14:textId="77777777" w:rsidTr="00352C4A">
        <w:trPr>
          <w:jc w:val="center"/>
        </w:trPr>
        <w:tc>
          <w:tcPr>
            <w:tcW w:w="4787" w:type="dxa"/>
            <w:shd w:val="clear" w:color="auto" w:fill="365F91" w:themeFill="accent1" w:themeFillShade="BF"/>
          </w:tcPr>
          <w:p w14:paraId="0F50C472" w14:textId="77777777" w:rsidR="00B739C3" w:rsidRPr="001E5747" w:rsidRDefault="00B739C3" w:rsidP="00B739C3">
            <w:pPr>
              <w:spacing w:before="120" w:line="264" w:lineRule="auto"/>
              <w:jc w:val="both"/>
              <w:rPr>
                <w:rFonts w:asciiTheme="majorHAnsi" w:hAnsiTheme="majorHAnsi"/>
                <w:b/>
                <w:color w:val="FFFFFF" w:themeColor="background1"/>
                <w:sz w:val="21"/>
                <w:szCs w:val="21"/>
                <w:lang w:val="en-GB"/>
              </w:rPr>
            </w:pPr>
            <w:r w:rsidRPr="001E5747">
              <w:rPr>
                <w:rFonts w:asciiTheme="majorHAnsi" w:hAnsiTheme="majorHAnsi"/>
                <w:b/>
                <w:color w:val="FFFFFF" w:themeColor="background1"/>
                <w:sz w:val="21"/>
                <w:szCs w:val="21"/>
                <w:lang w:val="en-GB"/>
              </w:rPr>
              <w:t>Activity</w:t>
            </w:r>
          </w:p>
        </w:tc>
        <w:tc>
          <w:tcPr>
            <w:tcW w:w="2498" w:type="dxa"/>
            <w:shd w:val="clear" w:color="auto" w:fill="365F91" w:themeFill="accent1" w:themeFillShade="BF"/>
          </w:tcPr>
          <w:p w14:paraId="288D0EA6" w14:textId="10F39CBA" w:rsidR="00B739C3" w:rsidRPr="001E5747" w:rsidRDefault="00C06C3E" w:rsidP="00C06C3E">
            <w:pPr>
              <w:spacing w:before="120" w:line="264" w:lineRule="auto"/>
              <w:jc w:val="center"/>
              <w:rPr>
                <w:rFonts w:asciiTheme="majorHAnsi" w:hAnsiTheme="majorHAnsi"/>
                <w:b/>
                <w:color w:val="FFFFFF" w:themeColor="background1"/>
                <w:sz w:val="21"/>
                <w:szCs w:val="21"/>
                <w:lang w:val="en-GB"/>
              </w:rPr>
            </w:pPr>
            <w:r>
              <w:rPr>
                <w:rFonts w:asciiTheme="majorHAnsi" w:hAnsiTheme="majorHAnsi"/>
                <w:b/>
                <w:color w:val="FFFFFF" w:themeColor="background1"/>
                <w:sz w:val="21"/>
                <w:szCs w:val="21"/>
                <w:lang w:val="en-GB"/>
              </w:rPr>
              <w:t>MPG</w:t>
            </w:r>
            <w:r w:rsidR="00B739C3" w:rsidRPr="001E5747">
              <w:rPr>
                <w:rFonts w:asciiTheme="majorHAnsi" w:hAnsiTheme="majorHAnsi"/>
                <w:b/>
                <w:color w:val="FFFFFF" w:themeColor="background1"/>
                <w:sz w:val="21"/>
                <w:szCs w:val="21"/>
                <w:lang w:val="en-GB"/>
              </w:rPr>
              <w:t xml:space="preserve"> </w:t>
            </w:r>
            <w:r w:rsidR="002E66CA" w:rsidRPr="001E5747">
              <w:rPr>
                <w:rFonts w:asciiTheme="majorHAnsi" w:hAnsiTheme="majorHAnsi"/>
                <w:b/>
                <w:color w:val="FFFFFF" w:themeColor="background1"/>
                <w:sz w:val="21"/>
                <w:szCs w:val="21"/>
                <w:lang w:val="en-GB"/>
              </w:rPr>
              <w:t>202</w:t>
            </w:r>
            <w:r w:rsidR="002E66CA">
              <w:rPr>
                <w:rFonts w:asciiTheme="majorHAnsi" w:hAnsiTheme="majorHAnsi"/>
                <w:b/>
                <w:color w:val="FFFFFF" w:themeColor="background1"/>
                <w:sz w:val="21"/>
                <w:szCs w:val="21"/>
                <w:lang w:val="en-GB"/>
              </w:rPr>
              <w:t>3</w:t>
            </w:r>
          </w:p>
        </w:tc>
      </w:tr>
      <w:tr w:rsidR="00B739C3" w:rsidRPr="001E5747" w14:paraId="0695E35F" w14:textId="77777777" w:rsidTr="00352C4A">
        <w:trPr>
          <w:trHeight w:val="227"/>
          <w:jc w:val="center"/>
        </w:trPr>
        <w:tc>
          <w:tcPr>
            <w:tcW w:w="4787" w:type="dxa"/>
          </w:tcPr>
          <w:p w14:paraId="7C8777F9" w14:textId="77777777" w:rsidR="00B739C3" w:rsidRPr="001E5747" w:rsidRDefault="00B739C3" w:rsidP="00B739C3">
            <w:pPr>
              <w:spacing w:before="40" w:after="40"/>
              <w:rPr>
                <w:rFonts w:asciiTheme="majorHAnsi" w:hAnsiTheme="majorHAnsi"/>
                <w:sz w:val="21"/>
                <w:szCs w:val="21"/>
                <w:lang w:val="en-GB"/>
              </w:rPr>
            </w:pPr>
            <w:r w:rsidRPr="001E5747">
              <w:rPr>
                <w:rFonts w:asciiTheme="majorHAnsi" w:hAnsiTheme="majorHAnsi"/>
                <w:sz w:val="18"/>
                <w:szCs w:val="21"/>
                <w:lang w:val="en-GB"/>
              </w:rPr>
              <w:t>Adoption of rules</w:t>
            </w:r>
          </w:p>
        </w:tc>
        <w:tc>
          <w:tcPr>
            <w:tcW w:w="2498" w:type="dxa"/>
            <w:vAlign w:val="center"/>
          </w:tcPr>
          <w:p w14:paraId="74128C1B" w14:textId="0C855BBB" w:rsidR="00B739C3" w:rsidRPr="001E5747" w:rsidRDefault="002E66CA" w:rsidP="00C06C3E">
            <w:pPr>
              <w:spacing w:before="40" w:after="40"/>
              <w:ind w:right="-108" w:hanging="108"/>
              <w:jc w:val="center"/>
              <w:rPr>
                <w:rFonts w:asciiTheme="majorHAnsi" w:hAnsiTheme="majorHAnsi"/>
                <w:sz w:val="17"/>
                <w:szCs w:val="17"/>
                <w:lang w:val="en-GB"/>
              </w:rPr>
            </w:pPr>
            <w:r>
              <w:rPr>
                <w:rFonts w:asciiTheme="majorHAnsi" w:hAnsiTheme="majorHAnsi"/>
                <w:sz w:val="17"/>
                <w:szCs w:val="17"/>
                <w:lang w:val="en-GB"/>
              </w:rPr>
              <w:t>August</w:t>
            </w:r>
            <w:r w:rsidRPr="001E5747">
              <w:rPr>
                <w:rFonts w:asciiTheme="majorHAnsi" w:hAnsiTheme="majorHAnsi"/>
                <w:sz w:val="17"/>
                <w:szCs w:val="17"/>
                <w:lang w:val="en-GB"/>
              </w:rPr>
              <w:t xml:space="preserve"> </w:t>
            </w:r>
            <w:r w:rsidR="00B739C3" w:rsidRPr="001E5747">
              <w:rPr>
                <w:rFonts w:asciiTheme="majorHAnsi" w:hAnsiTheme="majorHAnsi"/>
                <w:sz w:val="17"/>
                <w:szCs w:val="17"/>
                <w:lang w:val="en-GB"/>
              </w:rPr>
              <w:t>202</w:t>
            </w:r>
            <w:r w:rsidR="00603525">
              <w:rPr>
                <w:rFonts w:asciiTheme="majorHAnsi" w:hAnsiTheme="majorHAnsi"/>
                <w:sz w:val="17"/>
                <w:szCs w:val="17"/>
                <w:lang w:val="en-GB"/>
              </w:rPr>
              <w:t>2</w:t>
            </w:r>
          </w:p>
        </w:tc>
      </w:tr>
      <w:tr w:rsidR="00B739C3" w:rsidRPr="001E5747" w14:paraId="14A118FB" w14:textId="77777777" w:rsidTr="00352C4A">
        <w:trPr>
          <w:trHeight w:val="227"/>
          <w:jc w:val="center"/>
        </w:trPr>
        <w:tc>
          <w:tcPr>
            <w:tcW w:w="4787" w:type="dxa"/>
          </w:tcPr>
          <w:p w14:paraId="3F4054DB" w14:textId="77777777" w:rsidR="00B739C3" w:rsidRPr="001E5747" w:rsidRDefault="00B739C3" w:rsidP="00B739C3">
            <w:pPr>
              <w:spacing w:before="40" w:after="40"/>
              <w:rPr>
                <w:rFonts w:asciiTheme="majorHAnsi" w:hAnsiTheme="majorHAnsi"/>
                <w:sz w:val="21"/>
                <w:szCs w:val="21"/>
                <w:lang w:val="en-GB"/>
              </w:rPr>
            </w:pPr>
            <w:r w:rsidRPr="001E5747">
              <w:rPr>
                <w:rFonts w:asciiTheme="majorHAnsi" w:hAnsiTheme="majorHAnsi"/>
                <w:sz w:val="18"/>
                <w:szCs w:val="21"/>
                <w:lang w:val="en-GB"/>
              </w:rPr>
              <w:t>Data collection</w:t>
            </w:r>
          </w:p>
        </w:tc>
        <w:tc>
          <w:tcPr>
            <w:tcW w:w="2498" w:type="dxa"/>
            <w:vAlign w:val="center"/>
          </w:tcPr>
          <w:p w14:paraId="220428E2" w14:textId="359F8F05" w:rsidR="00B739C3" w:rsidRPr="001E5747" w:rsidRDefault="002E66CA" w:rsidP="00C06C3E">
            <w:pPr>
              <w:spacing w:before="40" w:after="40"/>
              <w:ind w:right="-108" w:hanging="108"/>
              <w:jc w:val="center"/>
              <w:rPr>
                <w:rFonts w:asciiTheme="majorHAnsi" w:hAnsiTheme="majorHAnsi"/>
                <w:sz w:val="17"/>
                <w:szCs w:val="17"/>
                <w:lang w:val="en-GB"/>
              </w:rPr>
            </w:pPr>
            <w:r>
              <w:rPr>
                <w:rFonts w:asciiTheme="majorHAnsi" w:hAnsiTheme="majorHAnsi"/>
                <w:sz w:val="17"/>
                <w:szCs w:val="17"/>
                <w:lang w:val="en-GB"/>
              </w:rPr>
              <w:t>August</w:t>
            </w:r>
            <w:r w:rsidRPr="001E5747">
              <w:rPr>
                <w:rFonts w:asciiTheme="majorHAnsi" w:hAnsiTheme="majorHAnsi"/>
                <w:sz w:val="17"/>
                <w:szCs w:val="17"/>
                <w:lang w:val="en-GB"/>
              </w:rPr>
              <w:t xml:space="preserve"> </w:t>
            </w:r>
            <w:r w:rsidR="00B739C3" w:rsidRPr="001E5747">
              <w:rPr>
                <w:rFonts w:asciiTheme="majorHAnsi" w:hAnsiTheme="majorHAnsi"/>
                <w:sz w:val="17"/>
                <w:szCs w:val="17"/>
                <w:lang w:val="en-GB"/>
              </w:rPr>
              <w:t>202</w:t>
            </w:r>
            <w:r w:rsidR="005846E1">
              <w:rPr>
                <w:rFonts w:asciiTheme="majorHAnsi" w:hAnsiTheme="majorHAnsi"/>
                <w:sz w:val="17"/>
                <w:szCs w:val="17"/>
                <w:lang w:val="en-GB"/>
              </w:rPr>
              <w:t>2</w:t>
            </w:r>
          </w:p>
        </w:tc>
      </w:tr>
      <w:tr w:rsidR="00B739C3" w:rsidRPr="001E5747" w14:paraId="03E7D9E0" w14:textId="77777777" w:rsidTr="00352C4A">
        <w:trPr>
          <w:jc w:val="center"/>
        </w:trPr>
        <w:tc>
          <w:tcPr>
            <w:tcW w:w="4787" w:type="dxa"/>
          </w:tcPr>
          <w:p w14:paraId="0348157A" w14:textId="77777777" w:rsidR="00B739C3" w:rsidRPr="001E5747" w:rsidRDefault="00CD626C" w:rsidP="00B739C3">
            <w:pPr>
              <w:spacing w:before="40" w:after="40"/>
              <w:rPr>
                <w:rFonts w:asciiTheme="majorHAnsi" w:hAnsiTheme="majorHAnsi"/>
                <w:sz w:val="21"/>
                <w:szCs w:val="21"/>
                <w:lang w:val="en-GB"/>
              </w:rPr>
            </w:pPr>
            <w:r w:rsidRPr="001E5747">
              <w:rPr>
                <w:rFonts w:asciiTheme="majorHAnsi" w:hAnsiTheme="majorHAnsi"/>
                <w:sz w:val="18"/>
                <w:szCs w:val="21"/>
                <w:lang w:val="en-GB"/>
              </w:rPr>
              <w:t>Assessment / scoring process</w:t>
            </w:r>
          </w:p>
        </w:tc>
        <w:tc>
          <w:tcPr>
            <w:tcW w:w="2498" w:type="dxa"/>
            <w:vAlign w:val="center"/>
          </w:tcPr>
          <w:p w14:paraId="7F6C96F3" w14:textId="0A4DEA3A" w:rsidR="00B739C3" w:rsidRPr="001E5747" w:rsidRDefault="002E66CA" w:rsidP="00B739C3">
            <w:pPr>
              <w:spacing w:before="40" w:after="40"/>
              <w:ind w:right="-108" w:hanging="108"/>
              <w:jc w:val="center"/>
              <w:rPr>
                <w:rFonts w:asciiTheme="majorHAnsi" w:hAnsiTheme="majorHAnsi"/>
                <w:sz w:val="17"/>
                <w:szCs w:val="17"/>
                <w:lang w:val="en-GB"/>
              </w:rPr>
            </w:pPr>
            <w:r>
              <w:rPr>
                <w:rFonts w:asciiTheme="majorHAnsi" w:hAnsiTheme="majorHAnsi"/>
                <w:sz w:val="17"/>
                <w:szCs w:val="17"/>
                <w:lang w:val="en-GB"/>
              </w:rPr>
              <w:t>August</w:t>
            </w:r>
            <w:r w:rsidRPr="001E5747">
              <w:rPr>
                <w:rFonts w:asciiTheme="majorHAnsi" w:hAnsiTheme="majorHAnsi"/>
                <w:sz w:val="17"/>
                <w:szCs w:val="17"/>
                <w:lang w:val="en-GB"/>
              </w:rPr>
              <w:t xml:space="preserve"> </w:t>
            </w:r>
            <w:r w:rsidR="00B739C3" w:rsidRPr="001E5747">
              <w:rPr>
                <w:rFonts w:asciiTheme="majorHAnsi" w:hAnsiTheme="majorHAnsi"/>
                <w:sz w:val="17"/>
                <w:szCs w:val="17"/>
                <w:lang w:val="en-GB"/>
              </w:rPr>
              <w:t>202</w:t>
            </w:r>
            <w:r w:rsidR="005846E1">
              <w:rPr>
                <w:rFonts w:asciiTheme="majorHAnsi" w:hAnsiTheme="majorHAnsi"/>
                <w:sz w:val="17"/>
                <w:szCs w:val="17"/>
                <w:lang w:val="en-GB"/>
              </w:rPr>
              <w:t>2</w:t>
            </w:r>
          </w:p>
        </w:tc>
      </w:tr>
      <w:tr w:rsidR="00B739C3" w:rsidRPr="001E5747" w14:paraId="224C2CF0" w14:textId="77777777" w:rsidTr="00352C4A">
        <w:trPr>
          <w:jc w:val="center"/>
        </w:trPr>
        <w:tc>
          <w:tcPr>
            <w:tcW w:w="4787" w:type="dxa"/>
          </w:tcPr>
          <w:p w14:paraId="709E18A6" w14:textId="77777777" w:rsidR="00B739C3" w:rsidRPr="001E5747" w:rsidRDefault="00CD626C" w:rsidP="00B739C3">
            <w:pPr>
              <w:spacing w:before="40" w:after="40"/>
              <w:rPr>
                <w:rFonts w:asciiTheme="majorHAnsi" w:hAnsiTheme="majorHAnsi"/>
                <w:sz w:val="21"/>
                <w:szCs w:val="21"/>
                <w:lang w:val="en-GB"/>
              </w:rPr>
            </w:pPr>
            <w:r w:rsidRPr="001E5747">
              <w:rPr>
                <w:rFonts w:asciiTheme="majorHAnsi" w:hAnsiTheme="majorHAnsi"/>
                <w:sz w:val="18"/>
                <w:szCs w:val="21"/>
                <w:lang w:val="en-GB"/>
              </w:rPr>
              <w:t>Approval of assessment results</w:t>
            </w:r>
          </w:p>
        </w:tc>
        <w:tc>
          <w:tcPr>
            <w:tcW w:w="2498" w:type="dxa"/>
            <w:vAlign w:val="center"/>
          </w:tcPr>
          <w:p w14:paraId="7C2493EF" w14:textId="50FBA28C" w:rsidR="00B739C3" w:rsidRPr="001E5747" w:rsidRDefault="002E66CA" w:rsidP="00B739C3">
            <w:pPr>
              <w:spacing w:before="40" w:after="40"/>
              <w:ind w:right="-108" w:hanging="108"/>
              <w:jc w:val="center"/>
              <w:rPr>
                <w:rFonts w:asciiTheme="majorHAnsi" w:hAnsiTheme="majorHAnsi"/>
                <w:sz w:val="17"/>
                <w:szCs w:val="17"/>
                <w:lang w:val="en-GB"/>
              </w:rPr>
            </w:pPr>
            <w:r>
              <w:rPr>
                <w:rFonts w:asciiTheme="majorHAnsi" w:hAnsiTheme="majorHAnsi"/>
                <w:sz w:val="17"/>
                <w:szCs w:val="17"/>
                <w:lang w:val="en-GB"/>
              </w:rPr>
              <w:t>August</w:t>
            </w:r>
            <w:r w:rsidRPr="001E5747">
              <w:rPr>
                <w:rFonts w:asciiTheme="majorHAnsi" w:hAnsiTheme="majorHAnsi"/>
                <w:sz w:val="17"/>
                <w:szCs w:val="17"/>
                <w:lang w:val="en-GB"/>
              </w:rPr>
              <w:t xml:space="preserve"> </w:t>
            </w:r>
            <w:r w:rsidR="00B739C3" w:rsidRPr="001E5747">
              <w:rPr>
                <w:rFonts w:asciiTheme="majorHAnsi" w:hAnsiTheme="majorHAnsi"/>
                <w:sz w:val="17"/>
                <w:szCs w:val="17"/>
                <w:lang w:val="en-GB"/>
              </w:rPr>
              <w:t>202</w:t>
            </w:r>
            <w:r w:rsidR="005846E1">
              <w:rPr>
                <w:rFonts w:asciiTheme="majorHAnsi" w:hAnsiTheme="majorHAnsi"/>
                <w:sz w:val="17"/>
                <w:szCs w:val="17"/>
                <w:lang w:val="en-GB"/>
              </w:rPr>
              <w:t>2</w:t>
            </w:r>
          </w:p>
        </w:tc>
      </w:tr>
      <w:tr w:rsidR="00B739C3" w:rsidRPr="001E5747" w14:paraId="155CD79F" w14:textId="77777777" w:rsidTr="00352C4A">
        <w:trPr>
          <w:jc w:val="center"/>
        </w:trPr>
        <w:tc>
          <w:tcPr>
            <w:tcW w:w="4787" w:type="dxa"/>
          </w:tcPr>
          <w:p w14:paraId="5F64C96E" w14:textId="77777777" w:rsidR="00B739C3" w:rsidRPr="001E5747" w:rsidRDefault="00CD626C" w:rsidP="00B739C3">
            <w:pPr>
              <w:spacing w:before="40" w:after="40"/>
              <w:ind w:right="-108"/>
              <w:rPr>
                <w:rFonts w:asciiTheme="majorHAnsi" w:hAnsiTheme="majorHAnsi"/>
                <w:sz w:val="21"/>
                <w:szCs w:val="21"/>
                <w:lang w:val="en-GB"/>
              </w:rPr>
            </w:pPr>
            <w:r w:rsidRPr="001E5747">
              <w:rPr>
                <w:rFonts w:asciiTheme="majorHAnsi" w:hAnsiTheme="majorHAnsi"/>
                <w:sz w:val="18"/>
                <w:szCs w:val="21"/>
                <w:lang w:val="en-GB"/>
              </w:rPr>
              <w:lastRenderedPageBreak/>
              <w:t>Communication of results to municipalities</w:t>
            </w:r>
          </w:p>
        </w:tc>
        <w:tc>
          <w:tcPr>
            <w:tcW w:w="2498" w:type="dxa"/>
            <w:vAlign w:val="center"/>
          </w:tcPr>
          <w:p w14:paraId="38905D6C" w14:textId="39D02FC4" w:rsidR="00B739C3" w:rsidRPr="001E5747" w:rsidRDefault="002E66CA" w:rsidP="00C06C3E">
            <w:pPr>
              <w:spacing w:before="40" w:after="40"/>
              <w:ind w:right="-108" w:hanging="108"/>
              <w:jc w:val="center"/>
              <w:rPr>
                <w:rFonts w:asciiTheme="majorHAnsi" w:hAnsiTheme="majorHAnsi"/>
                <w:sz w:val="17"/>
                <w:szCs w:val="17"/>
                <w:lang w:val="en-GB"/>
              </w:rPr>
            </w:pPr>
            <w:r>
              <w:rPr>
                <w:rFonts w:asciiTheme="majorHAnsi" w:hAnsiTheme="majorHAnsi"/>
                <w:sz w:val="17"/>
                <w:szCs w:val="17"/>
                <w:lang w:val="en-GB"/>
              </w:rPr>
              <w:t>August</w:t>
            </w:r>
            <w:r w:rsidRPr="001E5747">
              <w:rPr>
                <w:rFonts w:asciiTheme="majorHAnsi" w:hAnsiTheme="majorHAnsi"/>
                <w:sz w:val="17"/>
                <w:szCs w:val="17"/>
                <w:lang w:val="en-GB"/>
              </w:rPr>
              <w:t xml:space="preserve"> </w:t>
            </w:r>
            <w:r w:rsidR="00B739C3" w:rsidRPr="001E5747">
              <w:rPr>
                <w:rFonts w:asciiTheme="majorHAnsi" w:hAnsiTheme="majorHAnsi"/>
                <w:sz w:val="17"/>
                <w:szCs w:val="17"/>
                <w:lang w:val="en-GB"/>
              </w:rPr>
              <w:t>202</w:t>
            </w:r>
            <w:r w:rsidR="00C06C3E">
              <w:rPr>
                <w:rFonts w:asciiTheme="majorHAnsi" w:hAnsiTheme="majorHAnsi"/>
                <w:sz w:val="17"/>
                <w:szCs w:val="17"/>
                <w:lang w:val="en-GB"/>
              </w:rPr>
              <w:t>2</w:t>
            </w:r>
          </w:p>
        </w:tc>
      </w:tr>
      <w:tr w:rsidR="00B739C3" w:rsidRPr="001E5747" w14:paraId="42D45CFA" w14:textId="77777777" w:rsidTr="00352C4A">
        <w:trPr>
          <w:jc w:val="center"/>
        </w:trPr>
        <w:tc>
          <w:tcPr>
            <w:tcW w:w="4787" w:type="dxa"/>
          </w:tcPr>
          <w:p w14:paraId="25C8AB02" w14:textId="77777777" w:rsidR="00B739C3" w:rsidRPr="001E5747" w:rsidRDefault="00CD626C" w:rsidP="00B739C3">
            <w:pPr>
              <w:spacing w:before="40" w:after="40"/>
              <w:rPr>
                <w:rFonts w:asciiTheme="majorHAnsi" w:hAnsiTheme="majorHAnsi"/>
                <w:sz w:val="21"/>
                <w:szCs w:val="21"/>
                <w:lang w:val="en-GB"/>
              </w:rPr>
            </w:pPr>
            <w:r w:rsidRPr="001E5747">
              <w:rPr>
                <w:rFonts w:asciiTheme="majorHAnsi" w:hAnsiTheme="majorHAnsi"/>
                <w:sz w:val="18"/>
                <w:szCs w:val="21"/>
                <w:lang w:val="en-GB"/>
              </w:rPr>
              <w:t>Period for complaints</w:t>
            </w:r>
          </w:p>
        </w:tc>
        <w:tc>
          <w:tcPr>
            <w:tcW w:w="2498" w:type="dxa"/>
            <w:vAlign w:val="center"/>
          </w:tcPr>
          <w:p w14:paraId="1E5520B4" w14:textId="6220806A" w:rsidR="00B739C3" w:rsidRPr="001E5747" w:rsidRDefault="0086283D" w:rsidP="00C06C3E">
            <w:pPr>
              <w:spacing w:before="40" w:after="40"/>
              <w:ind w:right="-108" w:hanging="108"/>
              <w:jc w:val="center"/>
              <w:rPr>
                <w:rFonts w:asciiTheme="majorHAnsi" w:hAnsiTheme="majorHAnsi"/>
                <w:sz w:val="17"/>
                <w:szCs w:val="17"/>
                <w:lang w:val="en-GB"/>
              </w:rPr>
            </w:pPr>
            <w:r>
              <w:rPr>
                <w:rFonts w:asciiTheme="majorHAnsi" w:hAnsiTheme="majorHAnsi"/>
                <w:sz w:val="17"/>
                <w:szCs w:val="17"/>
                <w:lang w:val="en-GB"/>
              </w:rPr>
              <w:t>August-September</w:t>
            </w:r>
            <w:r w:rsidRPr="001E5747">
              <w:rPr>
                <w:rFonts w:asciiTheme="majorHAnsi" w:hAnsiTheme="majorHAnsi"/>
                <w:sz w:val="17"/>
                <w:szCs w:val="17"/>
                <w:lang w:val="en-GB"/>
              </w:rPr>
              <w:t xml:space="preserve"> </w:t>
            </w:r>
            <w:r w:rsidR="00B739C3" w:rsidRPr="001E5747">
              <w:rPr>
                <w:rFonts w:asciiTheme="majorHAnsi" w:hAnsiTheme="majorHAnsi"/>
                <w:sz w:val="17"/>
                <w:szCs w:val="17"/>
                <w:lang w:val="en-GB"/>
              </w:rPr>
              <w:t>202</w:t>
            </w:r>
            <w:r w:rsidR="00C06C3E">
              <w:rPr>
                <w:rFonts w:asciiTheme="majorHAnsi" w:hAnsiTheme="majorHAnsi"/>
                <w:sz w:val="17"/>
                <w:szCs w:val="17"/>
                <w:lang w:val="en-GB"/>
              </w:rPr>
              <w:t>2</w:t>
            </w:r>
          </w:p>
        </w:tc>
      </w:tr>
      <w:tr w:rsidR="00B739C3" w:rsidRPr="001E5747" w14:paraId="08718789" w14:textId="77777777" w:rsidTr="00352C4A">
        <w:trPr>
          <w:jc w:val="center"/>
        </w:trPr>
        <w:tc>
          <w:tcPr>
            <w:tcW w:w="4787" w:type="dxa"/>
          </w:tcPr>
          <w:p w14:paraId="67FFB683" w14:textId="77777777" w:rsidR="00B739C3" w:rsidRPr="001E5747" w:rsidRDefault="00CD626C" w:rsidP="00B739C3">
            <w:pPr>
              <w:spacing w:before="40" w:after="40"/>
              <w:rPr>
                <w:rFonts w:asciiTheme="majorHAnsi" w:hAnsiTheme="majorHAnsi"/>
                <w:sz w:val="21"/>
                <w:szCs w:val="21"/>
                <w:lang w:val="en-GB"/>
              </w:rPr>
            </w:pPr>
            <w:r w:rsidRPr="001E5747">
              <w:rPr>
                <w:rFonts w:asciiTheme="majorHAnsi" w:hAnsiTheme="majorHAnsi"/>
                <w:sz w:val="18"/>
                <w:szCs w:val="21"/>
                <w:lang w:val="en-GB"/>
              </w:rPr>
              <w:t>Confirmation of final results and of grant amounts</w:t>
            </w:r>
          </w:p>
        </w:tc>
        <w:tc>
          <w:tcPr>
            <w:tcW w:w="2498" w:type="dxa"/>
            <w:vAlign w:val="center"/>
          </w:tcPr>
          <w:p w14:paraId="5809BBAC" w14:textId="435D00A9" w:rsidR="00B739C3" w:rsidRPr="001E5747" w:rsidRDefault="0086283D" w:rsidP="00C06C3E">
            <w:pPr>
              <w:spacing w:before="40" w:after="40"/>
              <w:ind w:right="-108" w:hanging="108"/>
              <w:jc w:val="center"/>
              <w:rPr>
                <w:rFonts w:asciiTheme="majorHAnsi" w:hAnsiTheme="majorHAnsi"/>
                <w:sz w:val="17"/>
                <w:szCs w:val="17"/>
                <w:lang w:val="en-GB"/>
              </w:rPr>
            </w:pPr>
            <w:r>
              <w:rPr>
                <w:rFonts w:asciiTheme="majorHAnsi" w:hAnsiTheme="majorHAnsi"/>
                <w:sz w:val="17"/>
                <w:szCs w:val="17"/>
                <w:lang w:val="en-GB"/>
              </w:rPr>
              <w:t>September</w:t>
            </w:r>
            <w:r w:rsidRPr="001E5747">
              <w:rPr>
                <w:rFonts w:asciiTheme="majorHAnsi" w:hAnsiTheme="majorHAnsi"/>
                <w:sz w:val="17"/>
                <w:szCs w:val="17"/>
                <w:lang w:val="en-GB"/>
              </w:rPr>
              <w:t xml:space="preserve"> </w:t>
            </w:r>
            <w:r w:rsidR="00B739C3" w:rsidRPr="001E5747">
              <w:rPr>
                <w:rFonts w:asciiTheme="majorHAnsi" w:hAnsiTheme="majorHAnsi"/>
                <w:sz w:val="17"/>
                <w:szCs w:val="17"/>
                <w:lang w:val="en-GB"/>
              </w:rPr>
              <w:t>202</w:t>
            </w:r>
            <w:r w:rsidR="00C06C3E">
              <w:rPr>
                <w:rFonts w:asciiTheme="majorHAnsi" w:hAnsiTheme="majorHAnsi"/>
                <w:sz w:val="17"/>
                <w:szCs w:val="17"/>
                <w:lang w:val="en-GB"/>
              </w:rPr>
              <w:t>2</w:t>
            </w:r>
          </w:p>
        </w:tc>
      </w:tr>
      <w:tr w:rsidR="00B739C3" w:rsidRPr="001E5747" w14:paraId="66C64B22" w14:textId="77777777" w:rsidTr="00352C4A">
        <w:trPr>
          <w:jc w:val="center"/>
        </w:trPr>
        <w:tc>
          <w:tcPr>
            <w:tcW w:w="4787" w:type="dxa"/>
          </w:tcPr>
          <w:p w14:paraId="06694247" w14:textId="77777777" w:rsidR="00B739C3" w:rsidRPr="001E5747" w:rsidRDefault="00B739C3" w:rsidP="00B739C3">
            <w:pPr>
              <w:spacing w:before="40" w:after="40"/>
              <w:rPr>
                <w:rFonts w:asciiTheme="majorHAnsi" w:hAnsiTheme="majorHAnsi"/>
                <w:sz w:val="21"/>
                <w:szCs w:val="21"/>
                <w:lang w:val="en-GB"/>
              </w:rPr>
            </w:pPr>
            <w:r w:rsidRPr="001E5747">
              <w:rPr>
                <w:rFonts w:asciiTheme="majorHAnsi" w:hAnsiTheme="majorHAnsi"/>
                <w:sz w:val="18"/>
                <w:szCs w:val="21"/>
                <w:lang w:val="en-GB"/>
              </w:rPr>
              <w:t>Transfer of funds</w:t>
            </w:r>
          </w:p>
        </w:tc>
        <w:tc>
          <w:tcPr>
            <w:tcW w:w="2498" w:type="dxa"/>
            <w:vAlign w:val="center"/>
          </w:tcPr>
          <w:p w14:paraId="0F20576B" w14:textId="1F0FDE21" w:rsidR="00B739C3" w:rsidRPr="001E5747" w:rsidRDefault="0086283D" w:rsidP="000B1A37">
            <w:pPr>
              <w:spacing w:before="40" w:after="40"/>
              <w:ind w:right="-108" w:hanging="108"/>
              <w:jc w:val="center"/>
              <w:rPr>
                <w:rFonts w:asciiTheme="majorHAnsi" w:hAnsiTheme="majorHAnsi"/>
                <w:sz w:val="17"/>
                <w:szCs w:val="17"/>
                <w:lang w:val="en-GB"/>
              </w:rPr>
            </w:pPr>
            <w:r>
              <w:rPr>
                <w:rFonts w:asciiTheme="majorHAnsi" w:hAnsiTheme="majorHAnsi"/>
                <w:sz w:val="17"/>
                <w:szCs w:val="17"/>
                <w:lang w:val="en-GB"/>
              </w:rPr>
              <w:t>January-February</w:t>
            </w:r>
            <w:r w:rsidRPr="001E5747">
              <w:rPr>
                <w:rFonts w:asciiTheme="majorHAnsi" w:hAnsiTheme="majorHAnsi"/>
                <w:sz w:val="17"/>
                <w:szCs w:val="17"/>
                <w:lang w:val="en-GB"/>
              </w:rPr>
              <w:t xml:space="preserve"> </w:t>
            </w:r>
            <w:r w:rsidR="00B739C3" w:rsidRPr="001E5747">
              <w:rPr>
                <w:rFonts w:asciiTheme="majorHAnsi" w:hAnsiTheme="majorHAnsi"/>
                <w:sz w:val="17"/>
                <w:szCs w:val="17"/>
                <w:lang w:val="en-GB"/>
              </w:rPr>
              <w:t>202</w:t>
            </w:r>
            <w:r>
              <w:rPr>
                <w:rFonts w:asciiTheme="majorHAnsi" w:hAnsiTheme="majorHAnsi"/>
                <w:sz w:val="17"/>
                <w:szCs w:val="17"/>
                <w:lang w:val="en-GB"/>
              </w:rPr>
              <w:t>3</w:t>
            </w:r>
          </w:p>
        </w:tc>
      </w:tr>
      <w:tr w:rsidR="00B739C3" w:rsidRPr="001E5747" w14:paraId="5D0E6749" w14:textId="77777777" w:rsidTr="00352C4A">
        <w:trPr>
          <w:jc w:val="center"/>
        </w:trPr>
        <w:tc>
          <w:tcPr>
            <w:tcW w:w="4787" w:type="dxa"/>
          </w:tcPr>
          <w:p w14:paraId="603D3815" w14:textId="77777777" w:rsidR="00B739C3" w:rsidRPr="001E5747" w:rsidRDefault="00B739C3" w:rsidP="00B739C3">
            <w:pPr>
              <w:spacing w:before="40" w:after="40"/>
              <w:rPr>
                <w:rFonts w:asciiTheme="majorHAnsi" w:hAnsiTheme="majorHAnsi"/>
                <w:sz w:val="21"/>
                <w:szCs w:val="21"/>
                <w:lang w:val="en-GB"/>
              </w:rPr>
            </w:pPr>
            <w:r w:rsidRPr="001E5747">
              <w:rPr>
                <w:rFonts w:asciiTheme="majorHAnsi" w:hAnsiTheme="majorHAnsi"/>
                <w:sz w:val="18"/>
                <w:szCs w:val="21"/>
                <w:lang w:val="en-GB"/>
              </w:rPr>
              <w:t>Use of funds</w:t>
            </w:r>
          </w:p>
        </w:tc>
        <w:tc>
          <w:tcPr>
            <w:tcW w:w="2498" w:type="dxa"/>
            <w:vAlign w:val="center"/>
          </w:tcPr>
          <w:p w14:paraId="279D6A94" w14:textId="3EC95E32" w:rsidR="00B739C3" w:rsidRPr="001E5747" w:rsidRDefault="00B739C3" w:rsidP="000B1A37">
            <w:pPr>
              <w:spacing w:before="40" w:after="40"/>
              <w:ind w:right="-108" w:hanging="108"/>
              <w:jc w:val="center"/>
              <w:rPr>
                <w:rFonts w:asciiTheme="majorHAnsi" w:hAnsiTheme="majorHAnsi"/>
                <w:sz w:val="17"/>
                <w:szCs w:val="17"/>
                <w:lang w:val="en-GB"/>
              </w:rPr>
            </w:pPr>
            <w:r w:rsidRPr="001E5747">
              <w:rPr>
                <w:rFonts w:asciiTheme="majorHAnsi" w:hAnsiTheme="majorHAnsi"/>
                <w:sz w:val="17"/>
                <w:szCs w:val="17"/>
                <w:lang w:val="en-GB"/>
              </w:rPr>
              <w:t>FY 202</w:t>
            </w:r>
            <w:r w:rsidR="0086283D">
              <w:rPr>
                <w:rFonts w:asciiTheme="majorHAnsi" w:hAnsiTheme="majorHAnsi"/>
                <w:sz w:val="17"/>
                <w:szCs w:val="17"/>
                <w:lang w:val="en-GB"/>
              </w:rPr>
              <w:t>3</w:t>
            </w:r>
            <w:r w:rsidR="00D3558A">
              <w:rPr>
                <w:rStyle w:val="FootnoteReference"/>
                <w:rFonts w:asciiTheme="majorHAnsi" w:hAnsiTheme="majorHAnsi"/>
                <w:sz w:val="17"/>
                <w:szCs w:val="17"/>
                <w:lang w:val="en-GB"/>
              </w:rPr>
              <w:footnoteReference w:id="10"/>
            </w:r>
          </w:p>
        </w:tc>
      </w:tr>
    </w:tbl>
    <w:p w14:paraId="0C9D4C37" w14:textId="77777777" w:rsidR="00B739C3" w:rsidRPr="001E5747" w:rsidRDefault="00B739C3" w:rsidP="00352C4A">
      <w:pPr>
        <w:jc w:val="both"/>
        <w:rPr>
          <w:rFonts w:asciiTheme="majorHAnsi" w:hAnsiTheme="majorHAnsi"/>
          <w:b/>
          <w:sz w:val="12"/>
          <w:szCs w:val="12"/>
          <w:lang w:val="en-GB"/>
        </w:rPr>
      </w:pPr>
    </w:p>
    <w:p w14:paraId="098194A7" w14:textId="77777777" w:rsidR="00B739C3" w:rsidRPr="001E5747" w:rsidRDefault="00B739C3" w:rsidP="00B739C3">
      <w:pPr>
        <w:ind w:left="567"/>
        <w:jc w:val="both"/>
        <w:rPr>
          <w:rFonts w:asciiTheme="majorHAnsi" w:hAnsiTheme="majorHAnsi"/>
          <w:b/>
          <w:sz w:val="12"/>
          <w:szCs w:val="12"/>
          <w:lang w:val="en-GB"/>
        </w:rPr>
      </w:pPr>
    </w:p>
    <w:p w14:paraId="4B3086C3" w14:textId="77777777" w:rsidR="00B739C3" w:rsidRPr="001E5747" w:rsidRDefault="00CD626C" w:rsidP="00B739C3">
      <w:pPr>
        <w:pStyle w:val="Heading1"/>
        <w:numPr>
          <w:ilvl w:val="1"/>
          <w:numId w:val="7"/>
        </w:numPr>
        <w:tabs>
          <w:tab w:val="left" w:pos="540"/>
        </w:tabs>
        <w:ind w:hanging="1800"/>
        <w:rPr>
          <w:rFonts w:asciiTheme="majorHAnsi" w:hAnsiTheme="majorHAnsi"/>
          <w:color w:val="C0504D"/>
          <w:szCs w:val="28"/>
          <w:lang w:val="en-GB"/>
        </w:rPr>
      </w:pPr>
      <w:bookmarkStart w:id="57" w:name="_Toc61062535"/>
      <w:r w:rsidRPr="001E5747">
        <w:rPr>
          <w:rFonts w:asciiTheme="majorHAnsi" w:hAnsiTheme="majorHAnsi"/>
          <w:color w:val="C0504D"/>
          <w:szCs w:val="28"/>
          <w:lang w:val="en-GB"/>
        </w:rPr>
        <w:t>Assessment</w:t>
      </w:r>
      <w:r w:rsidR="00B739C3" w:rsidRPr="001E5747">
        <w:rPr>
          <w:rFonts w:asciiTheme="majorHAnsi" w:hAnsiTheme="majorHAnsi"/>
          <w:color w:val="C0504D"/>
          <w:szCs w:val="28"/>
          <w:lang w:val="en-GB"/>
        </w:rPr>
        <w:t xml:space="preserve"> procedures</w:t>
      </w:r>
      <w:bookmarkEnd w:id="57"/>
    </w:p>
    <w:p w14:paraId="1FAEB43E" w14:textId="77777777" w:rsidR="00B739C3" w:rsidRPr="001E5747" w:rsidRDefault="00B739C3" w:rsidP="00B739C3">
      <w:pPr>
        <w:jc w:val="both"/>
        <w:rPr>
          <w:lang w:val="en-GB"/>
        </w:rPr>
      </w:pPr>
    </w:p>
    <w:p w14:paraId="0C457A5B" w14:textId="77777777" w:rsidR="00B739C3" w:rsidRPr="001E5747" w:rsidRDefault="00B739C3" w:rsidP="00B739C3">
      <w:pPr>
        <w:pStyle w:val="Heading1"/>
        <w:tabs>
          <w:tab w:val="left" w:pos="540"/>
        </w:tabs>
        <w:rPr>
          <w:rFonts w:asciiTheme="majorHAnsi" w:hAnsiTheme="majorHAnsi"/>
          <w:sz w:val="24"/>
          <w:szCs w:val="21"/>
          <w:lang w:val="en-GB"/>
        </w:rPr>
      </w:pPr>
      <w:r w:rsidRPr="001E5747">
        <w:rPr>
          <w:rFonts w:asciiTheme="majorHAnsi" w:hAnsiTheme="majorHAnsi"/>
          <w:sz w:val="24"/>
          <w:szCs w:val="21"/>
          <w:lang w:val="en-GB"/>
        </w:rPr>
        <w:t xml:space="preserve">3.3.1 </w:t>
      </w:r>
      <w:r w:rsidR="009767E2">
        <w:rPr>
          <w:rFonts w:asciiTheme="majorHAnsi" w:hAnsiTheme="majorHAnsi"/>
          <w:sz w:val="24"/>
          <w:szCs w:val="21"/>
          <w:lang w:val="en-GB"/>
        </w:rPr>
        <w:t>Assessment</w:t>
      </w:r>
      <w:r w:rsidRPr="001E5747">
        <w:rPr>
          <w:rFonts w:asciiTheme="majorHAnsi" w:hAnsiTheme="majorHAnsi"/>
          <w:sz w:val="24"/>
          <w:szCs w:val="21"/>
          <w:lang w:val="en-GB"/>
        </w:rPr>
        <w:t xml:space="preserve"> Period for Municipal Performance Grant (Grant Management Cycles)</w:t>
      </w:r>
    </w:p>
    <w:p w14:paraId="6073A1A4" w14:textId="77777777" w:rsidR="00B739C3" w:rsidRPr="001E5747" w:rsidRDefault="00B739C3" w:rsidP="00B739C3">
      <w:pPr>
        <w:ind w:left="567"/>
        <w:jc w:val="both"/>
        <w:rPr>
          <w:rFonts w:asciiTheme="majorHAnsi" w:hAnsiTheme="majorHAnsi"/>
          <w:b/>
          <w:sz w:val="12"/>
          <w:szCs w:val="12"/>
          <w:lang w:val="en-GB"/>
        </w:rPr>
      </w:pPr>
    </w:p>
    <w:p w14:paraId="4F0CED57" w14:textId="77777777" w:rsidR="00B739C3" w:rsidRPr="001E5747" w:rsidRDefault="00B739C3" w:rsidP="00B739C3">
      <w:pPr>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t xml:space="preserve">The </w:t>
      </w:r>
      <w:r w:rsidR="009767E2">
        <w:rPr>
          <w:rFonts w:asciiTheme="majorHAnsi" w:hAnsiTheme="majorHAnsi"/>
          <w:sz w:val="21"/>
          <w:szCs w:val="21"/>
          <w:lang w:val="en-GB"/>
        </w:rPr>
        <w:t>assessment</w:t>
      </w:r>
      <w:r w:rsidRPr="001E5747">
        <w:rPr>
          <w:rFonts w:asciiTheme="majorHAnsi" w:hAnsiTheme="majorHAnsi"/>
          <w:sz w:val="21"/>
          <w:szCs w:val="21"/>
          <w:lang w:val="en-GB"/>
        </w:rPr>
        <w:t xml:space="preserve"> period for the municipal performance grant is divided into 3 main stages: </w:t>
      </w:r>
    </w:p>
    <w:p w14:paraId="3DF9F780" w14:textId="06E18CC9" w:rsidR="00B739C3" w:rsidRPr="001E5747" w:rsidRDefault="00B739C3" w:rsidP="00B739C3">
      <w:pPr>
        <w:spacing w:before="60" w:line="264" w:lineRule="auto"/>
        <w:ind w:left="540" w:hanging="540"/>
        <w:jc w:val="both"/>
        <w:rPr>
          <w:rFonts w:asciiTheme="majorHAnsi" w:hAnsiTheme="majorHAnsi"/>
          <w:sz w:val="21"/>
          <w:szCs w:val="21"/>
          <w:lang w:val="en-GB"/>
        </w:rPr>
      </w:pPr>
      <w:r w:rsidRPr="001E5747">
        <w:rPr>
          <w:rFonts w:asciiTheme="majorHAnsi" w:hAnsiTheme="majorHAnsi"/>
          <w:b/>
          <w:bCs/>
          <w:sz w:val="21"/>
          <w:szCs w:val="21"/>
          <w:lang w:val="en-GB"/>
        </w:rPr>
        <w:t>1.1.</w:t>
      </w:r>
      <w:r w:rsidRPr="001E5747">
        <w:rPr>
          <w:rFonts w:asciiTheme="majorHAnsi" w:hAnsiTheme="majorHAnsi"/>
          <w:b/>
          <w:bCs/>
          <w:sz w:val="21"/>
          <w:szCs w:val="21"/>
          <w:lang w:val="en-GB"/>
        </w:rPr>
        <w:tab/>
        <w:t xml:space="preserve">Performance period - </w:t>
      </w:r>
      <w:r w:rsidRPr="001E5747">
        <w:rPr>
          <w:rFonts w:asciiTheme="majorHAnsi" w:hAnsiTheme="majorHAnsi"/>
          <w:sz w:val="21"/>
          <w:szCs w:val="21"/>
          <w:lang w:val="en-GB"/>
        </w:rPr>
        <w:t xml:space="preserve">which means the year for which the performance of the municipality is evaluated. Based on these rules of MPG </w:t>
      </w:r>
      <w:r w:rsidR="0086283D" w:rsidRPr="001E5747">
        <w:rPr>
          <w:rFonts w:asciiTheme="majorHAnsi" w:hAnsiTheme="majorHAnsi"/>
          <w:sz w:val="21"/>
          <w:szCs w:val="21"/>
          <w:lang w:val="en-GB"/>
        </w:rPr>
        <w:t>202</w:t>
      </w:r>
      <w:r w:rsidR="0086283D">
        <w:rPr>
          <w:rFonts w:asciiTheme="majorHAnsi" w:hAnsiTheme="majorHAnsi"/>
          <w:sz w:val="21"/>
          <w:szCs w:val="21"/>
          <w:lang w:val="en-GB"/>
        </w:rPr>
        <w:t>3</w:t>
      </w:r>
      <w:r w:rsidRPr="001E5747">
        <w:rPr>
          <w:rFonts w:asciiTheme="majorHAnsi" w:hAnsiTheme="majorHAnsi"/>
          <w:sz w:val="21"/>
          <w:szCs w:val="21"/>
          <w:lang w:val="en-GB"/>
        </w:rPr>
        <w:t xml:space="preserve">, the municipal performance of </w:t>
      </w:r>
      <w:r w:rsidR="0086283D" w:rsidRPr="001E5747">
        <w:rPr>
          <w:rFonts w:asciiTheme="majorHAnsi" w:hAnsiTheme="majorHAnsi"/>
          <w:sz w:val="21"/>
          <w:szCs w:val="21"/>
          <w:lang w:val="en-GB"/>
        </w:rPr>
        <w:t>20</w:t>
      </w:r>
      <w:r w:rsidR="0086283D">
        <w:rPr>
          <w:rFonts w:asciiTheme="majorHAnsi" w:hAnsiTheme="majorHAnsi"/>
          <w:sz w:val="21"/>
          <w:szCs w:val="21"/>
          <w:lang w:val="en-GB"/>
        </w:rPr>
        <w:t>21</w:t>
      </w:r>
      <w:r w:rsidR="0086283D" w:rsidRPr="001E5747">
        <w:rPr>
          <w:rFonts w:asciiTheme="majorHAnsi" w:hAnsiTheme="majorHAnsi"/>
          <w:sz w:val="21"/>
          <w:szCs w:val="21"/>
          <w:lang w:val="en-GB"/>
        </w:rPr>
        <w:t xml:space="preserve"> </w:t>
      </w:r>
      <w:r w:rsidRPr="001E5747">
        <w:rPr>
          <w:rFonts w:asciiTheme="majorHAnsi" w:hAnsiTheme="majorHAnsi"/>
          <w:sz w:val="21"/>
          <w:szCs w:val="21"/>
          <w:lang w:val="en-GB"/>
        </w:rPr>
        <w:t xml:space="preserve">is </w:t>
      </w:r>
      <w:r w:rsidR="00E77FB0">
        <w:rPr>
          <w:rFonts w:asciiTheme="majorHAnsi" w:hAnsiTheme="majorHAnsi"/>
          <w:sz w:val="21"/>
          <w:szCs w:val="21"/>
          <w:lang w:val="en-GB"/>
        </w:rPr>
        <w:t>assessed</w:t>
      </w:r>
      <w:r w:rsidRPr="001E5747">
        <w:rPr>
          <w:rFonts w:asciiTheme="majorHAnsi" w:hAnsiTheme="majorHAnsi"/>
          <w:sz w:val="21"/>
          <w:szCs w:val="21"/>
          <w:lang w:val="en-GB"/>
        </w:rPr>
        <w:t>;</w:t>
      </w:r>
    </w:p>
    <w:p w14:paraId="3998BB9F" w14:textId="15E2BD7C" w:rsidR="00B739C3" w:rsidRPr="001E5747" w:rsidRDefault="00B739C3" w:rsidP="00B739C3">
      <w:pPr>
        <w:spacing w:before="60" w:line="264" w:lineRule="auto"/>
        <w:ind w:left="540" w:hanging="540"/>
        <w:jc w:val="both"/>
        <w:rPr>
          <w:rFonts w:asciiTheme="majorHAnsi" w:hAnsiTheme="majorHAnsi"/>
          <w:sz w:val="21"/>
          <w:szCs w:val="21"/>
          <w:lang w:val="en-GB"/>
        </w:rPr>
      </w:pPr>
      <w:r w:rsidRPr="001E5747">
        <w:rPr>
          <w:rFonts w:asciiTheme="majorHAnsi" w:hAnsiTheme="majorHAnsi"/>
          <w:b/>
          <w:bCs/>
          <w:sz w:val="21"/>
          <w:szCs w:val="21"/>
          <w:lang w:val="en-GB"/>
        </w:rPr>
        <w:t>1.2.</w:t>
      </w:r>
      <w:r w:rsidRPr="001E5747">
        <w:rPr>
          <w:rFonts w:asciiTheme="majorHAnsi" w:hAnsiTheme="majorHAnsi"/>
          <w:b/>
          <w:bCs/>
          <w:sz w:val="21"/>
          <w:szCs w:val="21"/>
          <w:lang w:val="en-GB"/>
        </w:rPr>
        <w:tab/>
      </w:r>
      <w:r w:rsidR="00E77FB0">
        <w:rPr>
          <w:rFonts w:asciiTheme="majorHAnsi" w:hAnsiTheme="majorHAnsi"/>
          <w:b/>
          <w:bCs/>
          <w:sz w:val="21"/>
          <w:szCs w:val="21"/>
          <w:lang w:val="en-GB"/>
        </w:rPr>
        <w:t>Assessment</w:t>
      </w:r>
      <w:r w:rsidRPr="001E5747">
        <w:rPr>
          <w:rFonts w:asciiTheme="majorHAnsi" w:hAnsiTheme="majorHAnsi"/>
          <w:b/>
          <w:bCs/>
          <w:sz w:val="21"/>
          <w:szCs w:val="21"/>
          <w:lang w:val="en-GB"/>
        </w:rPr>
        <w:t xml:space="preserve"> period -</w:t>
      </w:r>
      <w:r w:rsidRPr="001E5747">
        <w:rPr>
          <w:rFonts w:asciiTheme="majorHAnsi" w:hAnsiTheme="majorHAnsi"/>
          <w:sz w:val="21"/>
          <w:szCs w:val="21"/>
          <w:lang w:val="en-GB"/>
        </w:rPr>
        <w:t xml:space="preserve"> means the period in which the performance appraisal for the MPG is performed</w:t>
      </w:r>
      <w:r w:rsidR="007852A6">
        <w:rPr>
          <w:rFonts w:asciiTheme="majorHAnsi" w:hAnsiTheme="majorHAnsi"/>
          <w:sz w:val="21"/>
          <w:szCs w:val="21"/>
          <w:lang w:val="en-GB"/>
        </w:rPr>
        <w:t xml:space="preserve"> i.e. the municipal performance </w:t>
      </w:r>
      <w:r w:rsidR="000E7915">
        <w:rPr>
          <w:rFonts w:asciiTheme="majorHAnsi" w:hAnsiTheme="majorHAnsi"/>
          <w:sz w:val="21"/>
          <w:szCs w:val="21"/>
          <w:lang w:val="en-GB"/>
        </w:rPr>
        <w:t xml:space="preserve">for the MPG </w:t>
      </w:r>
      <w:r w:rsidR="007852A6">
        <w:rPr>
          <w:rFonts w:asciiTheme="majorHAnsi" w:hAnsiTheme="majorHAnsi"/>
          <w:sz w:val="21"/>
          <w:szCs w:val="21"/>
          <w:lang w:val="en-GB"/>
        </w:rPr>
        <w:t xml:space="preserve">is assessed in 2022 for the performance assessment of the year </w:t>
      </w:r>
      <w:r w:rsidR="0086283D">
        <w:rPr>
          <w:rFonts w:asciiTheme="majorHAnsi" w:hAnsiTheme="majorHAnsi"/>
          <w:sz w:val="21"/>
          <w:szCs w:val="21"/>
          <w:lang w:val="en-GB"/>
        </w:rPr>
        <w:t>2021</w:t>
      </w:r>
    </w:p>
    <w:p w14:paraId="33629F99" w14:textId="32670BB9" w:rsidR="00B739C3" w:rsidRPr="001E5747" w:rsidRDefault="00B739C3" w:rsidP="00B739C3">
      <w:pPr>
        <w:spacing w:before="60" w:line="264" w:lineRule="auto"/>
        <w:ind w:left="540" w:hanging="540"/>
        <w:jc w:val="both"/>
        <w:rPr>
          <w:rFonts w:asciiTheme="majorHAnsi" w:hAnsiTheme="majorHAnsi"/>
          <w:sz w:val="21"/>
          <w:szCs w:val="21"/>
          <w:lang w:val="en-GB"/>
        </w:rPr>
      </w:pPr>
      <w:r w:rsidRPr="001E5747">
        <w:rPr>
          <w:rFonts w:asciiTheme="majorHAnsi" w:hAnsiTheme="majorHAnsi"/>
          <w:b/>
          <w:bCs/>
          <w:sz w:val="21"/>
          <w:szCs w:val="21"/>
          <w:lang w:val="en-GB"/>
        </w:rPr>
        <w:t xml:space="preserve">1.3. </w:t>
      </w:r>
      <w:r w:rsidRPr="001E5747">
        <w:rPr>
          <w:rFonts w:asciiTheme="majorHAnsi" w:hAnsiTheme="majorHAnsi"/>
          <w:b/>
          <w:bCs/>
          <w:sz w:val="21"/>
          <w:szCs w:val="21"/>
          <w:lang w:val="en-GB"/>
        </w:rPr>
        <w:tab/>
      </w:r>
      <w:r w:rsidR="00E77FB0">
        <w:rPr>
          <w:rFonts w:asciiTheme="majorHAnsi" w:hAnsiTheme="majorHAnsi"/>
          <w:b/>
          <w:bCs/>
          <w:sz w:val="21"/>
          <w:szCs w:val="21"/>
          <w:lang w:val="en-GB"/>
        </w:rPr>
        <w:t>Allocation</w:t>
      </w:r>
      <w:r w:rsidRPr="001E5747">
        <w:rPr>
          <w:rFonts w:asciiTheme="majorHAnsi" w:hAnsiTheme="majorHAnsi"/>
          <w:b/>
          <w:bCs/>
          <w:sz w:val="21"/>
          <w:szCs w:val="21"/>
          <w:lang w:val="en-GB"/>
        </w:rPr>
        <w:t xml:space="preserve"> period and utilization of grant -</w:t>
      </w:r>
      <w:r w:rsidRPr="001E5747">
        <w:rPr>
          <w:rFonts w:asciiTheme="majorHAnsi" w:hAnsiTheme="majorHAnsi"/>
          <w:sz w:val="21"/>
          <w:szCs w:val="21"/>
          <w:lang w:val="en-GB"/>
        </w:rPr>
        <w:t xml:space="preserve">means the year in which the grant is made available for use by municipalities. Under these rules the grant will be available to municipalities in </w:t>
      </w:r>
      <w:r w:rsidR="0086283D" w:rsidRPr="001E5747">
        <w:rPr>
          <w:rFonts w:asciiTheme="majorHAnsi" w:hAnsiTheme="majorHAnsi"/>
          <w:sz w:val="21"/>
          <w:szCs w:val="21"/>
          <w:lang w:val="en-GB"/>
        </w:rPr>
        <w:t>202</w:t>
      </w:r>
      <w:r w:rsidR="0086283D">
        <w:rPr>
          <w:rFonts w:asciiTheme="majorHAnsi" w:hAnsiTheme="majorHAnsi"/>
          <w:sz w:val="21"/>
          <w:szCs w:val="21"/>
          <w:lang w:val="en-GB"/>
        </w:rPr>
        <w:t>3</w:t>
      </w:r>
      <w:r w:rsidRPr="001E5747">
        <w:rPr>
          <w:rFonts w:asciiTheme="majorHAnsi" w:hAnsiTheme="majorHAnsi"/>
          <w:sz w:val="21"/>
          <w:szCs w:val="21"/>
          <w:lang w:val="en-GB"/>
        </w:rPr>
        <w:t xml:space="preserve">. </w:t>
      </w:r>
    </w:p>
    <w:p w14:paraId="69918C71" w14:textId="77777777" w:rsidR="00B739C3" w:rsidRPr="001E5747" w:rsidRDefault="00B739C3" w:rsidP="00B739C3">
      <w:pPr>
        <w:rPr>
          <w:lang w:val="en-GB"/>
        </w:rPr>
      </w:pPr>
    </w:p>
    <w:p w14:paraId="0FC5BF6B" w14:textId="77777777" w:rsidR="00B739C3" w:rsidRPr="001E5747" w:rsidRDefault="00B739C3" w:rsidP="00B739C3">
      <w:pPr>
        <w:ind w:left="567"/>
        <w:jc w:val="both"/>
        <w:rPr>
          <w:rFonts w:asciiTheme="majorHAnsi" w:hAnsiTheme="majorHAnsi"/>
          <w:sz w:val="14"/>
          <w:szCs w:val="12"/>
          <w:lang w:val="en-GB"/>
        </w:rPr>
      </w:pPr>
    </w:p>
    <w:p w14:paraId="304D22B8" w14:textId="77777777" w:rsidR="00B739C3" w:rsidRPr="001E5747" w:rsidRDefault="00B739C3" w:rsidP="00B739C3">
      <w:pPr>
        <w:pStyle w:val="Heading1"/>
        <w:numPr>
          <w:ilvl w:val="2"/>
          <w:numId w:val="29"/>
        </w:numPr>
        <w:tabs>
          <w:tab w:val="left" w:pos="540"/>
        </w:tabs>
        <w:rPr>
          <w:rFonts w:asciiTheme="majorHAnsi" w:hAnsiTheme="majorHAnsi"/>
          <w:sz w:val="24"/>
          <w:szCs w:val="21"/>
          <w:lang w:val="en-GB"/>
        </w:rPr>
      </w:pPr>
      <w:r w:rsidRPr="001E5747">
        <w:rPr>
          <w:rFonts w:asciiTheme="majorHAnsi" w:hAnsiTheme="majorHAnsi"/>
          <w:sz w:val="24"/>
          <w:szCs w:val="21"/>
          <w:lang w:val="en-GB"/>
        </w:rPr>
        <w:t xml:space="preserve">Preparations for assessment of MPG </w:t>
      </w:r>
    </w:p>
    <w:p w14:paraId="1A39C530" w14:textId="77777777" w:rsidR="00B739C3" w:rsidRPr="001E5747" w:rsidRDefault="00B739C3" w:rsidP="00B739C3">
      <w:pPr>
        <w:spacing w:line="264" w:lineRule="auto"/>
        <w:jc w:val="both"/>
        <w:rPr>
          <w:rFonts w:asciiTheme="majorHAnsi" w:hAnsiTheme="majorHAnsi"/>
          <w:sz w:val="12"/>
          <w:szCs w:val="12"/>
          <w:lang w:val="en-GB"/>
        </w:rPr>
      </w:pPr>
    </w:p>
    <w:p w14:paraId="354E7BD5" w14:textId="77777777" w:rsidR="00B739C3" w:rsidRPr="001E5747" w:rsidRDefault="00B739C3" w:rsidP="00B739C3">
      <w:pPr>
        <w:spacing w:line="264" w:lineRule="auto"/>
        <w:jc w:val="both"/>
        <w:rPr>
          <w:rFonts w:asciiTheme="majorHAnsi" w:hAnsiTheme="majorHAnsi"/>
          <w:sz w:val="21"/>
          <w:szCs w:val="21"/>
          <w:lang w:val="en-GB"/>
        </w:rPr>
      </w:pPr>
      <w:r w:rsidRPr="001E5747">
        <w:rPr>
          <w:rFonts w:asciiTheme="majorHAnsi" w:hAnsiTheme="majorHAnsi"/>
          <w:sz w:val="21"/>
          <w:szCs w:val="21"/>
          <w:lang w:val="en-GB"/>
        </w:rPr>
        <w:t>The preparatory procedures for the assessment of MPG are as follows:</w:t>
      </w:r>
    </w:p>
    <w:p w14:paraId="1EF17977" w14:textId="5420C772" w:rsidR="00B739C3" w:rsidRPr="001E5747" w:rsidRDefault="00EA7257" w:rsidP="00B739C3">
      <w:pPr>
        <w:pStyle w:val="ListParagraph"/>
        <w:numPr>
          <w:ilvl w:val="0"/>
          <w:numId w:val="38"/>
        </w:numPr>
        <w:spacing w:after="0" w:line="264" w:lineRule="auto"/>
        <w:ind w:left="734" w:hanging="446"/>
        <w:jc w:val="both"/>
        <w:rPr>
          <w:rFonts w:asciiTheme="majorHAnsi" w:hAnsiTheme="majorHAnsi"/>
          <w:sz w:val="21"/>
          <w:szCs w:val="21"/>
          <w:lang w:val="en-GB"/>
        </w:rPr>
      </w:pPr>
      <w:r>
        <w:rPr>
          <w:rFonts w:asciiTheme="majorHAnsi" w:hAnsiTheme="majorHAnsi"/>
          <w:sz w:val="21"/>
          <w:szCs w:val="21"/>
          <w:lang w:val="en-GB"/>
        </w:rPr>
        <w:t xml:space="preserve">The Working </w:t>
      </w:r>
      <w:r w:rsidR="00B739C3" w:rsidRPr="001E5747">
        <w:rPr>
          <w:rFonts w:asciiTheme="majorHAnsi" w:hAnsiTheme="majorHAnsi"/>
          <w:sz w:val="21"/>
          <w:szCs w:val="21"/>
          <w:lang w:val="en-GB"/>
        </w:rPr>
        <w:t xml:space="preserve">Group responsible for drafting the MPG Rules prepares the MPG rules for the fiscal year </w:t>
      </w:r>
      <w:r w:rsidR="0086283D" w:rsidRPr="001E5747">
        <w:rPr>
          <w:rFonts w:asciiTheme="majorHAnsi" w:hAnsiTheme="majorHAnsi"/>
          <w:sz w:val="21"/>
          <w:szCs w:val="21"/>
          <w:lang w:val="en-GB"/>
        </w:rPr>
        <w:t>202</w:t>
      </w:r>
      <w:r w:rsidR="0086283D">
        <w:rPr>
          <w:rFonts w:asciiTheme="majorHAnsi" w:hAnsiTheme="majorHAnsi"/>
          <w:sz w:val="21"/>
          <w:szCs w:val="21"/>
          <w:lang w:val="en-GB"/>
        </w:rPr>
        <w:t>3</w:t>
      </w:r>
      <w:r w:rsidR="0086283D" w:rsidRPr="001E5747">
        <w:rPr>
          <w:rFonts w:asciiTheme="majorHAnsi" w:hAnsiTheme="majorHAnsi"/>
          <w:sz w:val="21"/>
          <w:szCs w:val="21"/>
          <w:lang w:val="en-GB"/>
        </w:rPr>
        <w:t xml:space="preserve"> </w:t>
      </w:r>
      <w:r w:rsidR="00B739C3" w:rsidRPr="001E5747">
        <w:rPr>
          <w:rFonts w:asciiTheme="majorHAnsi" w:hAnsiTheme="majorHAnsi"/>
          <w:sz w:val="21"/>
          <w:szCs w:val="21"/>
          <w:lang w:val="en-GB"/>
        </w:rPr>
        <w:t xml:space="preserve">(year of allocation) </w:t>
      </w:r>
      <w:r>
        <w:rPr>
          <w:rFonts w:asciiTheme="majorHAnsi" w:hAnsiTheme="majorHAnsi"/>
          <w:sz w:val="21"/>
          <w:szCs w:val="21"/>
          <w:lang w:val="en-GB"/>
        </w:rPr>
        <w:t xml:space="preserve">for </w:t>
      </w:r>
      <w:r w:rsidR="00B739C3" w:rsidRPr="001E5747">
        <w:rPr>
          <w:rFonts w:asciiTheme="majorHAnsi" w:hAnsiTheme="majorHAnsi"/>
          <w:sz w:val="21"/>
          <w:szCs w:val="21"/>
          <w:lang w:val="en-GB"/>
        </w:rPr>
        <w:t xml:space="preserve">the performance of municipalities of </w:t>
      </w:r>
      <w:r w:rsidR="0086283D" w:rsidRPr="001E5747">
        <w:rPr>
          <w:rFonts w:asciiTheme="majorHAnsi" w:hAnsiTheme="majorHAnsi"/>
          <w:sz w:val="21"/>
          <w:szCs w:val="21"/>
          <w:lang w:val="en-GB"/>
        </w:rPr>
        <w:t>20</w:t>
      </w:r>
      <w:r w:rsidR="0086283D">
        <w:rPr>
          <w:rFonts w:asciiTheme="majorHAnsi" w:hAnsiTheme="majorHAnsi"/>
          <w:sz w:val="21"/>
          <w:szCs w:val="21"/>
          <w:lang w:val="en-GB"/>
        </w:rPr>
        <w:t>21</w:t>
      </w:r>
      <w:r w:rsidR="00B739C3" w:rsidRPr="001E5747">
        <w:rPr>
          <w:rFonts w:asciiTheme="majorHAnsi" w:hAnsiTheme="majorHAnsi"/>
          <w:sz w:val="21"/>
          <w:szCs w:val="21"/>
          <w:lang w:val="en-GB"/>
        </w:rPr>
        <w:t>.</w:t>
      </w:r>
    </w:p>
    <w:p w14:paraId="30CD90F7" w14:textId="77777777" w:rsidR="00B739C3" w:rsidRPr="001E5747" w:rsidRDefault="00B739C3" w:rsidP="00B739C3">
      <w:pPr>
        <w:pStyle w:val="ListParagraph"/>
        <w:numPr>
          <w:ilvl w:val="0"/>
          <w:numId w:val="38"/>
        </w:numPr>
        <w:spacing w:after="0" w:line="264" w:lineRule="auto"/>
        <w:ind w:left="734" w:hanging="446"/>
        <w:jc w:val="both"/>
        <w:rPr>
          <w:rFonts w:asciiTheme="majorHAnsi" w:hAnsiTheme="majorHAnsi"/>
          <w:sz w:val="21"/>
          <w:szCs w:val="21"/>
          <w:lang w:val="en-GB"/>
        </w:rPr>
      </w:pPr>
      <w:r w:rsidRPr="001E5747">
        <w:rPr>
          <w:rFonts w:asciiTheme="majorHAnsi" w:hAnsiTheme="majorHAnsi"/>
          <w:sz w:val="21"/>
          <w:szCs w:val="21"/>
          <w:lang w:val="en-GB"/>
        </w:rPr>
        <w:t>The drafted rules are submitted to the Secretary General of the MLG</w:t>
      </w:r>
      <w:r w:rsidR="00FA59F6">
        <w:rPr>
          <w:rFonts w:asciiTheme="majorHAnsi" w:hAnsiTheme="majorHAnsi"/>
          <w:sz w:val="21"/>
          <w:szCs w:val="21"/>
          <w:lang w:val="en-GB"/>
        </w:rPr>
        <w:t>A</w:t>
      </w:r>
      <w:r w:rsidRPr="001E5747">
        <w:rPr>
          <w:rFonts w:asciiTheme="majorHAnsi" w:hAnsiTheme="majorHAnsi"/>
          <w:sz w:val="21"/>
          <w:szCs w:val="21"/>
          <w:lang w:val="en-GB"/>
        </w:rPr>
        <w:t xml:space="preserve"> and to </w:t>
      </w:r>
      <w:r w:rsidR="002A60FA" w:rsidRPr="001E5747">
        <w:rPr>
          <w:rFonts w:asciiTheme="majorHAnsi" w:hAnsiTheme="majorHAnsi"/>
          <w:sz w:val="21"/>
          <w:szCs w:val="21"/>
          <w:lang w:val="en-GB"/>
        </w:rPr>
        <w:t>donors</w:t>
      </w:r>
      <w:r w:rsidRPr="001E5747">
        <w:rPr>
          <w:rFonts w:asciiTheme="majorHAnsi" w:hAnsiTheme="majorHAnsi"/>
          <w:sz w:val="21"/>
          <w:szCs w:val="21"/>
          <w:lang w:val="en-GB"/>
        </w:rPr>
        <w:t>.</w:t>
      </w:r>
    </w:p>
    <w:p w14:paraId="593F1930" w14:textId="77777777" w:rsidR="00B739C3" w:rsidRPr="001E5747" w:rsidRDefault="002A60FA" w:rsidP="00B739C3">
      <w:pPr>
        <w:pStyle w:val="ListParagraph"/>
        <w:numPr>
          <w:ilvl w:val="0"/>
          <w:numId w:val="38"/>
        </w:numPr>
        <w:spacing w:after="0" w:line="264" w:lineRule="auto"/>
        <w:ind w:left="734" w:hanging="446"/>
        <w:jc w:val="both"/>
        <w:rPr>
          <w:rFonts w:asciiTheme="majorHAnsi" w:hAnsiTheme="majorHAnsi"/>
          <w:sz w:val="21"/>
          <w:szCs w:val="21"/>
          <w:lang w:val="en-GB"/>
        </w:rPr>
      </w:pPr>
      <w:r w:rsidRPr="001E5747">
        <w:rPr>
          <w:rFonts w:asciiTheme="majorHAnsi" w:hAnsiTheme="majorHAnsi"/>
          <w:sz w:val="21"/>
          <w:szCs w:val="21"/>
          <w:lang w:val="en-GB"/>
        </w:rPr>
        <w:t xml:space="preserve">The </w:t>
      </w:r>
      <w:r w:rsidR="00B739C3" w:rsidRPr="001E5747">
        <w:rPr>
          <w:rFonts w:asciiTheme="majorHAnsi" w:hAnsiTheme="majorHAnsi"/>
          <w:sz w:val="21"/>
          <w:szCs w:val="21"/>
          <w:lang w:val="en-GB"/>
        </w:rPr>
        <w:t xml:space="preserve">MPG rules prior to </w:t>
      </w:r>
      <w:r w:rsidR="00E77FB0">
        <w:rPr>
          <w:rFonts w:asciiTheme="majorHAnsi" w:hAnsiTheme="majorHAnsi"/>
          <w:sz w:val="21"/>
          <w:szCs w:val="21"/>
          <w:lang w:val="en-GB"/>
        </w:rPr>
        <w:t>assessment process</w:t>
      </w:r>
      <w:r w:rsidR="00B739C3" w:rsidRPr="001E5747">
        <w:rPr>
          <w:rFonts w:asciiTheme="majorHAnsi" w:hAnsiTheme="majorHAnsi"/>
          <w:sz w:val="21"/>
          <w:szCs w:val="21"/>
          <w:lang w:val="en-GB"/>
        </w:rPr>
        <w:t xml:space="preserve"> are authorized (approved by the Secretary General of MLG</w:t>
      </w:r>
      <w:r w:rsidR="00FA59F6">
        <w:rPr>
          <w:rFonts w:asciiTheme="majorHAnsi" w:hAnsiTheme="majorHAnsi"/>
          <w:sz w:val="21"/>
          <w:szCs w:val="21"/>
          <w:lang w:val="en-GB"/>
        </w:rPr>
        <w:t>A</w:t>
      </w:r>
      <w:r w:rsidR="00B739C3" w:rsidRPr="001E5747">
        <w:rPr>
          <w:rFonts w:asciiTheme="majorHAnsi" w:hAnsiTheme="majorHAnsi"/>
          <w:sz w:val="21"/>
          <w:szCs w:val="21"/>
          <w:lang w:val="en-GB"/>
        </w:rPr>
        <w:t xml:space="preserve"> and</w:t>
      </w:r>
      <w:r w:rsidR="00E77FB0">
        <w:rPr>
          <w:rFonts w:asciiTheme="majorHAnsi" w:hAnsiTheme="majorHAnsi"/>
          <w:sz w:val="21"/>
          <w:szCs w:val="21"/>
          <w:lang w:val="en-GB"/>
        </w:rPr>
        <w:t xml:space="preserve"> the</w:t>
      </w:r>
      <w:r w:rsidR="00B739C3" w:rsidRPr="001E5747">
        <w:rPr>
          <w:rFonts w:asciiTheme="majorHAnsi" w:hAnsiTheme="majorHAnsi"/>
          <w:sz w:val="21"/>
          <w:szCs w:val="21"/>
          <w:lang w:val="en-GB"/>
        </w:rPr>
        <w:t xml:space="preserve"> </w:t>
      </w:r>
      <w:r w:rsidRPr="001E5747">
        <w:rPr>
          <w:rFonts w:asciiTheme="majorHAnsi" w:hAnsiTheme="majorHAnsi"/>
          <w:sz w:val="21"/>
          <w:szCs w:val="21"/>
          <w:lang w:val="en-GB"/>
        </w:rPr>
        <w:t>donors</w:t>
      </w:r>
      <w:r w:rsidR="00B739C3" w:rsidRPr="001E5747">
        <w:rPr>
          <w:rFonts w:asciiTheme="majorHAnsi" w:hAnsiTheme="majorHAnsi"/>
          <w:sz w:val="21"/>
          <w:szCs w:val="21"/>
          <w:lang w:val="en-GB"/>
        </w:rPr>
        <w:t>.</w:t>
      </w:r>
    </w:p>
    <w:p w14:paraId="64B62EE3" w14:textId="77777777" w:rsidR="00B739C3" w:rsidRPr="001E5747" w:rsidRDefault="00B739C3" w:rsidP="00B739C3">
      <w:pPr>
        <w:pStyle w:val="ListParagraph"/>
        <w:numPr>
          <w:ilvl w:val="0"/>
          <w:numId w:val="38"/>
        </w:numPr>
        <w:spacing w:after="0" w:line="264" w:lineRule="auto"/>
        <w:ind w:left="734" w:hanging="446"/>
        <w:jc w:val="both"/>
        <w:rPr>
          <w:rFonts w:asciiTheme="majorHAnsi" w:hAnsiTheme="majorHAnsi"/>
          <w:sz w:val="21"/>
          <w:szCs w:val="21"/>
          <w:lang w:val="en-GB"/>
        </w:rPr>
      </w:pPr>
      <w:r w:rsidRPr="001E5747">
        <w:rPr>
          <w:rFonts w:asciiTheme="majorHAnsi" w:hAnsiTheme="majorHAnsi"/>
          <w:sz w:val="21"/>
          <w:szCs w:val="21"/>
          <w:lang w:val="en-GB"/>
        </w:rPr>
        <w:t xml:space="preserve">Upon approval, the MPG Rules are distributed to municipalities and published on the website of the </w:t>
      </w:r>
      <w:r w:rsidR="000E4478">
        <w:rPr>
          <w:rFonts w:asciiTheme="majorHAnsi" w:hAnsiTheme="majorHAnsi"/>
          <w:sz w:val="21"/>
          <w:szCs w:val="21"/>
          <w:lang w:val="en-GB"/>
        </w:rPr>
        <w:t>MLGA</w:t>
      </w:r>
      <w:r w:rsidRPr="001E5747">
        <w:rPr>
          <w:rFonts w:asciiTheme="majorHAnsi" w:hAnsiTheme="majorHAnsi"/>
          <w:sz w:val="21"/>
          <w:szCs w:val="21"/>
          <w:lang w:val="en-GB"/>
        </w:rPr>
        <w:t xml:space="preserve">. </w:t>
      </w:r>
    </w:p>
    <w:p w14:paraId="3C319C3F" w14:textId="77777777" w:rsidR="00B739C3" w:rsidRPr="001E5747" w:rsidRDefault="00B739C3" w:rsidP="00B739C3">
      <w:pPr>
        <w:pStyle w:val="ListParagraph"/>
        <w:numPr>
          <w:ilvl w:val="0"/>
          <w:numId w:val="38"/>
        </w:numPr>
        <w:spacing w:after="0" w:line="264" w:lineRule="auto"/>
        <w:ind w:left="734" w:hanging="446"/>
        <w:jc w:val="both"/>
        <w:rPr>
          <w:rFonts w:asciiTheme="majorHAnsi" w:hAnsiTheme="majorHAnsi"/>
          <w:sz w:val="21"/>
          <w:szCs w:val="21"/>
          <w:lang w:val="en-GB"/>
        </w:rPr>
      </w:pPr>
      <w:r w:rsidRPr="001E5747">
        <w:rPr>
          <w:rFonts w:asciiTheme="majorHAnsi" w:hAnsiTheme="majorHAnsi"/>
          <w:sz w:val="21"/>
          <w:szCs w:val="21"/>
          <w:lang w:val="en-GB"/>
        </w:rPr>
        <w:t>The assessment process starts according to the time</w:t>
      </w:r>
      <w:r w:rsidR="000E4478">
        <w:rPr>
          <w:rFonts w:asciiTheme="majorHAnsi" w:hAnsiTheme="majorHAnsi"/>
          <w:sz w:val="21"/>
          <w:szCs w:val="21"/>
          <w:lang w:val="en-GB"/>
        </w:rPr>
        <w:t>lines</w:t>
      </w:r>
      <w:r w:rsidRPr="001E5747">
        <w:rPr>
          <w:rFonts w:asciiTheme="majorHAnsi" w:hAnsiTheme="majorHAnsi"/>
          <w:sz w:val="21"/>
          <w:szCs w:val="21"/>
          <w:lang w:val="en-GB"/>
        </w:rPr>
        <w:t xml:space="preserve"> defined in table 4 of these rules. </w:t>
      </w:r>
    </w:p>
    <w:p w14:paraId="5643F84C" w14:textId="77777777" w:rsidR="00B739C3" w:rsidRPr="001E5747" w:rsidRDefault="00B739C3" w:rsidP="00B739C3">
      <w:pPr>
        <w:spacing w:before="60" w:line="264" w:lineRule="auto"/>
        <w:jc w:val="both"/>
        <w:rPr>
          <w:rFonts w:asciiTheme="majorHAnsi" w:hAnsiTheme="majorHAnsi"/>
          <w:sz w:val="21"/>
          <w:szCs w:val="21"/>
          <w:lang w:val="en-GB"/>
        </w:rPr>
      </w:pPr>
    </w:p>
    <w:p w14:paraId="08996C88" w14:textId="77777777" w:rsidR="00B739C3" w:rsidRPr="001E5747" w:rsidRDefault="00B739C3" w:rsidP="00B739C3">
      <w:pPr>
        <w:ind w:left="567"/>
        <w:jc w:val="both"/>
        <w:rPr>
          <w:rFonts w:asciiTheme="majorHAnsi" w:hAnsiTheme="majorHAnsi"/>
          <w:sz w:val="12"/>
          <w:szCs w:val="12"/>
          <w:lang w:val="en-GB"/>
        </w:rPr>
      </w:pPr>
    </w:p>
    <w:p w14:paraId="00E5469F" w14:textId="77777777" w:rsidR="00B739C3" w:rsidRPr="001E5747" w:rsidRDefault="00B739C3" w:rsidP="00B739C3">
      <w:pPr>
        <w:pStyle w:val="Heading1"/>
        <w:numPr>
          <w:ilvl w:val="2"/>
          <w:numId w:val="29"/>
        </w:numPr>
        <w:tabs>
          <w:tab w:val="left" w:pos="540"/>
        </w:tabs>
        <w:rPr>
          <w:rFonts w:asciiTheme="majorHAnsi" w:hAnsiTheme="majorHAnsi"/>
          <w:sz w:val="24"/>
          <w:lang w:val="en-GB"/>
        </w:rPr>
      </w:pPr>
      <w:r w:rsidRPr="001E5747">
        <w:rPr>
          <w:rFonts w:asciiTheme="majorHAnsi" w:hAnsiTheme="majorHAnsi"/>
          <w:sz w:val="24"/>
          <w:lang w:val="en-GB"/>
        </w:rPr>
        <w:t>Data collection and assessment</w:t>
      </w:r>
    </w:p>
    <w:p w14:paraId="76D2F17D" w14:textId="77777777" w:rsidR="00B739C3" w:rsidRPr="001E5747" w:rsidRDefault="00B739C3" w:rsidP="00B739C3">
      <w:pPr>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t xml:space="preserve">The Technical Group collects the data for the assessment of the municipal performance grant. This data is derived from the following documents: </w:t>
      </w:r>
    </w:p>
    <w:p w14:paraId="15873D4D" w14:textId="228C6903" w:rsidR="00B739C3" w:rsidRDefault="00B739C3" w:rsidP="00B739C3">
      <w:pPr>
        <w:pStyle w:val="ListParagraph"/>
        <w:numPr>
          <w:ilvl w:val="0"/>
          <w:numId w:val="28"/>
        </w:numPr>
        <w:spacing w:after="0" w:line="264" w:lineRule="auto"/>
        <w:jc w:val="both"/>
        <w:rPr>
          <w:rFonts w:asciiTheme="majorHAnsi" w:hAnsiTheme="majorHAnsi"/>
          <w:sz w:val="21"/>
          <w:szCs w:val="21"/>
          <w:lang w:val="en-GB"/>
        </w:rPr>
      </w:pPr>
      <w:r w:rsidRPr="001E5747">
        <w:rPr>
          <w:rFonts w:asciiTheme="majorHAnsi" w:hAnsiTheme="majorHAnsi"/>
          <w:sz w:val="21"/>
          <w:szCs w:val="21"/>
          <w:lang w:val="en-GB"/>
        </w:rPr>
        <w:t xml:space="preserve">Municipal Performance Management System (MPMS) Report </w:t>
      </w:r>
      <w:r w:rsidR="0086283D" w:rsidRPr="001E5747">
        <w:rPr>
          <w:rFonts w:asciiTheme="majorHAnsi" w:hAnsiTheme="majorHAnsi"/>
          <w:sz w:val="21"/>
          <w:szCs w:val="21"/>
          <w:lang w:val="en-GB"/>
        </w:rPr>
        <w:t>20</w:t>
      </w:r>
      <w:r w:rsidR="0086283D">
        <w:rPr>
          <w:rFonts w:asciiTheme="majorHAnsi" w:hAnsiTheme="majorHAnsi"/>
          <w:sz w:val="21"/>
          <w:szCs w:val="21"/>
          <w:lang w:val="en-GB"/>
        </w:rPr>
        <w:t>21</w:t>
      </w:r>
      <w:r w:rsidR="0086283D" w:rsidRPr="001E5747">
        <w:rPr>
          <w:rFonts w:asciiTheme="majorHAnsi" w:hAnsiTheme="majorHAnsi"/>
          <w:sz w:val="21"/>
          <w:szCs w:val="21"/>
          <w:lang w:val="en-GB"/>
        </w:rPr>
        <w:t xml:space="preserve"> </w:t>
      </w:r>
      <w:r w:rsidR="00FA59F6">
        <w:rPr>
          <w:rFonts w:asciiTheme="majorHAnsi" w:hAnsiTheme="majorHAnsi"/>
          <w:sz w:val="21"/>
          <w:szCs w:val="21"/>
          <w:lang w:val="en-GB"/>
        </w:rPr>
        <w:t xml:space="preserve">of MLGA, published </w:t>
      </w:r>
      <w:r w:rsidRPr="001E5747">
        <w:rPr>
          <w:rFonts w:asciiTheme="majorHAnsi" w:hAnsiTheme="majorHAnsi"/>
          <w:sz w:val="21"/>
          <w:szCs w:val="21"/>
          <w:lang w:val="en-GB"/>
        </w:rPr>
        <w:t xml:space="preserve">by MLGA; </w:t>
      </w:r>
    </w:p>
    <w:p w14:paraId="00477FC7" w14:textId="304DE88F" w:rsidR="00603525" w:rsidRPr="00C96E3F" w:rsidRDefault="00603525" w:rsidP="00603525">
      <w:pPr>
        <w:pStyle w:val="ListParagraph"/>
        <w:numPr>
          <w:ilvl w:val="0"/>
          <w:numId w:val="28"/>
        </w:numPr>
        <w:spacing w:after="0" w:line="264" w:lineRule="auto"/>
        <w:jc w:val="both"/>
        <w:rPr>
          <w:rFonts w:asciiTheme="majorHAnsi" w:hAnsiTheme="majorHAnsi"/>
          <w:sz w:val="21"/>
          <w:szCs w:val="21"/>
          <w:lang w:val="en-GB"/>
        </w:rPr>
      </w:pPr>
      <w:r w:rsidRPr="007B7963">
        <w:rPr>
          <w:rFonts w:asciiTheme="majorHAnsi" w:hAnsiTheme="majorHAnsi"/>
          <w:sz w:val="21"/>
          <w:szCs w:val="21"/>
          <w:lang w:val="en-GB"/>
        </w:rPr>
        <w:t xml:space="preserve">Report on the functioning of the municipalities of the Republic of Kosovo for </w:t>
      </w:r>
      <w:r w:rsidR="0086283D">
        <w:rPr>
          <w:rFonts w:asciiTheme="majorHAnsi" w:hAnsiTheme="majorHAnsi"/>
          <w:sz w:val="21"/>
          <w:szCs w:val="21"/>
          <w:lang w:val="en-GB"/>
        </w:rPr>
        <w:t>2021</w:t>
      </w:r>
      <w:r>
        <w:rPr>
          <w:rFonts w:asciiTheme="majorHAnsi" w:hAnsiTheme="majorHAnsi"/>
          <w:sz w:val="21"/>
          <w:szCs w:val="21"/>
          <w:lang w:val="en-GB"/>
        </w:rPr>
        <w:t xml:space="preserve">, published </w:t>
      </w:r>
      <w:r w:rsidR="0086283D">
        <w:rPr>
          <w:rFonts w:asciiTheme="majorHAnsi" w:hAnsiTheme="majorHAnsi"/>
          <w:sz w:val="21"/>
          <w:szCs w:val="21"/>
          <w:lang w:val="en-GB"/>
        </w:rPr>
        <w:t>by MLGA</w:t>
      </w:r>
      <w:r w:rsidR="000A27BE">
        <w:rPr>
          <w:rFonts w:asciiTheme="majorHAnsi" w:hAnsiTheme="majorHAnsi"/>
          <w:sz w:val="21"/>
          <w:szCs w:val="21"/>
          <w:lang w:val="en-GB"/>
        </w:rPr>
        <w:t xml:space="preserve"> </w:t>
      </w:r>
      <w:r w:rsidR="008428CD">
        <w:rPr>
          <w:rFonts w:asciiTheme="majorHAnsi" w:hAnsiTheme="majorHAnsi"/>
          <w:sz w:val="21"/>
          <w:szCs w:val="21"/>
          <w:lang w:val="en-GB"/>
        </w:rPr>
        <w:t xml:space="preserve">and the </w:t>
      </w:r>
      <w:r w:rsidR="0071124B">
        <w:rPr>
          <w:rFonts w:asciiTheme="majorHAnsi" w:hAnsiTheme="majorHAnsi"/>
          <w:sz w:val="21"/>
          <w:szCs w:val="21"/>
          <w:lang w:val="en-GB"/>
        </w:rPr>
        <w:t>R</w:t>
      </w:r>
      <w:r w:rsidR="008428CD">
        <w:rPr>
          <w:rFonts w:asciiTheme="majorHAnsi" w:hAnsiTheme="majorHAnsi"/>
          <w:sz w:val="21"/>
          <w:szCs w:val="21"/>
          <w:lang w:val="en-GB"/>
        </w:rPr>
        <w:t>eport on assessment of legality of municipal assembly acts</w:t>
      </w:r>
      <w:r w:rsidR="0071124B">
        <w:rPr>
          <w:rFonts w:asciiTheme="majorHAnsi" w:hAnsiTheme="majorHAnsi"/>
          <w:sz w:val="21"/>
          <w:szCs w:val="21"/>
          <w:lang w:val="en-GB"/>
        </w:rPr>
        <w:t xml:space="preserve"> 2021</w:t>
      </w:r>
      <w:r w:rsidR="008428CD">
        <w:rPr>
          <w:rFonts w:asciiTheme="majorHAnsi" w:hAnsiTheme="majorHAnsi"/>
          <w:sz w:val="21"/>
          <w:szCs w:val="21"/>
          <w:lang w:val="en-GB"/>
        </w:rPr>
        <w:t>;</w:t>
      </w:r>
    </w:p>
    <w:p w14:paraId="51FDAFBC" w14:textId="413CD0BB" w:rsidR="00B739C3" w:rsidRPr="001E5747" w:rsidRDefault="00B739C3" w:rsidP="00B739C3">
      <w:pPr>
        <w:pStyle w:val="ListParagraph"/>
        <w:numPr>
          <w:ilvl w:val="0"/>
          <w:numId w:val="28"/>
        </w:numPr>
        <w:spacing w:after="0" w:line="264" w:lineRule="auto"/>
        <w:jc w:val="both"/>
        <w:rPr>
          <w:rFonts w:asciiTheme="majorHAnsi" w:hAnsiTheme="majorHAnsi"/>
          <w:sz w:val="21"/>
          <w:szCs w:val="21"/>
          <w:lang w:val="en-GB"/>
        </w:rPr>
      </w:pPr>
      <w:r w:rsidRPr="001E5747">
        <w:rPr>
          <w:rFonts w:asciiTheme="majorHAnsi" w:hAnsiTheme="majorHAnsi"/>
          <w:sz w:val="21"/>
          <w:szCs w:val="21"/>
          <w:lang w:val="en-GB"/>
        </w:rPr>
        <w:t>Regularity audit reports for</w:t>
      </w:r>
      <w:r w:rsidR="0086283D">
        <w:rPr>
          <w:rFonts w:asciiTheme="majorHAnsi" w:hAnsiTheme="majorHAnsi"/>
          <w:sz w:val="21"/>
          <w:szCs w:val="21"/>
          <w:lang w:val="en-GB"/>
        </w:rPr>
        <w:t xml:space="preserve"> the year 2021 for</w:t>
      </w:r>
      <w:r w:rsidRPr="001E5747">
        <w:rPr>
          <w:rFonts w:asciiTheme="majorHAnsi" w:hAnsiTheme="majorHAnsi"/>
          <w:sz w:val="21"/>
          <w:szCs w:val="21"/>
          <w:lang w:val="en-GB"/>
        </w:rPr>
        <w:t xml:space="preserve"> each of the 38 municipalities, published by the NAO; </w:t>
      </w:r>
    </w:p>
    <w:p w14:paraId="4F2706C4" w14:textId="3327DFE7" w:rsidR="002A60FA" w:rsidRDefault="002A60FA" w:rsidP="00B739C3">
      <w:pPr>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t>D</w:t>
      </w:r>
      <w:r w:rsidR="00B739C3" w:rsidRPr="001E5747">
        <w:rPr>
          <w:rFonts w:asciiTheme="majorHAnsi" w:hAnsiTheme="majorHAnsi"/>
          <w:sz w:val="21"/>
          <w:szCs w:val="21"/>
          <w:lang w:val="en-GB"/>
        </w:rPr>
        <w:t xml:space="preserve">ata used from these sources </w:t>
      </w:r>
      <w:r w:rsidRPr="001E5747">
        <w:rPr>
          <w:rFonts w:asciiTheme="majorHAnsi" w:hAnsiTheme="majorHAnsi"/>
          <w:sz w:val="21"/>
          <w:szCs w:val="21"/>
          <w:lang w:val="en-GB"/>
        </w:rPr>
        <w:t xml:space="preserve">allow for </w:t>
      </w:r>
      <w:r w:rsidR="00B739C3" w:rsidRPr="001E5747">
        <w:rPr>
          <w:rFonts w:asciiTheme="majorHAnsi" w:hAnsiTheme="majorHAnsi"/>
          <w:sz w:val="21"/>
          <w:szCs w:val="21"/>
          <w:lang w:val="en-GB"/>
        </w:rPr>
        <w:t xml:space="preserve">identification of municipalities that </w:t>
      </w:r>
      <w:r w:rsidRPr="001E5747">
        <w:rPr>
          <w:rFonts w:asciiTheme="majorHAnsi" w:hAnsiTheme="majorHAnsi"/>
          <w:sz w:val="21"/>
          <w:szCs w:val="21"/>
          <w:lang w:val="en-GB"/>
        </w:rPr>
        <w:t xml:space="preserve">fulfil </w:t>
      </w:r>
      <w:r w:rsidR="00FA59F6">
        <w:rPr>
          <w:rFonts w:asciiTheme="majorHAnsi" w:hAnsiTheme="majorHAnsi"/>
          <w:sz w:val="21"/>
          <w:szCs w:val="21"/>
          <w:lang w:val="en-GB"/>
        </w:rPr>
        <w:t>4</w:t>
      </w:r>
      <w:r w:rsidR="00B739C3" w:rsidRPr="001E5747">
        <w:rPr>
          <w:rFonts w:asciiTheme="majorHAnsi" w:hAnsiTheme="majorHAnsi"/>
          <w:sz w:val="21"/>
          <w:szCs w:val="21"/>
          <w:lang w:val="en-GB"/>
        </w:rPr>
        <w:t xml:space="preserve"> minimum conditions for the </w:t>
      </w:r>
      <w:r w:rsidR="00FA59F6">
        <w:rPr>
          <w:rFonts w:asciiTheme="majorHAnsi" w:hAnsiTheme="majorHAnsi"/>
          <w:sz w:val="21"/>
          <w:szCs w:val="21"/>
          <w:lang w:val="en-GB"/>
        </w:rPr>
        <w:t xml:space="preserve">municipal </w:t>
      </w:r>
      <w:r w:rsidR="00B739C3" w:rsidRPr="001E5747">
        <w:rPr>
          <w:rFonts w:asciiTheme="majorHAnsi" w:hAnsiTheme="majorHAnsi"/>
          <w:sz w:val="21"/>
          <w:szCs w:val="21"/>
          <w:lang w:val="en-GB"/>
        </w:rPr>
        <w:t>performance grant (see Annex 1). T</w:t>
      </w:r>
      <w:r w:rsidRPr="001E5747">
        <w:rPr>
          <w:rFonts w:asciiTheme="majorHAnsi" w:hAnsiTheme="majorHAnsi"/>
          <w:sz w:val="21"/>
          <w:szCs w:val="21"/>
          <w:lang w:val="en-GB"/>
        </w:rPr>
        <w:t>he</w:t>
      </w:r>
      <w:r w:rsidR="00B739C3" w:rsidRPr="001E5747">
        <w:rPr>
          <w:lang w:val="en-GB"/>
        </w:rPr>
        <w:t xml:space="preserve"> </w:t>
      </w:r>
      <w:r w:rsidRPr="001E5747">
        <w:rPr>
          <w:lang w:val="en-GB"/>
        </w:rPr>
        <w:t>d</w:t>
      </w:r>
      <w:r w:rsidR="00B739C3" w:rsidRPr="001E5747">
        <w:rPr>
          <w:rFonts w:asciiTheme="majorHAnsi" w:hAnsiTheme="majorHAnsi"/>
          <w:sz w:val="21"/>
          <w:szCs w:val="21"/>
          <w:lang w:val="en-GB"/>
        </w:rPr>
        <w:t xml:space="preserve">ata are also used to assess MPG indicators (see Annex 2). Once that is done, the scorecard (see template in Annex 3) will be filled in with scores for </w:t>
      </w:r>
      <w:r w:rsidR="00B739C3" w:rsidRPr="001E5747">
        <w:rPr>
          <w:rFonts w:asciiTheme="majorHAnsi" w:hAnsiTheme="majorHAnsi"/>
          <w:sz w:val="21"/>
          <w:szCs w:val="21"/>
          <w:lang w:val="en-GB"/>
        </w:rPr>
        <w:lastRenderedPageBreak/>
        <w:t xml:space="preserve">each municipality. The total score will be entered in the grant allocation table, which will calculate the </w:t>
      </w:r>
      <w:r w:rsidRPr="001E5747">
        <w:rPr>
          <w:rFonts w:asciiTheme="majorHAnsi" w:hAnsiTheme="majorHAnsi"/>
          <w:sz w:val="21"/>
          <w:szCs w:val="21"/>
          <w:lang w:val="en-GB"/>
        </w:rPr>
        <w:t xml:space="preserve">amount </w:t>
      </w:r>
      <w:r w:rsidR="00B739C3" w:rsidRPr="001E5747">
        <w:rPr>
          <w:rFonts w:asciiTheme="majorHAnsi" w:hAnsiTheme="majorHAnsi"/>
          <w:sz w:val="21"/>
          <w:szCs w:val="21"/>
          <w:lang w:val="en-GB"/>
        </w:rPr>
        <w:t xml:space="preserve">of the municipal performance grant for each municipality that </w:t>
      </w:r>
      <w:r w:rsidRPr="001E5747">
        <w:rPr>
          <w:rFonts w:asciiTheme="majorHAnsi" w:hAnsiTheme="majorHAnsi"/>
          <w:sz w:val="21"/>
          <w:szCs w:val="21"/>
          <w:lang w:val="en-GB"/>
        </w:rPr>
        <w:t>is</w:t>
      </w:r>
      <w:r w:rsidR="00B739C3" w:rsidRPr="001E5747">
        <w:rPr>
          <w:rFonts w:asciiTheme="majorHAnsi" w:hAnsiTheme="majorHAnsi"/>
          <w:sz w:val="21"/>
          <w:szCs w:val="21"/>
          <w:lang w:val="en-GB"/>
        </w:rPr>
        <w:t xml:space="preserve"> eligible (Annex 4).</w:t>
      </w:r>
    </w:p>
    <w:p w14:paraId="31DFF6DA" w14:textId="77777777" w:rsidR="00A25A8C" w:rsidRPr="001E5747" w:rsidRDefault="00A25A8C" w:rsidP="00B739C3">
      <w:pPr>
        <w:spacing w:before="60" w:line="264" w:lineRule="auto"/>
        <w:jc w:val="both"/>
        <w:rPr>
          <w:rFonts w:asciiTheme="majorHAnsi" w:hAnsiTheme="majorHAnsi"/>
          <w:sz w:val="21"/>
          <w:szCs w:val="21"/>
          <w:lang w:val="en-GB"/>
        </w:rPr>
      </w:pPr>
    </w:p>
    <w:p w14:paraId="273B797A" w14:textId="77777777" w:rsidR="00B739C3" w:rsidRPr="001E5747" w:rsidRDefault="00B739C3" w:rsidP="00B739C3">
      <w:pPr>
        <w:pStyle w:val="Heading1"/>
        <w:numPr>
          <w:ilvl w:val="2"/>
          <w:numId w:val="29"/>
        </w:numPr>
        <w:tabs>
          <w:tab w:val="left" w:pos="540"/>
        </w:tabs>
        <w:rPr>
          <w:rFonts w:asciiTheme="majorHAnsi" w:hAnsiTheme="majorHAnsi"/>
          <w:lang w:val="en-GB"/>
        </w:rPr>
      </w:pPr>
      <w:r w:rsidRPr="001E5747">
        <w:rPr>
          <w:rFonts w:asciiTheme="majorHAnsi" w:hAnsiTheme="majorHAnsi"/>
          <w:sz w:val="24"/>
          <w:lang w:val="en-GB"/>
        </w:rPr>
        <w:t xml:space="preserve">Communication of results to municipalities and the </w:t>
      </w:r>
      <w:r w:rsidR="002A60FA" w:rsidRPr="001E5747">
        <w:rPr>
          <w:rFonts w:asciiTheme="majorHAnsi" w:hAnsiTheme="majorHAnsi"/>
          <w:sz w:val="24"/>
          <w:lang w:val="en-GB"/>
        </w:rPr>
        <w:t xml:space="preserve">complaint </w:t>
      </w:r>
      <w:r w:rsidRPr="001E5747">
        <w:rPr>
          <w:rFonts w:asciiTheme="majorHAnsi" w:hAnsiTheme="majorHAnsi"/>
          <w:sz w:val="24"/>
          <w:lang w:val="en-GB"/>
        </w:rPr>
        <w:t xml:space="preserve">procedure </w:t>
      </w:r>
    </w:p>
    <w:p w14:paraId="2FB002DB" w14:textId="77777777" w:rsidR="00B739C3" w:rsidRPr="001E5747" w:rsidRDefault="00B739C3" w:rsidP="00B739C3">
      <w:pPr>
        <w:spacing w:before="60" w:line="264" w:lineRule="auto"/>
        <w:jc w:val="both"/>
        <w:rPr>
          <w:rFonts w:ascii="Courier New" w:hAnsi="Courier New" w:cs="Courier New"/>
          <w:sz w:val="21"/>
          <w:szCs w:val="21"/>
          <w:lang w:val="en-GB"/>
        </w:rPr>
      </w:pPr>
      <w:r w:rsidRPr="001E5747">
        <w:rPr>
          <w:rFonts w:asciiTheme="majorHAnsi" w:hAnsiTheme="majorHAnsi"/>
          <w:sz w:val="21"/>
          <w:szCs w:val="21"/>
          <w:lang w:val="en-GB"/>
        </w:rPr>
        <w:t>After the MPG Commission approve</w:t>
      </w:r>
      <w:r w:rsidR="002A60FA" w:rsidRPr="001E5747">
        <w:rPr>
          <w:rFonts w:asciiTheme="majorHAnsi" w:hAnsiTheme="majorHAnsi"/>
          <w:sz w:val="21"/>
          <w:szCs w:val="21"/>
          <w:lang w:val="en-GB"/>
        </w:rPr>
        <w:t>s</w:t>
      </w:r>
      <w:r w:rsidRPr="001E5747">
        <w:rPr>
          <w:rFonts w:asciiTheme="majorHAnsi" w:hAnsiTheme="majorHAnsi"/>
          <w:sz w:val="21"/>
          <w:szCs w:val="21"/>
          <w:lang w:val="en-GB"/>
        </w:rPr>
        <w:t xml:space="preserve"> the results for </w:t>
      </w:r>
      <w:r w:rsidR="002A60FA" w:rsidRPr="001E5747">
        <w:rPr>
          <w:rFonts w:asciiTheme="majorHAnsi" w:hAnsiTheme="majorHAnsi"/>
          <w:sz w:val="21"/>
          <w:szCs w:val="21"/>
          <w:lang w:val="en-GB"/>
        </w:rPr>
        <w:t xml:space="preserve">the </w:t>
      </w:r>
      <w:r w:rsidRPr="001E5747">
        <w:rPr>
          <w:rFonts w:asciiTheme="majorHAnsi" w:hAnsiTheme="majorHAnsi"/>
          <w:sz w:val="21"/>
          <w:szCs w:val="21"/>
          <w:lang w:val="en-GB"/>
        </w:rPr>
        <w:t xml:space="preserve">MPG, within 7 days, it shall communicate the scorecards to the municipalities. The communication of the performance results of the respective municipality </w:t>
      </w:r>
      <w:r w:rsidR="002A60FA" w:rsidRPr="001E5747">
        <w:rPr>
          <w:rFonts w:asciiTheme="majorHAnsi" w:hAnsiTheme="majorHAnsi"/>
          <w:sz w:val="21"/>
          <w:szCs w:val="21"/>
          <w:lang w:val="en-GB"/>
        </w:rPr>
        <w:t>is</w:t>
      </w:r>
      <w:r w:rsidRPr="001E5747">
        <w:rPr>
          <w:rFonts w:asciiTheme="majorHAnsi" w:hAnsiTheme="majorHAnsi"/>
          <w:sz w:val="21"/>
          <w:szCs w:val="21"/>
          <w:lang w:val="en-GB"/>
        </w:rPr>
        <w:t xml:space="preserve"> done only </w:t>
      </w:r>
      <w:r w:rsidR="002A60FA" w:rsidRPr="001E5747">
        <w:rPr>
          <w:rFonts w:asciiTheme="majorHAnsi" w:hAnsiTheme="majorHAnsi"/>
          <w:sz w:val="21"/>
          <w:szCs w:val="21"/>
          <w:lang w:val="en-GB"/>
        </w:rPr>
        <w:t>by</w:t>
      </w:r>
      <w:r w:rsidRPr="001E5747">
        <w:rPr>
          <w:rFonts w:asciiTheme="majorHAnsi" w:hAnsiTheme="majorHAnsi"/>
          <w:sz w:val="21"/>
          <w:szCs w:val="21"/>
          <w:lang w:val="en-GB"/>
        </w:rPr>
        <w:t xml:space="preserve"> providing information on whether the municipality </w:t>
      </w:r>
      <w:r w:rsidR="002A60FA" w:rsidRPr="001E5747">
        <w:rPr>
          <w:rFonts w:asciiTheme="majorHAnsi" w:hAnsiTheme="majorHAnsi"/>
          <w:sz w:val="21"/>
          <w:szCs w:val="21"/>
          <w:lang w:val="en-GB"/>
        </w:rPr>
        <w:t xml:space="preserve">has </w:t>
      </w:r>
      <w:r w:rsidRPr="001E5747">
        <w:rPr>
          <w:rFonts w:asciiTheme="majorHAnsi" w:hAnsiTheme="majorHAnsi"/>
          <w:sz w:val="21"/>
          <w:szCs w:val="21"/>
          <w:lang w:val="en-GB"/>
        </w:rPr>
        <w:t xml:space="preserve">qualified or not, as well as the performance points for the MPG. The amounts and ranking of the municipalities will be communicated </w:t>
      </w:r>
      <w:r w:rsidR="000E4478">
        <w:rPr>
          <w:rFonts w:asciiTheme="majorHAnsi" w:hAnsiTheme="majorHAnsi"/>
          <w:sz w:val="21"/>
          <w:szCs w:val="21"/>
          <w:lang w:val="en-GB"/>
        </w:rPr>
        <w:t xml:space="preserve">only </w:t>
      </w:r>
      <w:r w:rsidRPr="001E5747">
        <w:rPr>
          <w:rFonts w:asciiTheme="majorHAnsi" w:hAnsiTheme="majorHAnsi"/>
          <w:sz w:val="21"/>
          <w:szCs w:val="21"/>
          <w:lang w:val="en-GB"/>
        </w:rPr>
        <w:t xml:space="preserve">after the completion of the </w:t>
      </w:r>
      <w:r w:rsidR="004734E7">
        <w:rPr>
          <w:rFonts w:asciiTheme="majorHAnsi" w:hAnsiTheme="majorHAnsi"/>
          <w:sz w:val="21"/>
          <w:szCs w:val="21"/>
          <w:lang w:val="en-GB"/>
        </w:rPr>
        <w:t>appeal</w:t>
      </w:r>
      <w:r w:rsidRPr="001E5747">
        <w:rPr>
          <w:rFonts w:asciiTheme="majorHAnsi" w:hAnsiTheme="majorHAnsi"/>
          <w:sz w:val="21"/>
          <w:szCs w:val="21"/>
          <w:lang w:val="en-GB"/>
        </w:rPr>
        <w:t xml:space="preserve">s process. </w:t>
      </w:r>
    </w:p>
    <w:p w14:paraId="0E6A549E" w14:textId="77777777" w:rsidR="00B739C3" w:rsidRPr="001E5747" w:rsidRDefault="002A60FA" w:rsidP="00B739C3">
      <w:pPr>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t>After</w:t>
      </w:r>
      <w:r w:rsidR="00B739C3" w:rsidRPr="001E5747">
        <w:rPr>
          <w:rFonts w:asciiTheme="majorHAnsi" w:hAnsiTheme="majorHAnsi"/>
          <w:sz w:val="21"/>
          <w:szCs w:val="21"/>
          <w:lang w:val="en-GB"/>
        </w:rPr>
        <w:t xml:space="preserve"> communication of results, municipalities have the right to </w:t>
      </w:r>
      <w:r w:rsidRPr="001E5747">
        <w:rPr>
          <w:rFonts w:asciiTheme="majorHAnsi" w:hAnsiTheme="majorHAnsi"/>
          <w:sz w:val="21"/>
          <w:szCs w:val="21"/>
          <w:lang w:val="en-GB"/>
        </w:rPr>
        <w:t>appeal</w:t>
      </w:r>
      <w:r w:rsidR="00B739C3" w:rsidRPr="001E5747">
        <w:rPr>
          <w:rFonts w:asciiTheme="majorHAnsi" w:hAnsiTheme="majorHAnsi"/>
          <w:sz w:val="21"/>
          <w:szCs w:val="21"/>
          <w:lang w:val="en-GB"/>
        </w:rPr>
        <w:t xml:space="preserve"> within </w:t>
      </w:r>
      <w:r w:rsidR="00F41037">
        <w:rPr>
          <w:rFonts w:asciiTheme="majorHAnsi" w:hAnsiTheme="majorHAnsi"/>
          <w:b/>
          <w:bCs/>
          <w:sz w:val="21"/>
          <w:szCs w:val="21"/>
          <w:lang w:val="en-GB"/>
        </w:rPr>
        <w:t>7</w:t>
      </w:r>
      <w:r w:rsidR="00B739C3" w:rsidRPr="001E5747">
        <w:rPr>
          <w:rFonts w:asciiTheme="majorHAnsi" w:hAnsiTheme="majorHAnsi"/>
          <w:b/>
          <w:bCs/>
          <w:sz w:val="21"/>
          <w:szCs w:val="21"/>
          <w:lang w:val="en-GB"/>
        </w:rPr>
        <w:t xml:space="preserve"> days from the moment of receiving the scorecard from the ministry</w:t>
      </w:r>
      <w:r w:rsidR="00B739C3" w:rsidRPr="001E5747">
        <w:rPr>
          <w:rFonts w:asciiTheme="majorHAnsi" w:hAnsiTheme="majorHAnsi"/>
          <w:sz w:val="21"/>
          <w:szCs w:val="21"/>
          <w:lang w:val="en-GB"/>
        </w:rPr>
        <w:t>, if they do not agree with the assessment results.</w:t>
      </w:r>
    </w:p>
    <w:p w14:paraId="203CE8B3" w14:textId="77777777" w:rsidR="00B739C3" w:rsidRPr="001E5747" w:rsidRDefault="00B739C3" w:rsidP="00B739C3">
      <w:pPr>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t xml:space="preserve">The complaint can be filed by the municipalities for procedural and material reasons of the MPG assessment. </w:t>
      </w:r>
    </w:p>
    <w:p w14:paraId="5BB7D073" w14:textId="77777777" w:rsidR="00B739C3" w:rsidRPr="001E5747" w:rsidRDefault="00B739C3" w:rsidP="00B739C3">
      <w:pPr>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t xml:space="preserve">The complaint </w:t>
      </w:r>
      <w:r w:rsidR="004734E7" w:rsidRPr="001E5747">
        <w:rPr>
          <w:rFonts w:asciiTheme="majorHAnsi" w:hAnsiTheme="majorHAnsi"/>
          <w:sz w:val="21"/>
          <w:szCs w:val="21"/>
          <w:lang w:val="en-GB"/>
        </w:rPr>
        <w:t xml:space="preserve"> </w:t>
      </w:r>
      <w:r w:rsidRPr="001E5747">
        <w:rPr>
          <w:rFonts w:asciiTheme="majorHAnsi" w:hAnsiTheme="majorHAnsi"/>
          <w:sz w:val="21"/>
          <w:szCs w:val="21"/>
          <w:lang w:val="en-GB"/>
        </w:rPr>
        <w:t xml:space="preserve">cannot </w:t>
      </w:r>
      <w:r w:rsidR="004734E7">
        <w:rPr>
          <w:rFonts w:asciiTheme="majorHAnsi" w:hAnsiTheme="majorHAnsi"/>
          <w:sz w:val="21"/>
          <w:szCs w:val="21"/>
          <w:lang w:val="en-GB"/>
        </w:rPr>
        <w:t>dispute</w:t>
      </w:r>
      <w:r w:rsidRPr="001E5747">
        <w:rPr>
          <w:rFonts w:asciiTheme="majorHAnsi" w:hAnsiTheme="majorHAnsi"/>
          <w:sz w:val="21"/>
          <w:szCs w:val="21"/>
          <w:lang w:val="en-GB"/>
        </w:rPr>
        <w:t xml:space="preserve"> the source of the official data used during the assessment. </w:t>
      </w:r>
    </w:p>
    <w:p w14:paraId="35C4B92C" w14:textId="77777777" w:rsidR="00B739C3" w:rsidRPr="001E5747" w:rsidRDefault="00B739C3" w:rsidP="00B739C3">
      <w:pPr>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t xml:space="preserve">If a municipality claims that the </w:t>
      </w:r>
      <w:r w:rsidR="002A60FA" w:rsidRPr="001E5747">
        <w:rPr>
          <w:rFonts w:asciiTheme="majorHAnsi" w:hAnsiTheme="majorHAnsi"/>
          <w:sz w:val="21"/>
          <w:szCs w:val="21"/>
          <w:lang w:val="en-GB"/>
        </w:rPr>
        <w:t>assessors</w:t>
      </w:r>
      <w:r w:rsidRPr="001E5747">
        <w:rPr>
          <w:rFonts w:asciiTheme="majorHAnsi" w:hAnsiTheme="majorHAnsi"/>
          <w:sz w:val="21"/>
          <w:szCs w:val="21"/>
          <w:lang w:val="en-GB"/>
        </w:rPr>
        <w:t xml:space="preserve"> </w:t>
      </w:r>
      <w:r w:rsidR="002A60FA" w:rsidRPr="001E5747">
        <w:rPr>
          <w:rFonts w:asciiTheme="majorHAnsi" w:hAnsiTheme="majorHAnsi"/>
          <w:sz w:val="21"/>
          <w:szCs w:val="21"/>
          <w:lang w:val="en-GB"/>
        </w:rPr>
        <w:t>of</w:t>
      </w:r>
      <w:r w:rsidRPr="001E5747">
        <w:rPr>
          <w:rFonts w:asciiTheme="majorHAnsi" w:hAnsiTheme="majorHAnsi"/>
          <w:sz w:val="21"/>
          <w:szCs w:val="21"/>
          <w:lang w:val="en-GB"/>
        </w:rPr>
        <w:t xml:space="preserve"> the MPG have made errors in the assessment of its performance, it can exercise its right of appeal under the following procedures:</w:t>
      </w:r>
    </w:p>
    <w:p w14:paraId="5700AE51" w14:textId="77777777" w:rsidR="002E08B9" w:rsidRPr="001E5747" w:rsidRDefault="002E08B9" w:rsidP="00B739C3">
      <w:pPr>
        <w:ind w:left="567"/>
        <w:jc w:val="both"/>
        <w:rPr>
          <w:rFonts w:asciiTheme="majorHAnsi" w:hAnsiTheme="majorHAnsi"/>
          <w:sz w:val="21"/>
          <w:szCs w:val="21"/>
          <w:lang w:val="en-GB"/>
        </w:rPr>
      </w:pPr>
    </w:p>
    <w:tbl>
      <w:tblPr>
        <w:tblStyle w:val="TableGrid1"/>
        <w:tblW w:w="8222" w:type="dxa"/>
        <w:tblInd w:w="675" w:type="dxa"/>
        <w:tblLayout w:type="fixed"/>
        <w:tblLook w:val="04A0" w:firstRow="1" w:lastRow="0" w:firstColumn="1" w:lastColumn="0" w:noHBand="0" w:noVBand="1"/>
      </w:tblPr>
      <w:tblGrid>
        <w:gridCol w:w="709"/>
        <w:gridCol w:w="5245"/>
        <w:gridCol w:w="2268"/>
      </w:tblGrid>
      <w:tr w:rsidR="00B739C3" w:rsidRPr="001E5747" w14:paraId="4A6FAC9C" w14:textId="77777777" w:rsidTr="00B739C3">
        <w:trPr>
          <w:trHeight w:val="278"/>
        </w:trPr>
        <w:tc>
          <w:tcPr>
            <w:tcW w:w="8222" w:type="dxa"/>
            <w:gridSpan w:val="3"/>
            <w:shd w:val="clear" w:color="auto" w:fill="808080"/>
          </w:tcPr>
          <w:p w14:paraId="502C3164" w14:textId="77777777" w:rsidR="00B739C3" w:rsidRPr="001E5747" w:rsidRDefault="00B739C3" w:rsidP="00B739C3">
            <w:pPr>
              <w:spacing w:before="120"/>
              <w:rPr>
                <w:rFonts w:asciiTheme="majorHAnsi" w:hAnsiTheme="majorHAnsi"/>
                <w:sz w:val="21"/>
                <w:szCs w:val="21"/>
                <w:lang w:val="en-GB"/>
              </w:rPr>
            </w:pPr>
            <w:r w:rsidRPr="001E5747">
              <w:rPr>
                <w:rFonts w:asciiTheme="majorHAnsi" w:hAnsiTheme="majorHAnsi"/>
                <w:b/>
                <w:color w:val="FFFFFF" w:themeColor="background1"/>
                <w:sz w:val="21"/>
                <w:szCs w:val="21"/>
                <w:lang w:val="en-GB"/>
              </w:rPr>
              <w:t>Steps and timelines in a complaint process</w:t>
            </w:r>
          </w:p>
        </w:tc>
      </w:tr>
      <w:tr w:rsidR="00B739C3" w:rsidRPr="001E5747" w14:paraId="0318D12D" w14:textId="77777777" w:rsidTr="00B739C3">
        <w:trPr>
          <w:trHeight w:val="278"/>
        </w:trPr>
        <w:tc>
          <w:tcPr>
            <w:tcW w:w="709" w:type="dxa"/>
            <w:shd w:val="clear" w:color="auto" w:fill="DBE5F1" w:themeFill="accent1" w:themeFillTint="33"/>
          </w:tcPr>
          <w:p w14:paraId="393DAA00" w14:textId="77777777" w:rsidR="00B739C3" w:rsidRPr="001E5747" w:rsidRDefault="00B739C3" w:rsidP="00B739C3">
            <w:pPr>
              <w:spacing w:before="120"/>
              <w:rPr>
                <w:rFonts w:asciiTheme="majorHAnsi" w:hAnsiTheme="majorHAnsi"/>
                <w:sz w:val="21"/>
                <w:szCs w:val="21"/>
                <w:lang w:val="en-GB"/>
              </w:rPr>
            </w:pPr>
            <w:r w:rsidRPr="001E5747">
              <w:rPr>
                <w:rFonts w:asciiTheme="majorHAnsi" w:hAnsiTheme="majorHAnsi"/>
                <w:sz w:val="21"/>
                <w:szCs w:val="21"/>
                <w:lang w:val="en-GB"/>
              </w:rPr>
              <w:t>1.</w:t>
            </w:r>
          </w:p>
        </w:tc>
        <w:tc>
          <w:tcPr>
            <w:tcW w:w="5245" w:type="dxa"/>
            <w:shd w:val="clear" w:color="auto" w:fill="DBE5F1" w:themeFill="accent1" w:themeFillTint="33"/>
          </w:tcPr>
          <w:p w14:paraId="0DAF86DD" w14:textId="77777777" w:rsidR="00B739C3" w:rsidRPr="001E5747" w:rsidRDefault="00B739C3" w:rsidP="00B739C3">
            <w:pPr>
              <w:spacing w:before="120"/>
              <w:rPr>
                <w:rFonts w:asciiTheme="majorHAnsi" w:hAnsiTheme="majorHAnsi"/>
                <w:sz w:val="21"/>
                <w:szCs w:val="21"/>
                <w:lang w:val="en-GB"/>
              </w:rPr>
            </w:pPr>
            <w:r w:rsidRPr="001E5747">
              <w:rPr>
                <w:rFonts w:asciiTheme="majorHAnsi" w:hAnsiTheme="majorHAnsi"/>
                <w:sz w:val="21"/>
                <w:szCs w:val="21"/>
                <w:lang w:val="en-GB"/>
              </w:rPr>
              <w:t xml:space="preserve">If, after receiving the scorecard, a municipality is of the opinion that procedural or material mistakes have been made in the performance grant assessment, the municipality has the right to file a complaint to the </w:t>
            </w:r>
            <w:r w:rsidR="00091613" w:rsidRPr="001E5747">
              <w:rPr>
                <w:rFonts w:asciiTheme="majorHAnsi" w:hAnsiTheme="majorHAnsi"/>
                <w:sz w:val="21"/>
                <w:szCs w:val="21"/>
                <w:lang w:val="en-GB"/>
              </w:rPr>
              <w:t>appeal commission</w:t>
            </w:r>
            <w:r w:rsidRPr="001E5747">
              <w:rPr>
                <w:rFonts w:asciiTheme="majorHAnsi" w:hAnsiTheme="majorHAnsi"/>
                <w:sz w:val="21"/>
                <w:szCs w:val="21"/>
                <w:lang w:val="en-GB"/>
              </w:rPr>
              <w:t>.</w:t>
            </w:r>
          </w:p>
          <w:p w14:paraId="21D57CFE" w14:textId="77777777" w:rsidR="00B739C3" w:rsidRPr="001E5747" w:rsidRDefault="00B739C3" w:rsidP="00B739C3">
            <w:pPr>
              <w:spacing w:before="60"/>
              <w:rPr>
                <w:rFonts w:asciiTheme="majorHAnsi" w:hAnsiTheme="majorHAnsi"/>
                <w:sz w:val="21"/>
                <w:szCs w:val="21"/>
                <w:lang w:val="en-GB"/>
              </w:rPr>
            </w:pPr>
            <w:r w:rsidRPr="001E5747">
              <w:rPr>
                <w:rFonts w:asciiTheme="majorHAnsi" w:hAnsiTheme="majorHAnsi"/>
                <w:sz w:val="21"/>
                <w:szCs w:val="21"/>
                <w:lang w:val="en-GB"/>
              </w:rPr>
              <w:t>The complaint should:</w:t>
            </w:r>
          </w:p>
          <w:p w14:paraId="1628D24D" w14:textId="77777777" w:rsidR="00B739C3" w:rsidRPr="001E5747" w:rsidRDefault="00B739C3" w:rsidP="00B739C3">
            <w:pPr>
              <w:pStyle w:val="ListParagraph"/>
              <w:numPr>
                <w:ilvl w:val="0"/>
                <w:numId w:val="18"/>
              </w:numPr>
              <w:spacing w:before="40" w:after="0" w:line="240" w:lineRule="auto"/>
              <w:ind w:left="326" w:hanging="326"/>
              <w:rPr>
                <w:rFonts w:asciiTheme="majorHAnsi" w:hAnsiTheme="majorHAnsi"/>
                <w:sz w:val="21"/>
                <w:szCs w:val="21"/>
                <w:lang w:val="en-GB" w:eastAsia="de-CH"/>
              </w:rPr>
            </w:pPr>
            <w:r w:rsidRPr="001E5747">
              <w:rPr>
                <w:rFonts w:asciiTheme="majorHAnsi" w:hAnsiTheme="majorHAnsi"/>
                <w:sz w:val="21"/>
                <w:szCs w:val="21"/>
                <w:lang w:val="en-GB" w:eastAsia="de-CH"/>
              </w:rPr>
              <w:t xml:space="preserve">Be justified with factual data; </w:t>
            </w:r>
          </w:p>
          <w:p w14:paraId="37188607" w14:textId="77777777" w:rsidR="00B739C3" w:rsidRPr="001E5747" w:rsidRDefault="00B739C3" w:rsidP="00B739C3">
            <w:pPr>
              <w:pStyle w:val="ListParagraph"/>
              <w:numPr>
                <w:ilvl w:val="0"/>
                <w:numId w:val="18"/>
              </w:numPr>
              <w:spacing w:before="40" w:after="0" w:line="240" w:lineRule="auto"/>
              <w:ind w:left="326" w:hanging="326"/>
              <w:rPr>
                <w:rFonts w:asciiTheme="majorHAnsi" w:hAnsiTheme="majorHAnsi"/>
                <w:sz w:val="21"/>
                <w:szCs w:val="21"/>
                <w:lang w:val="en-GB" w:eastAsia="de-CH"/>
              </w:rPr>
            </w:pPr>
            <w:r w:rsidRPr="001E5747">
              <w:rPr>
                <w:rFonts w:asciiTheme="majorHAnsi" w:hAnsiTheme="majorHAnsi"/>
                <w:sz w:val="21"/>
                <w:szCs w:val="21"/>
                <w:lang w:val="en-GB" w:eastAsia="de-CH"/>
              </w:rPr>
              <w:t xml:space="preserve">Be signed by the mayor and be protocolled; </w:t>
            </w:r>
          </w:p>
          <w:p w14:paraId="42DA7AE8" w14:textId="77777777" w:rsidR="00B739C3" w:rsidRPr="001E5747" w:rsidRDefault="00B739C3" w:rsidP="00B739C3">
            <w:pPr>
              <w:pStyle w:val="ListParagraph"/>
              <w:numPr>
                <w:ilvl w:val="0"/>
                <w:numId w:val="18"/>
              </w:numPr>
              <w:spacing w:before="40" w:after="0" w:line="240" w:lineRule="auto"/>
              <w:ind w:left="326" w:hanging="326"/>
              <w:rPr>
                <w:rFonts w:asciiTheme="majorHAnsi" w:hAnsiTheme="majorHAnsi"/>
                <w:sz w:val="21"/>
                <w:szCs w:val="21"/>
                <w:lang w:val="en-GB" w:eastAsia="de-CH"/>
              </w:rPr>
            </w:pPr>
            <w:r w:rsidRPr="001E5747">
              <w:rPr>
                <w:rFonts w:asciiTheme="majorHAnsi" w:hAnsiTheme="majorHAnsi"/>
                <w:sz w:val="21"/>
                <w:szCs w:val="21"/>
                <w:lang w:val="en-GB" w:eastAsia="de-CH"/>
              </w:rPr>
              <w:t>Be submitted in writing to:</w:t>
            </w:r>
          </w:p>
          <w:p w14:paraId="52A9F13E" w14:textId="77777777" w:rsidR="00B739C3" w:rsidRPr="001E5747" w:rsidRDefault="00B739C3" w:rsidP="00B739C3">
            <w:pPr>
              <w:ind w:firstLine="601"/>
              <w:rPr>
                <w:rFonts w:asciiTheme="majorHAnsi" w:hAnsiTheme="majorHAnsi"/>
                <w:sz w:val="21"/>
                <w:szCs w:val="21"/>
                <w:lang w:val="en-GB"/>
              </w:rPr>
            </w:pPr>
            <w:r w:rsidRPr="001E5747">
              <w:rPr>
                <w:rFonts w:asciiTheme="majorHAnsi" w:hAnsiTheme="majorHAnsi"/>
                <w:sz w:val="21"/>
                <w:szCs w:val="21"/>
                <w:lang w:val="en-GB"/>
              </w:rPr>
              <w:t>Appeals Commission</w:t>
            </w:r>
          </w:p>
          <w:p w14:paraId="5C98C4FE" w14:textId="77777777" w:rsidR="00B739C3" w:rsidRPr="001E5747" w:rsidRDefault="00B739C3" w:rsidP="00B739C3">
            <w:pPr>
              <w:ind w:firstLine="601"/>
              <w:rPr>
                <w:rFonts w:asciiTheme="majorHAnsi" w:hAnsiTheme="majorHAnsi"/>
                <w:sz w:val="21"/>
                <w:szCs w:val="21"/>
                <w:lang w:val="en-GB"/>
              </w:rPr>
            </w:pPr>
            <w:r w:rsidRPr="001E5747">
              <w:rPr>
                <w:rFonts w:asciiTheme="majorHAnsi" w:hAnsiTheme="majorHAnsi"/>
                <w:sz w:val="21"/>
                <w:szCs w:val="21"/>
                <w:lang w:val="en-GB"/>
              </w:rPr>
              <w:t>Ministry of Local Government</w:t>
            </w:r>
            <w:r w:rsidR="0078029C">
              <w:rPr>
                <w:rFonts w:asciiTheme="majorHAnsi" w:hAnsiTheme="majorHAnsi"/>
                <w:sz w:val="21"/>
                <w:szCs w:val="21"/>
                <w:lang w:val="en-GB"/>
              </w:rPr>
              <w:t xml:space="preserve"> Administration</w:t>
            </w:r>
          </w:p>
          <w:p w14:paraId="6BCA2C92" w14:textId="77777777" w:rsidR="00B739C3" w:rsidRPr="0028141A" w:rsidRDefault="00B739C3" w:rsidP="00B739C3">
            <w:pPr>
              <w:ind w:firstLine="601"/>
              <w:rPr>
                <w:rFonts w:asciiTheme="majorHAnsi" w:hAnsiTheme="majorHAnsi"/>
                <w:sz w:val="21"/>
                <w:lang w:val="it-CH"/>
              </w:rPr>
            </w:pPr>
            <w:r w:rsidRPr="0028141A">
              <w:rPr>
                <w:rFonts w:asciiTheme="majorHAnsi" w:hAnsiTheme="majorHAnsi"/>
                <w:sz w:val="21"/>
                <w:lang w:val="it-CH"/>
              </w:rPr>
              <w:t>E-mail: info.m</w:t>
            </w:r>
            <w:r w:rsidR="00FA59F6" w:rsidRPr="0028141A">
              <w:rPr>
                <w:rFonts w:asciiTheme="majorHAnsi" w:hAnsiTheme="majorHAnsi"/>
                <w:sz w:val="21"/>
                <w:lang w:val="it-CH"/>
              </w:rPr>
              <w:t>a</w:t>
            </w:r>
            <w:r w:rsidRPr="0028141A">
              <w:rPr>
                <w:rFonts w:asciiTheme="majorHAnsi" w:hAnsiTheme="majorHAnsi"/>
                <w:sz w:val="21"/>
                <w:lang w:val="it-CH"/>
              </w:rPr>
              <w:t>pl@rks-gov.net</w:t>
            </w:r>
            <w:hyperlink r:id="rId13" w:history="1"/>
            <w:r w:rsidRPr="0028141A">
              <w:rPr>
                <w:rFonts w:asciiTheme="majorHAnsi" w:hAnsiTheme="majorHAnsi"/>
                <w:sz w:val="21"/>
                <w:lang w:val="it-CH"/>
              </w:rPr>
              <w:t xml:space="preserve"> </w:t>
            </w:r>
          </w:p>
          <w:p w14:paraId="461CD73F" w14:textId="77777777" w:rsidR="00B739C3" w:rsidRPr="001E5747" w:rsidRDefault="00B739C3" w:rsidP="00B739C3">
            <w:pPr>
              <w:spacing w:before="60"/>
              <w:rPr>
                <w:rFonts w:asciiTheme="majorHAnsi" w:hAnsiTheme="majorHAnsi"/>
                <w:sz w:val="21"/>
                <w:szCs w:val="21"/>
                <w:lang w:val="en-GB"/>
              </w:rPr>
            </w:pPr>
            <w:r w:rsidRPr="001E5747">
              <w:rPr>
                <w:rFonts w:asciiTheme="majorHAnsi" w:hAnsiTheme="majorHAnsi"/>
                <w:sz w:val="21"/>
                <w:szCs w:val="21"/>
                <w:lang w:val="en-GB"/>
              </w:rPr>
              <w:t>After submitting the complaint, the MLG</w:t>
            </w:r>
            <w:r w:rsidR="00FA59F6">
              <w:rPr>
                <w:rFonts w:asciiTheme="majorHAnsi" w:hAnsiTheme="majorHAnsi"/>
                <w:sz w:val="21"/>
                <w:szCs w:val="21"/>
                <w:lang w:val="en-GB"/>
              </w:rPr>
              <w:t>A</w:t>
            </w:r>
            <w:r w:rsidRPr="001E5747">
              <w:rPr>
                <w:rFonts w:asciiTheme="majorHAnsi" w:hAnsiTheme="majorHAnsi"/>
                <w:sz w:val="21"/>
                <w:szCs w:val="21"/>
                <w:lang w:val="en-GB"/>
              </w:rPr>
              <w:t xml:space="preserve"> confirms in writing the receipt of the complaint.</w:t>
            </w:r>
            <w:r w:rsidRPr="001E5747">
              <w:rPr>
                <w:rFonts w:asciiTheme="majorHAnsi" w:hAnsiTheme="majorHAnsi"/>
                <w:sz w:val="21"/>
                <w:szCs w:val="21"/>
                <w:lang w:val="en-GB" w:eastAsia="en-GB"/>
              </w:rPr>
              <w:t xml:space="preserve">  </w:t>
            </w:r>
          </w:p>
        </w:tc>
        <w:tc>
          <w:tcPr>
            <w:tcW w:w="2268" w:type="dxa"/>
            <w:shd w:val="clear" w:color="auto" w:fill="DBE5F1" w:themeFill="accent1" w:themeFillTint="33"/>
          </w:tcPr>
          <w:p w14:paraId="5B7A6F9D" w14:textId="77777777" w:rsidR="00B739C3" w:rsidRPr="001E5747" w:rsidRDefault="00B739C3" w:rsidP="00B739C3">
            <w:pPr>
              <w:spacing w:before="120"/>
              <w:rPr>
                <w:rFonts w:asciiTheme="majorHAnsi" w:hAnsiTheme="majorHAnsi"/>
                <w:sz w:val="21"/>
                <w:szCs w:val="21"/>
                <w:lang w:val="en-GB"/>
              </w:rPr>
            </w:pPr>
            <w:r w:rsidRPr="001E5747">
              <w:rPr>
                <w:rFonts w:asciiTheme="majorHAnsi" w:hAnsiTheme="majorHAnsi"/>
                <w:sz w:val="21"/>
                <w:szCs w:val="21"/>
                <w:lang w:val="en-GB"/>
              </w:rPr>
              <w:t>Within 7 days from the receipt of the scorecard, before 16:00</w:t>
            </w:r>
          </w:p>
        </w:tc>
      </w:tr>
      <w:tr w:rsidR="00B739C3" w:rsidRPr="001E5747" w14:paraId="26F9B227" w14:textId="77777777" w:rsidTr="000E4478">
        <w:trPr>
          <w:trHeight w:val="980"/>
        </w:trPr>
        <w:tc>
          <w:tcPr>
            <w:tcW w:w="709" w:type="dxa"/>
          </w:tcPr>
          <w:p w14:paraId="6A1D577A" w14:textId="77777777" w:rsidR="00B739C3" w:rsidRPr="001E5747" w:rsidRDefault="00B739C3" w:rsidP="00B739C3">
            <w:pPr>
              <w:spacing w:before="80"/>
              <w:jc w:val="center"/>
              <w:rPr>
                <w:rFonts w:asciiTheme="majorHAnsi" w:hAnsiTheme="majorHAnsi"/>
                <w:sz w:val="21"/>
                <w:szCs w:val="21"/>
                <w:lang w:val="en-GB"/>
              </w:rPr>
            </w:pPr>
            <w:r w:rsidRPr="001E5747">
              <w:rPr>
                <w:rFonts w:asciiTheme="majorHAnsi" w:hAnsiTheme="majorHAnsi"/>
                <w:sz w:val="21"/>
                <w:szCs w:val="21"/>
                <w:lang w:val="en-GB"/>
              </w:rPr>
              <w:t>2.</w:t>
            </w:r>
          </w:p>
        </w:tc>
        <w:tc>
          <w:tcPr>
            <w:tcW w:w="5245" w:type="dxa"/>
          </w:tcPr>
          <w:p w14:paraId="02B1E301" w14:textId="77777777" w:rsidR="00B739C3" w:rsidRPr="001E5747" w:rsidRDefault="00B739C3" w:rsidP="00B739C3">
            <w:pPr>
              <w:shd w:val="clear" w:color="auto" w:fill="FFFFFF"/>
              <w:spacing w:before="80"/>
              <w:textAlignment w:val="baseline"/>
              <w:rPr>
                <w:rFonts w:asciiTheme="majorHAnsi" w:hAnsiTheme="majorHAnsi"/>
                <w:sz w:val="21"/>
                <w:szCs w:val="21"/>
                <w:lang w:val="en-GB" w:eastAsia="en-GB"/>
              </w:rPr>
            </w:pPr>
            <w:r w:rsidRPr="001E5747">
              <w:rPr>
                <w:rFonts w:asciiTheme="majorHAnsi" w:hAnsiTheme="majorHAnsi"/>
                <w:sz w:val="21"/>
                <w:szCs w:val="21"/>
                <w:lang w:val="en-GB"/>
              </w:rPr>
              <w:t xml:space="preserve">The Appeals Commission reviews the complaints and makes a decision on the complaints filed. </w:t>
            </w:r>
          </w:p>
        </w:tc>
        <w:tc>
          <w:tcPr>
            <w:tcW w:w="2268" w:type="dxa"/>
          </w:tcPr>
          <w:p w14:paraId="7D5E5542" w14:textId="77777777" w:rsidR="00B739C3" w:rsidRPr="001E5747" w:rsidRDefault="00B739C3" w:rsidP="00B739C3">
            <w:pPr>
              <w:spacing w:before="80"/>
              <w:rPr>
                <w:rFonts w:asciiTheme="majorHAnsi" w:hAnsiTheme="majorHAnsi"/>
                <w:sz w:val="21"/>
                <w:szCs w:val="21"/>
                <w:lang w:val="en-GB"/>
              </w:rPr>
            </w:pPr>
            <w:r w:rsidRPr="001E5747">
              <w:rPr>
                <w:rFonts w:asciiTheme="majorHAnsi" w:hAnsiTheme="majorHAnsi"/>
                <w:sz w:val="21"/>
                <w:szCs w:val="21"/>
                <w:lang w:val="en-GB"/>
              </w:rPr>
              <w:t>Within 7 days after complaint period closure</w:t>
            </w:r>
          </w:p>
        </w:tc>
      </w:tr>
      <w:tr w:rsidR="00B739C3" w:rsidRPr="001E5747" w14:paraId="5E4249DA" w14:textId="77777777" w:rsidTr="000E4478">
        <w:trPr>
          <w:trHeight w:val="980"/>
        </w:trPr>
        <w:tc>
          <w:tcPr>
            <w:tcW w:w="709" w:type="dxa"/>
            <w:shd w:val="clear" w:color="auto" w:fill="DBE5F1" w:themeFill="accent1" w:themeFillTint="33"/>
          </w:tcPr>
          <w:p w14:paraId="54343F3C" w14:textId="77777777" w:rsidR="00B739C3" w:rsidRPr="001E5747" w:rsidRDefault="00B739C3" w:rsidP="00B739C3">
            <w:pPr>
              <w:spacing w:before="80"/>
              <w:jc w:val="center"/>
              <w:rPr>
                <w:rFonts w:asciiTheme="majorHAnsi" w:hAnsiTheme="majorHAnsi"/>
                <w:sz w:val="21"/>
                <w:szCs w:val="21"/>
                <w:lang w:val="en-GB"/>
              </w:rPr>
            </w:pPr>
            <w:r w:rsidRPr="001E5747">
              <w:rPr>
                <w:rFonts w:asciiTheme="majorHAnsi" w:hAnsiTheme="majorHAnsi"/>
                <w:sz w:val="21"/>
                <w:szCs w:val="21"/>
                <w:lang w:val="en-GB"/>
              </w:rPr>
              <w:t>3</w:t>
            </w:r>
          </w:p>
        </w:tc>
        <w:tc>
          <w:tcPr>
            <w:tcW w:w="5245" w:type="dxa"/>
            <w:shd w:val="clear" w:color="auto" w:fill="DBE5F1" w:themeFill="accent1" w:themeFillTint="33"/>
          </w:tcPr>
          <w:p w14:paraId="736ABC0F" w14:textId="77777777" w:rsidR="00B739C3" w:rsidRPr="001E5747" w:rsidDel="002301B3" w:rsidRDefault="00B739C3" w:rsidP="0071467D">
            <w:pPr>
              <w:spacing w:before="120"/>
              <w:rPr>
                <w:rFonts w:asciiTheme="majorHAnsi" w:hAnsiTheme="majorHAnsi"/>
                <w:sz w:val="21"/>
                <w:szCs w:val="21"/>
                <w:lang w:val="en-GB"/>
              </w:rPr>
            </w:pPr>
            <w:r w:rsidRPr="001E5747">
              <w:rPr>
                <w:rFonts w:asciiTheme="majorHAnsi" w:hAnsiTheme="majorHAnsi"/>
                <w:sz w:val="21"/>
                <w:szCs w:val="21"/>
                <w:lang w:val="en-GB"/>
              </w:rPr>
              <w:t>In case of change of the assessment scores as a result of the Decision of the Appeals Commission, the MPG Commission</w:t>
            </w:r>
            <w:r w:rsidR="000E4478">
              <w:rPr>
                <w:rFonts w:asciiTheme="majorHAnsi" w:hAnsiTheme="majorHAnsi"/>
                <w:sz w:val="21"/>
                <w:szCs w:val="21"/>
                <w:lang w:val="en-GB"/>
              </w:rPr>
              <w:t xml:space="preserve">, through the Technical group, </w:t>
            </w:r>
            <w:r w:rsidRPr="001E5747">
              <w:rPr>
                <w:rFonts w:asciiTheme="majorHAnsi" w:hAnsiTheme="majorHAnsi"/>
                <w:sz w:val="21"/>
                <w:szCs w:val="21"/>
                <w:lang w:val="en-GB"/>
              </w:rPr>
              <w:t xml:space="preserve"> </w:t>
            </w:r>
            <w:r w:rsidR="000E4478">
              <w:rPr>
                <w:rFonts w:asciiTheme="majorHAnsi" w:hAnsiTheme="majorHAnsi"/>
                <w:sz w:val="21"/>
                <w:szCs w:val="21"/>
                <w:lang w:val="en-GB"/>
              </w:rPr>
              <w:t>corrects</w:t>
            </w:r>
            <w:r w:rsidR="000E4478" w:rsidRPr="001E5747">
              <w:rPr>
                <w:rFonts w:asciiTheme="majorHAnsi" w:hAnsiTheme="majorHAnsi"/>
                <w:sz w:val="21"/>
                <w:szCs w:val="21"/>
                <w:lang w:val="en-GB"/>
              </w:rPr>
              <w:t xml:space="preserve"> </w:t>
            </w:r>
            <w:r w:rsidRPr="001E5747">
              <w:rPr>
                <w:rFonts w:asciiTheme="majorHAnsi" w:hAnsiTheme="majorHAnsi"/>
                <w:sz w:val="21"/>
                <w:szCs w:val="21"/>
                <w:lang w:val="en-GB"/>
              </w:rPr>
              <w:t>the assessment report and notifies the municipality.</w:t>
            </w:r>
          </w:p>
        </w:tc>
        <w:tc>
          <w:tcPr>
            <w:tcW w:w="2268" w:type="dxa"/>
            <w:shd w:val="clear" w:color="auto" w:fill="DBE5F1" w:themeFill="accent1" w:themeFillTint="33"/>
          </w:tcPr>
          <w:p w14:paraId="60BD6E6E" w14:textId="77777777" w:rsidR="00B739C3" w:rsidRPr="001E5747" w:rsidRDefault="00B739C3" w:rsidP="00B739C3">
            <w:pPr>
              <w:spacing w:before="80"/>
              <w:rPr>
                <w:rFonts w:asciiTheme="majorHAnsi" w:hAnsiTheme="majorHAnsi"/>
                <w:sz w:val="21"/>
                <w:szCs w:val="21"/>
                <w:lang w:val="en-GB"/>
              </w:rPr>
            </w:pPr>
            <w:r w:rsidRPr="001E5747">
              <w:rPr>
                <w:rFonts w:asciiTheme="majorHAnsi" w:hAnsiTheme="majorHAnsi"/>
                <w:sz w:val="21"/>
                <w:szCs w:val="21"/>
                <w:lang w:val="en-GB"/>
              </w:rPr>
              <w:t>Within 14 days after the decision of the Appeals Commission</w:t>
            </w:r>
          </w:p>
        </w:tc>
      </w:tr>
    </w:tbl>
    <w:p w14:paraId="30180C82" w14:textId="77777777" w:rsidR="00B739C3" w:rsidRPr="001E5747" w:rsidRDefault="00B739C3" w:rsidP="00B739C3">
      <w:pPr>
        <w:spacing w:before="60" w:line="264" w:lineRule="auto"/>
        <w:ind w:left="720"/>
        <w:jc w:val="both"/>
        <w:rPr>
          <w:rFonts w:asciiTheme="majorHAnsi" w:hAnsiTheme="majorHAnsi"/>
          <w:sz w:val="6"/>
          <w:szCs w:val="6"/>
          <w:lang w:val="en-GB"/>
        </w:rPr>
      </w:pPr>
    </w:p>
    <w:p w14:paraId="25A4A8AD" w14:textId="77777777" w:rsidR="00B739C3" w:rsidRPr="001E5747" w:rsidRDefault="00B739C3" w:rsidP="00B739C3">
      <w:pPr>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t xml:space="preserve">In case a complaint of one or more municipalities is successful and </w:t>
      </w:r>
      <w:r w:rsidR="002A60FA" w:rsidRPr="001E5747">
        <w:rPr>
          <w:rFonts w:asciiTheme="majorHAnsi" w:hAnsiTheme="majorHAnsi"/>
          <w:sz w:val="21"/>
          <w:szCs w:val="21"/>
          <w:lang w:val="en-GB"/>
        </w:rPr>
        <w:t>leads to</w:t>
      </w:r>
      <w:r w:rsidRPr="001E5747">
        <w:rPr>
          <w:rFonts w:asciiTheme="majorHAnsi" w:hAnsiTheme="majorHAnsi"/>
          <w:sz w:val="21"/>
          <w:szCs w:val="21"/>
          <w:lang w:val="en-GB"/>
        </w:rPr>
        <w:t xml:space="preserve"> the change of MPG results, this will also have an effect on the size of the grant to other municipalities. All changes in the grant allocation after the complaints process are approved by the MPG Commission. </w:t>
      </w:r>
    </w:p>
    <w:p w14:paraId="38E7B955" w14:textId="77777777" w:rsidR="00B739C3" w:rsidRPr="001E5747" w:rsidRDefault="00B739C3" w:rsidP="00B739C3">
      <w:pPr>
        <w:spacing w:before="60" w:line="264" w:lineRule="auto"/>
        <w:jc w:val="both"/>
        <w:rPr>
          <w:rFonts w:asciiTheme="majorHAnsi" w:hAnsiTheme="majorHAnsi"/>
          <w:sz w:val="6"/>
          <w:szCs w:val="6"/>
          <w:lang w:val="en-GB"/>
        </w:rPr>
      </w:pPr>
    </w:p>
    <w:p w14:paraId="2CBDCC78" w14:textId="77777777" w:rsidR="00B739C3" w:rsidRPr="001E5747" w:rsidRDefault="00B739C3" w:rsidP="00B739C3">
      <w:pPr>
        <w:pStyle w:val="Heading1"/>
        <w:numPr>
          <w:ilvl w:val="2"/>
          <w:numId w:val="29"/>
        </w:numPr>
        <w:tabs>
          <w:tab w:val="left" w:pos="540"/>
        </w:tabs>
        <w:rPr>
          <w:rFonts w:asciiTheme="majorHAnsi" w:hAnsiTheme="majorHAnsi"/>
          <w:sz w:val="24"/>
          <w:lang w:val="en-GB"/>
        </w:rPr>
      </w:pPr>
      <w:r w:rsidRPr="001E5747">
        <w:rPr>
          <w:rFonts w:asciiTheme="majorHAnsi" w:hAnsiTheme="majorHAnsi"/>
          <w:sz w:val="24"/>
          <w:lang w:val="en-GB"/>
        </w:rPr>
        <w:lastRenderedPageBreak/>
        <w:t>Finalising and publishing the assessment results and grant allocation</w:t>
      </w:r>
    </w:p>
    <w:p w14:paraId="0859E23A" w14:textId="77777777" w:rsidR="00B739C3" w:rsidRPr="001E5747" w:rsidRDefault="00B739C3" w:rsidP="00B739C3">
      <w:pPr>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t xml:space="preserve">Once the Appeal Commission has decided on the complaints, the MPG Commission, through the technical group, makes changes to the assessment report and the subsequent allocation of the municipal performance grant is considered final. </w:t>
      </w:r>
    </w:p>
    <w:p w14:paraId="7B487B3F" w14:textId="77777777" w:rsidR="00B739C3" w:rsidRPr="001E5747" w:rsidRDefault="00B739C3" w:rsidP="00B739C3">
      <w:pPr>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t xml:space="preserve">The final results and grant amounts will be communicated to municipalities so that they can plan the use of the municipal performance grant. </w:t>
      </w:r>
    </w:p>
    <w:p w14:paraId="26AD1839" w14:textId="77777777" w:rsidR="00B739C3" w:rsidRPr="001E5747" w:rsidRDefault="00B739C3" w:rsidP="00B739C3">
      <w:pPr>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t>MLG</w:t>
      </w:r>
      <w:r w:rsidR="00FA59F6">
        <w:rPr>
          <w:rFonts w:asciiTheme="majorHAnsi" w:hAnsiTheme="majorHAnsi"/>
          <w:sz w:val="21"/>
          <w:szCs w:val="21"/>
          <w:lang w:val="en-GB"/>
        </w:rPr>
        <w:t>A</w:t>
      </w:r>
      <w:r w:rsidRPr="001E5747">
        <w:rPr>
          <w:rFonts w:asciiTheme="majorHAnsi" w:hAnsiTheme="majorHAnsi"/>
          <w:sz w:val="21"/>
          <w:szCs w:val="21"/>
          <w:lang w:val="en-GB"/>
        </w:rPr>
        <w:t xml:space="preserve"> publishes the final performance assessment report on its website.</w:t>
      </w:r>
    </w:p>
    <w:p w14:paraId="598711C1" w14:textId="77777777" w:rsidR="00B739C3" w:rsidRPr="001E5747" w:rsidRDefault="00B739C3" w:rsidP="00B739C3">
      <w:pPr>
        <w:spacing w:before="60" w:line="264" w:lineRule="auto"/>
        <w:jc w:val="both"/>
        <w:rPr>
          <w:rFonts w:asciiTheme="majorHAnsi" w:hAnsiTheme="majorHAnsi"/>
          <w:sz w:val="21"/>
          <w:szCs w:val="21"/>
          <w:lang w:val="en-GB"/>
        </w:rPr>
      </w:pPr>
    </w:p>
    <w:p w14:paraId="2DC10B28" w14:textId="77777777" w:rsidR="00B739C3" w:rsidRPr="001E5747" w:rsidRDefault="00B739C3" w:rsidP="00B739C3">
      <w:pPr>
        <w:jc w:val="both"/>
        <w:rPr>
          <w:rFonts w:asciiTheme="majorHAnsi" w:hAnsiTheme="majorHAnsi"/>
          <w:sz w:val="6"/>
          <w:szCs w:val="6"/>
          <w:lang w:val="en-GB"/>
        </w:rPr>
      </w:pPr>
    </w:p>
    <w:p w14:paraId="61D5C28A" w14:textId="77777777" w:rsidR="00B739C3" w:rsidRPr="001E5747" w:rsidRDefault="00B739C3" w:rsidP="00B739C3">
      <w:pPr>
        <w:pStyle w:val="Heading1"/>
        <w:numPr>
          <w:ilvl w:val="2"/>
          <w:numId w:val="29"/>
        </w:numPr>
        <w:tabs>
          <w:tab w:val="left" w:pos="540"/>
        </w:tabs>
        <w:rPr>
          <w:rFonts w:asciiTheme="majorHAnsi" w:hAnsiTheme="majorHAnsi"/>
          <w:sz w:val="24"/>
          <w:lang w:val="en-GB"/>
        </w:rPr>
      </w:pPr>
      <w:r w:rsidRPr="001E5747">
        <w:rPr>
          <w:rFonts w:asciiTheme="majorHAnsi" w:hAnsiTheme="majorHAnsi"/>
          <w:sz w:val="24"/>
          <w:lang w:val="en-GB"/>
        </w:rPr>
        <w:t>Measures to ensure objective assessment</w:t>
      </w:r>
    </w:p>
    <w:p w14:paraId="60950D22" w14:textId="77777777" w:rsidR="00B739C3" w:rsidRPr="001E5747" w:rsidRDefault="00B739C3" w:rsidP="00B739C3">
      <w:pPr>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t>There is a risk of mistakes during the municipal assessment process for MPG. This means that non-objective assessment affects the undeserved distribu</w:t>
      </w:r>
      <w:r w:rsidR="00A0644E" w:rsidRPr="001E5747">
        <w:rPr>
          <w:rFonts w:asciiTheme="majorHAnsi" w:hAnsiTheme="majorHAnsi"/>
          <w:sz w:val="21"/>
          <w:szCs w:val="21"/>
          <w:lang w:val="en-GB"/>
        </w:rPr>
        <w:t>tion of the performance grant.</w:t>
      </w:r>
    </w:p>
    <w:p w14:paraId="5125CBDC" w14:textId="77777777" w:rsidR="00B739C3" w:rsidRPr="001E5747" w:rsidRDefault="00B739C3" w:rsidP="00B739C3">
      <w:pPr>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t xml:space="preserve">In order to avoid this risk, the Regulation on MPMS as well as Performance Grant Rules set out the following quality assurance mechanisms: </w:t>
      </w:r>
    </w:p>
    <w:p w14:paraId="320A9016" w14:textId="77777777" w:rsidR="00B739C3" w:rsidRPr="001E5747" w:rsidRDefault="00B739C3" w:rsidP="00B739C3">
      <w:pPr>
        <w:pStyle w:val="ListParagraph"/>
        <w:numPr>
          <w:ilvl w:val="0"/>
          <w:numId w:val="26"/>
        </w:numPr>
        <w:spacing w:after="160" w:line="259" w:lineRule="auto"/>
        <w:contextualSpacing/>
        <w:jc w:val="both"/>
        <w:rPr>
          <w:rFonts w:asciiTheme="majorHAnsi" w:hAnsiTheme="majorHAnsi"/>
          <w:sz w:val="21"/>
          <w:szCs w:val="21"/>
          <w:lang w:val="en-GB" w:eastAsia="en-US"/>
        </w:rPr>
      </w:pPr>
      <w:r w:rsidRPr="001E5747">
        <w:rPr>
          <w:rFonts w:asciiTheme="majorHAnsi" w:hAnsiTheme="majorHAnsi"/>
          <w:sz w:val="21"/>
          <w:szCs w:val="21"/>
          <w:lang w:val="en-GB" w:eastAsia="en-US"/>
        </w:rPr>
        <w:t>Verification process - which enables comparison of data reported with documents or facts that prove authenticity</w:t>
      </w:r>
      <w:r w:rsidRPr="001E5747">
        <w:rPr>
          <w:color w:val="000000" w:themeColor="text1"/>
          <w:sz w:val="21"/>
          <w:szCs w:val="21"/>
          <w:lang w:val="en-GB"/>
        </w:rPr>
        <w:t>;</w:t>
      </w:r>
    </w:p>
    <w:p w14:paraId="5A467BAD" w14:textId="77777777" w:rsidR="00B739C3" w:rsidRPr="001E5747" w:rsidRDefault="00B739C3" w:rsidP="00B739C3">
      <w:pPr>
        <w:pStyle w:val="ListParagraph"/>
        <w:numPr>
          <w:ilvl w:val="0"/>
          <w:numId w:val="26"/>
        </w:numPr>
        <w:spacing w:after="160" w:line="259" w:lineRule="auto"/>
        <w:contextualSpacing/>
        <w:jc w:val="both"/>
        <w:rPr>
          <w:rFonts w:asciiTheme="majorHAnsi" w:hAnsiTheme="majorHAnsi"/>
          <w:sz w:val="21"/>
          <w:szCs w:val="21"/>
          <w:lang w:val="en-GB" w:eastAsia="en-US"/>
        </w:rPr>
      </w:pPr>
      <w:r w:rsidRPr="001E5747">
        <w:rPr>
          <w:rFonts w:asciiTheme="majorHAnsi" w:hAnsiTheme="majorHAnsi"/>
          <w:sz w:val="21"/>
          <w:szCs w:val="21"/>
          <w:lang w:val="en-GB" w:eastAsia="en-US"/>
        </w:rPr>
        <w:t xml:space="preserve">Implementation of complaint procedures both in the case of drafting the performance report and in the assessment process for the MPG. </w:t>
      </w:r>
    </w:p>
    <w:p w14:paraId="5D0373F6" w14:textId="411A00FB" w:rsidR="00B739C3" w:rsidRPr="001E5747" w:rsidRDefault="00B739C3" w:rsidP="00B739C3">
      <w:pPr>
        <w:pStyle w:val="ListParagraph"/>
        <w:numPr>
          <w:ilvl w:val="0"/>
          <w:numId w:val="26"/>
        </w:numPr>
        <w:spacing w:after="160" w:line="259" w:lineRule="auto"/>
        <w:contextualSpacing/>
        <w:jc w:val="both"/>
        <w:rPr>
          <w:rFonts w:asciiTheme="majorHAnsi" w:hAnsiTheme="majorHAnsi"/>
          <w:sz w:val="21"/>
          <w:szCs w:val="21"/>
          <w:lang w:val="en-GB"/>
        </w:rPr>
      </w:pPr>
      <w:r w:rsidRPr="001E5747">
        <w:rPr>
          <w:rFonts w:asciiTheme="majorHAnsi" w:hAnsiTheme="majorHAnsi"/>
          <w:sz w:val="21"/>
          <w:szCs w:val="21"/>
          <w:lang w:val="en-GB"/>
        </w:rPr>
        <w:t xml:space="preserve">Involvement of </w:t>
      </w:r>
      <w:r w:rsidR="000E4478">
        <w:rPr>
          <w:rFonts w:asciiTheme="majorHAnsi" w:hAnsiTheme="majorHAnsi"/>
          <w:sz w:val="21"/>
          <w:szCs w:val="21"/>
          <w:lang w:val="en-GB"/>
        </w:rPr>
        <w:t>donors</w:t>
      </w:r>
      <w:r w:rsidR="000E4478" w:rsidRPr="001E5747">
        <w:rPr>
          <w:rFonts w:asciiTheme="majorHAnsi" w:hAnsiTheme="majorHAnsi"/>
          <w:sz w:val="21"/>
          <w:szCs w:val="21"/>
          <w:lang w:val="en-GB"/>
        </w:rPr>
        <w:t xml:space="preserve"> </w:t>
      </w:r>
      <w:r w:rsidRPr="001E5747">
        <w:rPr>
          <w:rFonts w:asciiTheme="majorHAnsi" w:hAnsiTheme="majorHAnsi"/>
          <w:sz w:val="21"/>
          <w:szCs w:val="21"/>
          <w:lang w:val="en-GB"/>
        </w:rPr>
        <w:t>in all MPG and performance assessment processes;</w:t>
      </w:r>
    </w:p>
    <w:p w14:paraId="68849595" w14:textId="77777777" w:rsidR="00B739C3" w:rsidRPr="001E5747" w:rsidRDefault="00B739C3" w:rsidP="00B739C3">
      <w:pPr>
        <w:pStyle w:val="ListParagraph"/>
        <w:numPr>
          <w:ilvl w:val="0"/>
          <w:numId w:val="26"/>
        </w:numPr>
        <w:spacing w:after="160" w:line="259" w:lineRule="auto"/>
        <w:contextualSpacing/>
        <w:jc w:val="both"/>
        <w:rPr>
          <w:rFonts w:asciiTheme="majorHAnsi" w:hAnsiTheme="majorHAnsi"/>
          <w:sz w:val="21"/>
          <w:szCs w:val="21"/>
          <w:lang w:val="en-GB"/>
        </w:rPr>
      </w:pPr>
      <w:r w:rsidRPr="001E5747">
        <w:rPr>
          <w:rFonts w:asciiTheme="majorHAnsi" w:hAnsiTheme="majorHAnsi"/>
          <w:sz w:val="21"/>
          <w:szCs w:val="21"/>
          <w:lang w:val="en-GB"/>
        </w:rPr>
        <w:t xml:space="preserve">Active involvement of civil society in the capacity of decision-makers (in the MPG Appeals Commission) as well as in the </w:t>
      </w:r>
      <w:r w:rsidR="000E4478">
        <w:rPr>
          <w:rFonts w:asciiTheme="majorHAnsi" w:hAnsiTheme="majorHAnsi"/>
          <w:sz w:val="21"/>
          <w:szCs w:val="21"/>
          <w:lang w:val="en-GB"/>
        </w:rPr>
        <w:t>capacity</w:t>
      </w:r>
      <w:r w:rsidR="000E4478" w:rsidRPr="001E5747">
        <w:rPr>
          <w:rFonts w:asciiTheme="majorHAnsi" w:hAnsiTheme="majorHAnsi"/>
          <w:sz w:val="21"/>
          <w:szCs w:val="21"/>
          <w:lang w:val="en-GB"/>
        </w:rPr>
        <w:t xml:space="preserve"> </w:t>
      </w:r>
      <w:r w:rsidRPr="001E5747">
        <w:rPr>
          <w:rFonts w:asciiTheme="majorHAnsi" w:hAnsiTheme="majorHAnsi"/>
          <w:sz w:val="21"/>
          <w:szCs w:val="21"/>
          <w:lang w:val="en-GB"/>
        </w:rPr>
        <w:t>of observers in the MPG Commission</w:t>
      </w:r>
      <w:r w:rsidR="000E4478">
        <w:rPr>
          <w:rFonts w:asciiTheme="majorHAnsi" w:hAnsiTheme="majorHAnsi"/>
          <w:sz w:val="21"/>
          <w:szCs w:val="21"/>
          <w:lang w:val="en-GB"/>
        </w:rPr>
        <w:t xml:space="preserve"> and possibly in the Technical group</w:t>
      </w:r>
      <w:r w:rsidRPr="001E5747">
        <w:rPr>
          <w:rFonts w:asciiTheme="majorHAnsi" w:hAnsiTheme="majorHAnsi"/>
          <w:sz w:val="21"/>
          <w:szCs w:val="21"/>
          <w:lang w:val="en-GB"/>
        </w:rPr>
        <w:t>;</w:t>
      </w:r>
    </w:p>
    <w:p w14:paraId="416B6094" w14:textId="77777777" w:rsidR="00B739C3" w:rsidRPr="001E5747" w:rsidRDefault="00B739C3" w:rsidP="00B739C3">
      <w:pPr>
        <w:pStyle w:val="ListParagraph"/>
        <w:numPr>
          <w:ilvl w:val="0"/>
          <w:numId w:val="26"/>
        </w:numPr>
        <w:spacing w:after="160" w:line="259" w:lineRule="auto"/>
        <w:contextualSpacing/>
        <w:jc w:val="both"/>
        <w:rPr>
          <w:rFonts w:asciiTheme="majorHAnsi" w:hAnsiTheme="majorHAnsi"/>
          <w:sz w:val="21"/>
          <w:szCs w:val="21"/>
          <w:lang w:val="en-GB"/>
        </w:rPr>
      </w:pPr>
      <w:r w:rsidRPr="001E5747">
        <w:rPr>
          <w:rFonts w:asciiTheme="majorHAnsi" w:hAnsiTheme="majorHAnsi"/>
          <w:sz w:val="21"/>
          <w:szCs w:val="21"/>
          <w:lang w:val="en-GB"/>
        </w:rPr>
        <w:t xml:space="preserve">Verification of the quality of grant allocation by external consultants (optional). </w:t>
      </w:r>
    </w:p>
    <w:p w14:paraId="4F64D360" w14:textId="77777777" w:rsidR="00B739C3" w:rsidRPr="001E5747" w:rsidRDefault="00B739C3" w:rsidP="00B739C3">
      <w:pPr>
        <w:pStyle w:val="ListParagraph"/>
        <w:numPr>
          <w:ilvl w:val="0"/>
          <w:numId w:val="26"/>
        </w:numPr>
        <w:spacing w:after="160" w:line="259" w:lineRule="auto"/>
        <w:contextualSpacing/>
        <w:jc w:val="both"/>
        <w:rPr>
          <w:rFonts w:asciiTheme="majorHAnsi" w:hAnsiTheme="majorHAnsi"/>
          <w:sz w:val="21"/>
          <w:szCs w:val="21"/>
          <w:lang w:val="en-GB"/>
        </w:rPr>
      </w:pPr>
      <w:r w:rsidRPr="001E5747">
        <w:rPr>
          <w:rFonts w:asciiTheme="majorHAnsi" w:hAnsiTheme="majorHAnsi"/>
          <w:sz w:val="21"/>
          <w:szCs w:val="21"/>
          <w:lang w:val="en-GB"/>
        </w:rPr>
        <w:t>Possibility of declaring performance data invalid in cases of non-compliance with quality criteria (Article 21 of the Regulation on MPMS) in accordance with the relevant Methodology;</w:t>
      </w:r>
    </w:p>
    <w:p w14:paraId="6A0DD9E5" w14:textId="77777777" w:rsidR="00B739C3" w:rsidRPr="001E5747" w:rsidRDefault="00B739C3" w:rsidP="00B739C3">
      <w:pPr>
        <w:spacing w:after="160" w:line="259" w:lineRule="auto"/>
        <w:contextualSpacing/>
        <w:jc w:val="both"/>
        <w:rPr>
          <w:rFonts w:asciiTheme="majorHAnsi" w:hAnsiTheme="majorHAnsi"/>
          <w:sz w:val="21"/>
          <w:szCs w:val="21"/>
          <w:lang w:val="en-GB"/>
        </w:rPr>
      </w:pPr>
    </w:p>
    <w:p w14:paraId="306D2618" w14:textId="77777777" w:rsidR="00B739C3" w:rsidRPr="001E5747" w:rsidRDefault="00B739C3" w:rsidP="00B739C3">
      <w:pPr>
        <w:spacing w:before="60" w:line="264" w:lineRule="auto"/>
        <w:ind w:left="709" w:firstLine="11"/>
        <w:jc w:val="both"/>
        <w:rPr>
          <w:rFonts w:ascii="Arial" w:hAnsi="Arial"/>
          <w:sz w:val="6"/>
          <w:szCs w:val="21"/>
          <w:lang w:val="en-GB"/>
        </w:rPr>
        <w:sectPr w:rsidR="00B739C3" w:rsidRPr="001E5747" w:rsidSect="0086396D">
          <w:headerReference w:type="default" r:id="rId14"/>
          <w:footerReference w:type="default" r:id="rId15"/>
          <w:type w:val="continuous"/>
          <w:pgSz w:w="11909" w:h="16834" w:code="9"/>
          <w:pgMar w:top="1260" w:right="1440" w:bottom="990" w:left="1701" w:header="1298" w:footer="773" w:gutter="0"/>
          <w:pgNumType w:start="3"/>
          <w:cols w:space="720"/>
          <w:docGrid w:linePitch="360"/>
        </w:sectPr>
      </w:pPr>
    </w:p>
    <w:p w14:paraId="665B42E1" w14:textId="77777777" w:rsidR="00B739C3" w:rsidRPr="001E5747" w:rsidRDefault="00B739C3" w:rsidP="00B739C3">
      <w:pPr>
        <w:pStyle w:val="Heading1"/>
        <w:numPr>
          <w:ilvl w:val="0"/>
          <w:numId w:val="2"/>
        </w:numPr>
        <w:shd w:val="clear" w:color="auto" w:fill="D55635"/>
        <w:tabs>
          <w:tab w:val="left" w:pos="540"/>
        </w:tabs>
        <w:ind w:left="902" w:hanging="902"/>
        <w:rPr>
          <w:rFonts w:asciiTheme="majorHAnsi" w:hAnsiTheme="majorHAnsi"/>
          <w:color w:val="FFFFFF" w:themeColor="background1"/>
          <w:sz w:val="32"/>
          <w:szCs w:val="32"/>
          <w:lang w:val="en-GB"/>
        </w:rPr>
      </w:pPr>
      <w:r w:rsidRPr="001E5747">
        <w:rPr>
          <w:rFonts w:asciiTheme="majorHAnsi" w:hAnsiTheme="majorHAnsi"/>
          <w:color w:val="FFFFFF" w:themeColor="background1"/>
          <w:sz w:val="32"/>
          <w:szCs w:val="32"/>
          <w:lang w:val="en-GB"/>
        </w:rPr>
        <w:lastRenderedPageBreak/>
        <w:t>Annexes</w:t>
      </w:r>
    </w:p>
    <w:p w14:paraId="56219B9C" w14:textId="77777777" w:rsidR="00B739C3" w:rsidRPr="001E5747" w:rsidRDefault="00B739C3" w:rsidP="00B739C3">
      <w:pPr>
        <w:rPr>
          <w:b/>
          <w:sz w:val="28"/>
          <w:lang w:val="en-GB"/>
        </w:rPr>
      </w:pPr>
    </w:p>
    <w:p w14:paraId="625BA2C3" w14:textId="77777777" w:rsidR="0028202A" w:rsidRPr="001E5747" w:rsidRDefault="0028202A" w:rsidP="00B739C3">
      <w:pPr>
        <w:pStyle w:val="Heading1"/>
        <w:rPr>
          <w:lang w:val="en-GB"/>
        </w:rPr>
        <w:sectPr w:rsidR="0028202A" w:rsidRPr="001E5747" w:rsidSect="00187E90">
          <w:footerReference w:type="default" r:id="rId16"/>
          <w:pgSz w:w="11900" w:h="16840"/>
          <w:pgMar w:top="1440" w:right="1800" w:bottom="1440" w:left="1800" w:header="708" w:footer="708" w:gutter="0"/>
          <w:cols w:space="708"/>
          <w:docGrid w:linePitch="360"/>
        </w:sectPr>
      </w:pPr>
    </w:p>
    <w:p w14:paraId="707FECAD" w14:textId="77777777" w:rsidR="00214972" w:rsidRPr="001E5747" w:rsidRDefault="00214972" w:rsidP="00214972">
      <w:pPr>
        <w:keepNext/>
        <w:shd w:val="clear" w:color="auto" w:fill="D55635"/>
        <w:tabs>
          <w:tab w:val="left" w:pos="540"/>
        </w:tabs>
        <w:outlineLvl w:val="0"/>
        <w:rPr>
          <w:rFonts w:eastAsia="Times New Roman"/>
          <w:b/>
          <w:sz w:val="4"/>
          <w:szCs w:val="4"/>
          <w:lang w:val="en-GB"/>
        </w:rPr>
      </w:pPr>
      <w:bookmarkStart w:id="58" w:name="_Toc31029014"/>
      <w:bookmarkStart w:id="59" w:name="_Toc31194812"/>
      <w:bookmarkStart w:id="60" w:name="_Toc61062542"/>
      <w:r w:rsidRPr="001E5747">
        <w:rPr>
          <w:rFonts w:ascii="Calibri" w:eastAsia="Times New Roman" w:hAnsi="Calibri"/>
          <w:b/>
          <w:color w:val="FFFFFF"/>
          <w:sz w:val="32"/>
          <w:szCs w:val="32"/>
          <w:lang w:val="en-GB"/>
        </w:rPr>
        <w:lastRenderedPageBreak/>
        <w:t xml:space="preserve">Annex 1: </w:t>
      </w:r>
      <w:r w:rsidR="008E0A28">
        <w:rPr>
          <w:rFonts w:ascii="Calibri" w:eastAsia="Times New Roman" w:hAnsi="Calibri"/>
          <w:b/>
          <w:color w:val="FFFFFF"/>
          <w:sz w:val="32"/>
          <w:szCs w:val="32"/>
          <w:lang w:val="en-GB"/>
        </w:rPr>
        <w:t>Assessment</w:t>
      </w:r>
      <w:r w:rsidR="008E0A28" w:rsidRPr="001E5747">
        <w:rPr>
          <w:rFonts w:ascii="Calibri" w:eastAsia="Times New Roman" w:hAnsi="Calibri"/>
          <w:b/>
          <w:color w:val="FFFFFF"/>
          <w:sz w:val="32"/>
          <w:szCs w:val="32"/>
          <w:lang w:val="en-GB"/>
        </w:rPr>
        <w:t xml:space="preserve"> </w:t>
      </w:r>
      <w:r w:rsidRPr="001E5747">
        <w:rPr>
          <w:rFonts w:ascii="Calibri" w:eastAsia="Times New Roman" w:hAnsi="Calibri"/>
          <w:b/>
          <w:color w:val="FFFFFF"/>
          <w:sz w:val="32"/>
          <w:szCs w:val="32"/>
          <w:lang w:val="en-GB"/>
        </w:rPr>
        <w:t>Guide – Minimum conditions</w:t>
      </w:r>
      <w:bookmarkEnd w:id="58"/>
      <w:bookmarkEnd w:id="59"/>
      <w:bookmarkEnd w:id="60"/>
    </w:p>
    <w:tbl>
      <w:tblPr>
        <w:tblStyle w:val="TableGrid4"/>
        <w:tblW w:w="14034" w:type="dxa"/>
        <w:tblInd w:w="108" w:type="dxa"/>
        <w:tblLook w:val="04A0" w:firstRow="1" w:lastRow="0" w:firstColumn="1" w:lastColumn="0" w:noHBand="0" w:noVBand="1"/>
      </w:tblPr>
      <w:tblGrid>
        <w:gridCol w:w="424"/>
        <w:gridCol w:w="2257"/>
        <w:gridCol w:w="2115"/>
        <w:gridCol w:w="4354"/>
        <w:gridCol w:w="1627"/>
        <w:gridCol w:w="3257"/>
      </w:tblGrid>
      <w:tr w:rsidR="00214972" w:rsidRPr="001E5747" w14:paraId="373F3112" w14:textId="77777777" w:rsidTr="00A25A8C">
        <w:tc>
          <w:tcPr>
            <w:tcW w:w="424" w:type="dxa"/>
            <w:tcBorders>
              <w:bottom w:val="single" w:sz="4" w:space="0" w:color="auto"/>
            </w:tcBorders>
            <w:shd w:val="clear" w:color="auto" w:fill="D9D9D9"/>
            <w:vAlign w:val="center"/>
          </w:tcPr>
          <w:p w14:paraId="76A7A0E1" w14:textId="77777777" w:rsidR="00214972" w:rsidRPr="001E5747" w:rsidRDefault="00214972" w:rsidP="00214972">
            <w:pPr>
              <w:rPr>
                <w:rFonts w:ascii="Calibri" w:hAnsi="Calibri"/>
                <w:sz w:val="18"/>
                <w:szCs w:val="18"/>
                <w:lang w:val="en-GB"/>
              </w:rPr>
            </w:pPr>
            <w:r w:rsidRPr="001E5747">
              <w:rPr>
                <w:rFonts w:ascii="Calibri" w:hAnsi="Calibri"/>
                <w:bCs/>
                <w:color w:val="000000"/>
                <w:sz w:val="18"/>
                <w:szCs w:val="18"/>
                <w:lang w:val="en-GB"/>
              </w:rPr>
              <w:t>#</w:t>
            </w:r>
          </w:p>
        </w:tc>
        <w:tc>
          <w:tcPr>
            <w:tcW w:w="2257" w:type="dxa"/>
            <w:tcBorders>
              <w:bottom w:val="single" w:sz="4" w:space="0" w:color="auto"/>
            </w:tcBorders>
            <w:shd w:val="clear" w:color="auto" w:fill="D9D9D9"/>
            <w:vAlign w:val="center"/>
          </w:tcPr>
          <w:p w14:paraId="17D3D7A5" w14:textId="77777777" w:rsidR="00214972" w:rsidRPr="001E5747" w:rsidRDefault="00214972" w:rsidP="00214972">
            <w:pPr>
              <w:jc w:val="center"/>
              <w:rPr>
                <w:rFonts w:ascii="Calibri" w:hAnsi="Calibri"/>
                <w:sz w:val="18"/>
                <w:szCs w:val="18"/>
                <w:lang w:val="en-GB"/>
              </w:rPr>
            </w:pPr>
            <w:r w:rsidRPr="001E5747">
              <w:rPr>
                <w:rFonts w:ascii="Calibri" w:hAnsi="Calibri"/>
                <w:bCs/>
                <w:color w:val="000000"/>
                <w:sz w:val="18"/>
                <w:szCs w:val="18"/>
                <w:lang w:val="en-GB"/>
              </w:rPr>
              <w:t>Minimum condition</w:t>
            </w:r>
          </w:p>
        </w:tc>
        <w:tc>
          <w:tcPr>
            <w:tcW w:w="2115" w:type="dxa"/>
            <w:tcBorders>
              <w:bottom w:val="single" w:sz="4" w:space="0" w:color="auto"/>
            </w:tcBorders>
            <w:shd w:val="clear" w:color="auto" w:fill="D9D9D9"/>
            <w:vAlign w:val="center"/>
          </w:tcPr>
          <w:p w14:paraId="35048AD1" w14:textId="77777777" w:rsidR="00214972" w:rsidRPr="001E5747" w:rsidRDefault="00214972" w:rsidP="00214972">
            <w:pPr>
              <w:jc w:val="center"/>
              <w:rPr>
                <w:rFonts w:ascii="Calibri" w:hAnsi="Calibri"/>
                <w:sz w:val="18"/>
                <w:szCs w:val="18"/>
                <w:lang w:val="en-GB"/>
              </w:rPr>
            </w:pPr>
            <w:r w:rsidRPr="001E5747">
              <w:rPr>
                <w:rFonts w:ascii="Calibri" w:hAnsi="Calibri"/>
                <w:bCs/>
                <w:color w:val="000000"/>
                <w:sz w:val="18"/>
                <w:szCs w:val="18"/>
                <w:lang w:val="en-GB"/>
              </w:rPr>
              <w:t>Minimum condition definition</w:t>
            </w:r>
          </w:p>
        </w:tc>
        <w:tc>
          <w:tcPr>
            <w:tcW w:w="4354" w:type="dxa"/>
            <w:tcBorders>
              <w:bottom w:val="single" w:sz="4" w:space="0" w:color="auto"/>
            </w:tcBorders>
            <w:shd w:val="clear" w:color="auto" w:fill="D9D9D9"/>
            <w:vAlign w:val="center"/>
          </w:tcPr>
          <w:p w14:paraId="0A4E3E68" w14:textId="77777777" w:rsidR="00214972" w:rsidRPr="001E5747" w:rsidRDefault="00214972" w:rsidP="00214972">
            <w:pPr>
              <w:jc w:val="center"/>
              <w:rPr>
                <w:rFonts w:ascii="Calibri" w:hAnsi="Calibri"/>
                <w:sz w:val="18"/>
                <w:szCs w:val="18"/>
                <w:lang w:val="en-GB"/>
              </w:rPr>
            </w:pPr>
            <w:r w:rsidRPr="001E5747">
              <w:rPr>
                <w:rFonts w:ascii="Calibri" w:hAnsi="Calibri"/>
                <w:bCs/>
                <w:color w:val="000000"/>
                <w:sz w:val="18"/>
                <w:szCs w:val="18"/>
                <w:lang w:val="en-GB"/>
              </w:rPr>
              <w:t>Legal basis</w:t>
            </w:r>
          </w:p>
        </w:tc>
        <w:tc>
          <w:tcPr>
            <w:tcW w:w="1627" w:type="dxa"/>
            <w:tcBorders>
              <w:bottom w:val="single" w:sz="4" w:space="0" w:color="auto"/>
            </w:tcBorders>
            <w:shd w:val="clear" w:color="auto" w:fill="D9D9D9"/>
            <w:vAlign w:val="center"/>
          </w:tcPr>
          <w:p w14:paraId="76BCE462" w14:textId="77777777" w:rsidR="00214972" w:rsidRPr="001E5747" w:rsidRDefault="00214972" w:rsidP="00214972">
            <w:pPr>
              <w:jc w:val="center"/>
              <w:rPr>
                <w:rFonts w:ascii="Calibri" w:hAnsi="Calibri"/>
                <w:sz w:val="18"/>
                <w:szCs w:val="18"/>
                <w:lang w:val="en-GB"/>
              </w:rPr>
            </w:pPr>
            <w:r w:rsidRPr="001E5747">
              <w:rPr>
                <w:rFonts w:ascii="Calibri" w:hAnsi="Calibri"/>
                <w:bCs/>
                <w:color w:val="000000"/>
                <w:sz w:val="18"/>
                <w:szCs w:val="18"/>
                <w:lang w:val="en-GB"/>
              </w:rPr>
              <w:t>Data source</w:t>
            </w:r>
          </w:p>
        </w:tc>
        <w:tc>
          <w:tcPr>
            <w:tcW w:w="3257" w:type="dxa"/>
            <w:tcBorders>
              <w:bottom w:val="single" w:sz="4" w:space="0" w:color="auto"/>
            </w:tcBorders>
            <w:shd w:val="clear" w:color="auto" w:fill="D9D9D9"/>
            <w:vAlign w:val="center"/>
          </w:tcPr>
          <w:p w14:paraId="4792842E" w14:textId="77777777" w:rsidR="00214972" w:rsidRPr="001E5747" w:rsidRDefault="00214972" w:rsidP="00214972">
            <w:pPr>
              <w:jc w:val="center"/>
              <w:rPr>
                <w:rFonts w:ascii="Calibri" w:hAnsi="Calibri"/>
                <w:bCs/>
                <w:color w:val="000000"/>
                <w:sz w:val="18"/>
                <w:szCs w:val="18"/>
                <w:lang w:val="en-GB"/>
              </w:rPr>
            </w:pPr>
            <w:r w:rsidRPr="001E5747">
              <w:rPr>
                <w:rFonts w:ascii="Calibri" w:hAnsi="Calibri"/>
                <w:bCs/>
                <w:color w:val="000000"/>
                <w:sz w:val="18"/>
                <w:szCs w:val="18"/>
                <w:lang w:val="en-GB"/>
              </w:rPr>
              <w:t>Criteria</w:t>
            </w:r>
          </w:p>
          <w:p w14:paraId="5AE5A6DC" w14:textId="77777777" w:rsidR="00214972" w:rsidRPr="001E5747" w:rsidRDefault="00214972" w:rsidP="00214972">
            <w:pPr>
              <w:jc w:val="center"/>
              <w:rPr>
                <w:rFonts w:ascii="Calibri" w:hAnsi="Calibri"/>
                <w:sz w:val="18"/>
                <w:szCs w:val="18"/>
                <w:lang w:val="en-GB"/>
              </w:rPr>
            </w:pPr>
            <w:r w:rsidRPr="001E5747">
              <w:rPr>
                <w:rFonts w:ascii="Calibri" w:hAnsi="Calibri"/>
                <w:bCs/>
                <w:color w:val="000000"/>
                <w:sz w:val="18"/>
                <w:szCs w:val="18"/>
                <w:lang w:val="en-GB"/>
              </w:rPr>
              <w:t>Municipality met/did not meet</w:t>
            </w:r>
          </w:p>
        </w:tc>
      </w:tr>
      <w:tr w:rsidR="00214972" w:rsidRPr="001E5747" w14:paraId="10CABB3D" w14:textId="77777777" w:rsidTr="00A25A8C">
        <w:tc>
          <w:tcPr>
            <w:tcW w:w="424" w:type="dxa"/>
            <w:tcBorders>
              <w:bottom w:val="single" w:sz="4" w:space="0" w:color="auto"/>
            </w:tcBorders>
            <w:shd w:val="clear" w:color="auto" w:fill="C2D69B"/>
            <w:vAlign w:val="center"/>
          </w:tcPr>
          <w:p w14:paraId="0E4A4FA4" w14:textId="77777777" w:rsidR="00214972" w:rsidRPr="001E5747" w:rsidRDefault="00214972" w:rsidP="00214972">
            <w:pPr>
              <w:rPr>
                <w:rFonts w:ascii="Calibri" w:hAnsi="Calibri"/>
                <w:bCs/>
                <w:color w:val="000000"/>
                <w:sz w:val="18"/>
                <w:szCs w:val="18"/>
                <w:lang w:val="en-GB"/>
              </w:rPr>
            </w:pPr>
            <w:r w:rsidRPr="001E5747">
              <w:rPr>
                <w:rFonts w:ascii="Calibri" w:hAnsi="Calibri" w:cs="Calibri"/>
                <w:color w:val="000000"/>
                <w:sz w:val="18"/>
                <w:szCs w:val="18"/>
                <w:lang w:val="en-GB"/>
              </w:rPr>
              <w:t>1</w:t>
            </w:r>
          </w:p>
        </w:tc>
        <w:tc>
          <w:tcPr>
            <w:tcW w:w="2257" w:type="dxa"/>
            <w:tcBorders>
              <w:bottom w:val="single" w:sz="4" w:space="0" w:color="auto"/>
            </w:tcBorders>
            <w:shd w:val="clear" w:color="auto" w:fill="C2D69B"/>
            <w:vAlign w:val="center"/>
          </w:tcPr>
          <w:p w14:paraId="53DE00B9" w14:textId="77777777" w:rsidR="00214972" w:rsidRPr="001E5747" w:rsidRDefault="00214972" w:rsidP="00214972">
            <w:pPr>
              <w:rPr>
                <w:rFonts w:ascii="Calibri" w:hAnsi="Calibri"/>
                <w:sz w:val="18"/>
                <w:szCs w:val="18"/>
                <w:lang w:val="en-GB"/>
              </w:rPr>
            </w:pPr>
            <w:r w:rsidRPr="001E5747">
              <w:rPr>
                <w:rFonts w:ascii="Calibri" w:hAnsi="Calibri"/>
                <w:sz w:val="18"/>
                <w:szCs w:val="18"/>
                <w:lang w:val="en-GB"/>
              </w:rPr>
              <w:t xml:space="preserve">Municipalities </w:t>
            </w:r>
            <w:r w:rsidR="0063777D" w:rsidRPr="001E5747">
              <w:rPr>
                <w:rFonts w:ascii="Calibri" w:hAnsi="Calibri"/>
                <w:sz w:val="18"/>
                <w:szCs w:val="18"/>
                <w:lang w:val="en-GB"/>
              </w:rPr>
              <w:t>must</w:t>
            </w:r>
            <w:r w:rsidRPr="001E5747">
              <w:rPr>
                <w:rFonts w:ascii="Calibri" w:hAnsi="Calibri"/>
                <w:sz w:val="18"/>
                <w:szCs w:val="18"/>
                <w:lang w:val="en-GB"/>
              </w:rPr>
              <w:t xml:space="preserve"> report data to the MPMS within the set deadlines</w:t>
            </w:r>
          </w:p>
          <w:p w14:paraId="06CE9140" w14:textId="77777777" w:rsidR="00214972" w:rsidRPr="001E5747" w:rsidRDefault="00214972" w:rsidP="00214972">
            <w:pPr>
              <w:rPr>
                <w:rFonts w:ascii="Calibri" w:hAnsi="Calibri"/>
                <w:bCs/>
                <w:color w:val="000000"/>
                <w:sz w:val="18"/>
                <w:szCs w:val="18"/>
                <w:lang w:val="en-GB"/>
              </w:rPr>
            </w:pPr>
          </w:p>
        </w:tc>
        <w:tc>
          <w:tcPr>
            <w:tcW w:w="2115" w:type="dxa"/>
            <w:tcBorders>
              <w:bottom w:val="single" w:sz="4" w:space="0" w:color="auto"/>
            </w:tcBorders>
            <w:shd w:val="clear" w:color="auto" w:fill="C2D69B"/>
            <w:vAlign w:val="center"/>
          </w:tcPr>
          <w:p w14:paraId="3DA70823" w14:textId="77777777" w:rsidR="00214972" w:rsidRPr="001E5747" w:rsidRDefault="00214972" w:rsidP="0063777D">
            <w:pPr>
              <w:rPr>
                <w:rFonts w:ascii="Calibri" w:hAnsi="Calibri"/>
                <w:bCs/>
                <w:color w:val="000000"/>
                <w:sz w:val="18"/>
                <w:szCs w:val="18"/>
                <w:lang w:val="en-GB"/>
              </w:rPr>
            </w:pPr>
            <w:r w:rsidRPr="001E5747">
              <w:rPr>
                <w:rFonts w:ascii="Calibri" w:hAnsi="Calibri" w:cs="Calibri"/>
                <w:color w:val="000000"/>
                <w:sz w:val="18"/>
                <w:szCs w:val="18"/>
                <w:lang w:val="en-GB"/>
              </w:rPr>
              <w:t xml:space="preserve">Municipalities </w:t>
            </w:r>
            <w:r w:rsidR="0063777D" w:rsidRPr="001E5747">
              <w:rPr>
                <w:rFonts w:ascii="Calibri" w:hAnsi="Calibri" w:cs="Calibri"/>
                <w:color w:val="000000"/>
                <w:sz w:val="18"/>
                <w:szCs w:val="18"/>
                <w:lang w:val="en-GB"/>
              </w:rPr>
              <w:t>must</w:t>
            </w:r>
            <w:r w:rsidRPr="001E5747">
              <w:rPr>
                <w:rFonts w:ascii="Calibri" w:hAnsi="Calibri" w:cs="Calibri"/>
                <w:color w:val="000000"/>
                <w:sz w:val="18"/>
                <w:szCs w:val="18"/>
                <w:lang w:val="en-GB"/>
              </w:rPr>
              <w:t xml:space="preserve"> report their performance to the MPMS within the deadline set in the Regulation on Performance </w:t>
            </w:r>
          </w:p>
        </w:tc>
        <w:tc>
          <w:tcPr>
            <w:tcW w:w="4354" w:type="dxa"/>
            <w:tcBorders>
              <w:bottom w:val="single" w:sz="4" w:space="0" w:color="auto"/>
            </w:tcBorders>
            <w:shd w:val="clear" w:color="auto" w:fill="C2D69B"/>
            <w:vAlign w:val="center"/>
          </w:tcPr>
          <w:p w14:paraId="4BEFEFEB" w14:textId="1BC564BB" w:rsidR="00214972" w:rsidRPr="001E5747" w:rsidRDefault="00214972" w:rsidP="00214972">
            <w:pPr>
              <w:rPr>
                <w:rFonts w:ascii="Calibri" w:hAnsi="Calibri"/>
                <w:bCs/>
                <w:color w:val="000000"/>
                <w:sz w:val="18"/>
                <w:szCs w:val="18"/>
                <w:lang w:val="en-GB"/>
              </w:rPr>
            </w:pPr>
            <w:r w:rsidRPr="001E5747">
              <w:rPr>
                <w:rFonts w:ascii="Calibri" w:hAnsi="Calibri" w:cs="Calibri"/>
                <w:color w:val="000000"/>
                <w:sz w:val="18"/>
                <w:szCs w:val="18"/>
                <w:lang w:val="en-GB"/>
              </w:rPr>
              <w:t>Regulation No. 01/202</w:t>
            </w:r>
            <w:r w:rsidR="00AD0F4D">
              <w:rPr>
                <w:rFonts w:ascii="Calibri" w:hAnsi="Calibri" w:cs="Calibri"/>
                <w:color w:val="000000"/>
                <w:sz w:val="18"/>
                <w:szCs w:val="18"/>
                <w:lang w:val="en-GB"/>
              </w:rPr>
              <w:t>0</w:t>
            </w:r>
            <w:r w:rsidRPr="001E5747">
              <w:rPr>
                <w:rFonts w:ascii="Calibri" w:hAnsi="Calibri" w:cs="Calibri"/>
                <w:color w:val="000000"/>
                <w:sz w:val="18"/>
                <w:szCs w:val="18"/>
                <w:lang w:val="en-GB"/>
              </w:rPr>
              <w:t xml:space="preserve"> on the municipal performance management system and the Performance Based Grant Scheme, Article 13</w:t>
            </w:r>
          </w:p>
        </w:tc>
        <w:tc>
          <w:tcPr>
            <w:tcW w:w="1627" w:type="dxa"/>
            <w:tcBorders>
              <w:bottom w:val="single" w:sz="4" w:space="0" w:color="auto"/>
            </w:tcBorders>
            <w:shd w:val="clear" w:color="auto" w:fill="C2D69B"/>
            <w:vAlign w:val="center"/>
          </w:tcPr>
          <w:p w14:paraId="4ED3F5F8" w14:textId="2D1CC97D" w:rsidR="00214972" w:rsidRPr="001E5747" w:rsidRDefault="00214972" w:rsidP="00FA59F6">
            <w:pPr>
              <w:rPr>
                <w:rFonts w:ascii="Calibri" w:hAnsi="Calibri"/>
                <w:bCs/>
                <w:color w:val="000000"/>
                <w:sz w:val="18"/>
                <w:szCs w:val="18"/>
                <w:lang w:val="en-GB"/>
              </w:rPr>
            </w:pPr>
            <w:r w:rsidRPr="001E5747">
              <w:rPr>
                <w:rFonts w:ascii="Calibri" w:hAnsi="Calibri" w:cs="Calibri"/>
                <w:color w:val="000000"/>
                <w:sz w:val="18"/>
                <w:szCs w:val="18"/>
                <w:lang w:val="en-GB"/>
              </w:rPr>
              <w:t xml:space="preserve">MPMS Report </w:t>
            </w:r>
            <w:r w:rsidR="00AD0F4D" w:rsidRPr="001E5747">
              <w:rPr>
                <w:rFonts w:ascii="Calibri" w:hAnsi="Calibri" w:cs="Calibri"/>
                <w:color w:val="000000"/>
                <w:sz w:val="18"/>
                <w:szCs w:val="18"/>
                <w:lang w:val="en-GB"/>
              </w:rPr>
              <w:t>20</w:t>
            </w:r>
            <w:r w:rsidR="00AD0F4D">
              <w:rPr>
                <w:rFonts w:ascii="Calibri" w:hAnsi="Calibri" w:cs="Calibri"/>
                <w:color w:val="000000"/>
                <w:sz w:val="18"/>
                <w:szCs w:val="18"/>
                <w:lang w:val="en-GB"/>
              </w:rPr>
              <w:t>21</w:t>
            </w:r>
            <w:r w:rsidRPr="001E5747">
              <w:rPr>
                <w:rFonts w:ascii="Calibri" w:hAnsi="Calibri" w:cs="Calibri"/>
                <w:color w:val="000000"/>
                <w:sz w:val="18"/>
                <w:szCs w:val="18"/>
                <w:lang w:val="en-GB"/>
              </w:rPr>
              <w:t>, MLGA</w:t>
            </w:r>
          </w:p>
        </w:tc>
        <w:tc>
          <w:tcPr>
            <w:tcW w:w="3257" w:type="dxa"/>
            <w:tcBorders>
              <w:bottom w:val="single" w:sz="4" w:space="0" w:color="auto"/>
            </w:tcBorders>
            <w:shd w:val="clear" w:color="auto" w:fill="C2D69B"/>
            <w:vAlign w:val="center"/>
          </w:tcPr>
          <w:p w14:paraId="348FFEA4" w14:textId="77777777" w:rsidR="00214972" w:rsidRPr="001E5747" w:rsidRDefault="00214972" w:rsidP="00214972">
            <w:pPr>
              <w:spacing w:before="60"/>
              <w:rPr>
                <w:rFonts w:ascii="Calibri" w:hAnsi="Calibri" w:cs="Calibri"/>
                <w:color w:val="000000"/>
                <w:sz w:val="18"/>
                <w:szCs w:val="18"/>
                <w:lang w:val="en-GB"/>
              </w:rPr>
            </w:pPr>
            <w:r w:rsidRPr="001E5747">
              <w:rPr>
                <w:rFonts w:ascii="Calibri" w:hAnsi="Calibri" w:cs="Calibri"/>
                <w:color w:val="000000"/>
                <w:sz w:val="18"/>
                <w:szCs w:val="18"/>
                <w:lang w:val="en-GB"/>
              </w:rPr>
              <w:t>Yes, if the municipality has reported to the MPMS on time</w:t>
            </w:r>
          </w:p>
          <w:p w14:paraId="1328A15D" w14:textId="77777777" w:rsidR="00214972" w:rsidRPr="001E5747" w:rsidRDefault="00214972" w:rsidP="00214972">
            <w:pPr>
              <w:spacing w:before="60"/>
              <w:rPr>
                <w:rFonts w:ascii="Calibri" w:hAnsi="Calibri"/>
                <w:bCs/>
                <w:color w:val="000000"/>
                <w:sz w:val="18"/>
                <w:szCs w:val="18"/>
                <w:lang w:val="en-GB"/>
              </w:rPr>
            </w:pPr>
            <w:r w:rsidRPr="001E5747">
              <w:rPr>
                <w:rFonts w:ascii="Calibri" w:hAnsi="Calibri" w:cs="Calibri"/>
                <w:color w:val="000000"/>
                <w:sz w:val="18"/>
                <w:szCs w:val="18"/>
                <w:lang w:val="en-GB"/>
              </w:rPr>
              <w:t>No, if the municipality has not reported to the MPMS on time</w:t>
            </w:r>
          </w:p>
          <w:p w14:paraId="18C320B7" w14:textId="77777777" w:rsidR="00214972" w:rsidRPr="001E5747" w:rsidRDefault="00214972" w:rsidP="00214972">
            <w:pPr>
              <w:rPr>
                <w:rFonts w:ascii="Calibri" w:hAnsi="Calibri"/>
                <w:bCs/>
                <w:color w:val="000000"/>
                <w:sz w:val="18"/>
                <w:szCs w:val="18"/>
                <w:lang w:val="en-GB"/>
              </w:rPr>
            </w:pPr>
          </w:p>
        </w:tc>
      </w:tr>
      <w:tr w:rsidR="00214972" w:rsidRPr="001E5747" w14:paraId="021A361C" w14:textId="77777777" w:rsidTr="00A25A8C">
        <w:tc>
          <w:tcPr>
            <w:tcW w:w="424" w:type="dxa"/>
            <w:tcBorders>
              <w:bottom w:val="single" w:sz="4" w:space="0" w:color="auto"/>
            </w:tcBorders>
            <w:shd w:val="clear" w:color="auto" w:fill="C2D69B" w:themeFill="accent3" w:themeFillTint="99"/>
            <w:vAlign w:val="center"/>
          </w:tcPr>
          <w:p w14:paraId="4C7DD3D3" w14:textId="77777777" w:rsidR="00214972" w:rsidRPr="001E5747" w:rsidRDefault="00214972" w:rsidP="00214972">
            <w:pPr>
              <w:rPr>
                <w:rFonts w:ascii="Calibri" w:hAnsi="Calibri"/>
                <w:bCs/>
                <w:color w:val="000000"/>
                <w:sz w:val="18"/>
                <w:szCs w:val="18"/>
                <w:lang w:val="en-GB"/>
              </w:rPr>
            </w:pPr>
            <w:r w:rsidRPr="001E5747">
              <w:rPr>
                <w:rFonts w:ascii="Calibri" w:hAnsi="Calibri" w:cs="Calibri"/>
                <w:color w:val="000000"/>
                <w:sz w:val="18"/>
                <w:szCs w:val="18"/>
                <w:lang w:val="en-GB"/>
              </w:rPr>
              <w:t>2</w:t>
            </w:r>
          </w:p>
        </w:tc>
        <w:tc>
          <w:tcPr>
            <w:tcW w:w="2257" w:type="dxa"/>
            <w:tcBorders>
              <w:bottom w:val="single" w:sz="4" w:space="0" w:color="auto"/>
            </w:tcBorders>
            <w:shd w:val="clear" w:color="auto" w:fill="C2D69B" w:themeFill="accent3" w:themeFillTint="99"/>
            <w:vAlign w:val="center"/>
          </w:tcPr>
          <w:p w14:paraId="12341621" w14:textId="77777777" w:rsidR="00214972" w:rsidRPr="001E5747" w:rsidRDefault="00214972" w:rsidP="00214972">
            <w:pPr>
              <w:rPr>
                <w:rFonts w:ascii="Calibri" w:hAnsi="Calibri"/>
                <w:sz w:val="18"/>
                <w:szCs w:val="18"/>
                <w:lang w:val="en-GB"/>
              </w:rPr>
            </w:pPr>
            <w:r w:rsidRPr="001E5747">
              <w:rPr>
                <w:rFonts w:ascii="Calibri" w:hAnsi="Calibri"/>
                <w:sz w:val="18"/>
                <w:szCs w:val="18"/>
                <w:lang w:val="en-GB"/>
              </w:rPr>
              <w:t xml:space="preserve">Municipalities </w:t>
            </w:r>
            <w:r w:rsidR="0063777D" w:rsidRPr="001E5747">
              <w:rPr>
                <w:rFonts w:ascii="Calibri" w:hAnsi="Calibri"/>
                <w:sz w:val="18"/>
                <w:szCs w:val="18"/>
                <w:lang w:val="en-GB"/>
              </w:rPr>
              <w:t>must</w:t>
            </w:r>
            <w:r w:rsidRPr="001E5747">
              <w:rPr>
                <w:rFonts w:ascii="Calibri" w:hAnsi="Calibri"/>
                <w:sz w:val="18"/>
                <w:szCs w:val="18"/>
                <w:lang w:val="en-GB"/>
              </w:rPr>
              <w:t xml:space="preserve"> </w:t>
            </w:r>
          </w:p>
          <w:p w14:paraId="7341A69C" w14:textId="77777777" w:rsidR="00214972" w:rsidRPr="001E5747" w:rsidRDefault="00214972" w:rsidP="00214972">
            <w:pPr>
              <w:rPr>
                <w:rFonts w:ascii="Calibri" w:hAnsi="Calibri"/>
                <w:sz w:val="18"/>
                <w:szCs w:val="18"/>
                <w:lang w:val="en-GB"/>
              </w:rPr>
            </w:pPr>
            <w:r w:rsidRPr="001E5747">
              <w:rPr>
                <w:rFonts w:ascii="Calibri" w:hAnsi="Calibri"/>
                <w:sz w:val="18"/>
                <w:szCs w:val="18"/>
                <w:lang w:val="en-GB"/>
              </w:rPr>
              <w:t>adher</w:t>
            </w:r>
            <w:r w:rsidR="0063777D" w:rsidRPr="001E5747">
              <w:rPr>
                <w:rFonts w:ascii="Calibri" w:hAnsi="Calibri"/>
                <w:sz w:val="18"/>
                <w:szCs w:val="18"/>
                <w:lang w:val="en-GB"/>
              </w:rPr>
              <w:t>e</w:t>
            </w:r>
            <w:r w:rsidRPr="001E5747">
              <w:rPr>
                <w:rFonts w:ascii="Calibri" w:hAnsi="Calibri"/>
                <w:sz w:val="18"/>
                <w:szCs w:val="18"/>
                <w:lang w:val="en-GB"/>
              </w:rPr>
              <w:t xml:space="preserve"> to the legal</w:t>
            </w:r>
          </w:p>
          <w:p w14:paraId="38A19879" w14:textId="77777777" w:rsidR="00214972" w:rsidRPr="001E5747" w:rsidRDefault="00214972" w:rsidP="00214972">
            <w:pPr>
              <w:rPr>
                <w:rFonts w:ascii="Calibri" w:hAnsi="Calibri"/>
                <w:sz w:val="18"/>
                <w:szCs w:val="18"/>
                <w:lang w:val="en-GB"/>
              </w:rPr>
            </w:pPr>
            <w:r w:rsidRPr="001E5747">
              <w:rPr>
                <w:rFonts w:ascii="Calibri" w:hAnsi="Calibri"/>
                <w:sz w:val="18"/>
                <w:szCs w:val="18"/>
                <w:lang w:val="en-GB"/>
              </w:rPr>
              <w:t>obligation for reviewing municipal acts assessed as incompliant by the supervisory authority</w:t>
            </w:r>
          </w:p>
          <w:p w14:paraId="2A631FB8" w14:textId="77777777" w:rsidR="00214972" w:rsidRPr="001E5747" w:rsidRDefault="00214972" w:rsidP="00214972">
            <w:pPr>
              <w:rPr>
                <w:rFonts w:ascii="Calibri" w:hAnsi="Calibri"/>
                <w:bCs/>
                <w:color w:val="000000"/>
                <w:sz w:val="18"/>
                <w:szCs w:val="18"/>
                <w:lang w:val="en-GB"/>
              </w:rPr>
            </w:pPr>
          </w:p>
        </w:tc>
        <w:tc>
          <w:tcPr>
            <w:tcW w:w="2115" w:type="dxa"/>
            <w:tcBorders>
              <w:bottom w:val="single" w:sz="4" w:space="0" w:color="auto"/>
            </w:tcBorders>
            <w:shd w:val="clear" w:color="auto" w:fill="C2D69B" w:themeFill="accent3" w:themeFillTint="99"/>
            <w:vAlign w:val="center"/>
          </w:tcPr>
          <w:p w14:paraId="37C48D71" w14:textId="77777777" w:rsidR="00214972" w:rsidRPr="001E5747" w:rsidRDefault="00214972" w:rsidP="00201E60">
            <w:pPr>
              <w:rPr>
                <w:rFonts w:ascii="Calibri" w:hAnsi="Calibri"/>
                <w:bCs/>
                <w:color w:val="000000"/>
                <w:sz w:val="18"/>
                <w:szCs w:val="18"/>
                <w:lang w:val="en-GB"/>
              </w:rPr>
            </w:pPr>
            <w:r w:rsidRPr="001E5747">
              <w:rPr>
                <w:rFonts w:ascii="Calibri" w:hAnsi="Calibri" w:cs="Calibri"/>
                <w:color w:val="000000"/>
                <w:sz w:val="18"/>
                <w:szCs w:val="18"/>
                <w:lang w:val="en-GB"/>
              </w:rPr>
              <w:t xml:space="preserve">Municipalities </w:t>
            </w:r>
            <w:r w:rsidR="0063777D" w:rsidRPr="001E5747">
              <w:rPr>
                <w:rFonts w:ascii="Calibri" w:hAnsi="Calibri" w:cs="Calibri"/>
                <w:color w:val="000000"/>
                <w:sz w:val="18"/>
                <w:szCs w:val="18"/>
                <w:lang w:val="en-GB"/>
              </w:rPr>
              <w:t>must</w:t>
            </w:r>
            <w:r w:rsidRPr="001E5747">
              <w:rPr>
                <w:rFonts w:ascii="Calibri" w:hAnsi="Calibri" w:cs="Calibri"/>
                <w:color w:val="000000"/>
                <w:sz w:val="18"/>
                <w:szCs w:val="18"/>
                <w:lang w:val="en-GB"/>
              </w:rPr>
              <w:t xml:space="preserve"> have reviewed all municipal acts assessed as incompliant in 20</w:t>
            </w:r>
            <w:r w:rsidR="00FA59F6">
              <w:rPr>
                <w:rFonts w:ascii="Calibri" w:hAnsi="Calibri" w:cs="Calibri"/>
                <w:color w:val="000000"/>
                <w:sz w:val="18"/>
                <w:szCs w:val="18"/>
                <w:lang w:val="en-GB"/>
              </w:rPr>
              <w:t>20</w:t>
            </w:r>
            <w:r w:rsidRPr="001E5747">
              <w:rPr>
                <w:rFonts w:ascii="Calibri" w:hAnsi="Calibri" w:cs="Calibri"/>
                <w:color w:val="000000"/>
                <w:sz w:val="18"/>
                <w:szCs w:val="18"/>
                <w:lang w:val="en-GB"/>
              </w:rPr>
              <w:t xml:space="preserve"> by the supervisory authority. The review for the purposes of the Municipal Performance Grant is a procedural criterion, which implies the obligation of the municipality to review in the Municipal Assembly the acts assessed as incompliant by the supervisory authority, without presupposing the final content of the reviewed act. </w:t>
            </w:r>
          </w:p>
        </w:tc>
        <w:tc>
          <w:tcPr>
            <w:tcW w:w="4354" w:type="dxa"/>
            <w:tcBorders>
              <w:bottom w:val="single" w:sz="4" w:space="0" w:color="auto"/>
            </w:tcBorders>
            <w:shd w:val="clear" w:color="auto" w:fill="C2D69B" w:themeFill="accent3" w:themeFillTint="99"/>
            <w:vAlign w:val="center"/>
          </w:tcPr>
          <w:p w14:paraId="0A72F95A" w14:textId="77777777" w:rsidR="00214972" w:rsidRPr="001E5747" w:rsidRDefault="00214972" w:rsidP="00214972">
            <w:pPr>
              <w:rPr>
                <w:rFonts w:ascii="Calibri" w:hAnsi="Calibri"/>
                <w:bCs/>
                <w:color w:val="000000"/>
                <w:sz w:val="18"/>
                <w:szCs w:val="18"/>
                <w:lang w:val="en-GB"/>
              </w:rPr>
            </w:pPr>
            <w:r w:rsidRPr="001E5747">
              <w:rPr>
                <w:rFonts w:ascii="Calibri" w:hAnsi="Calibri" w:cs="Calibri"/>
                <w:color w:val="000000"/>
                <w:sz w:val="18"/>
                <w:szCs w:val="18"/>
                <w:lang w:val="en-GB"/>
              </w:rPr>
              <w:t>Law No. 03/L-040 on Local Self-Government</w:t>
            </w:r>
          </w:p>
        </w:tc>
        <w:tc>
          <w:tcPr>
            <w:tcW w:w="1627" w:type="dxa"/>
            <w:tcBorders>
              <w:bottom w:val="single" w:sz="4" w:space="0" w:color="auto"/>
            </w:tcBorders>
            <w:shd w:val="clear" w:color="auto" w:fill="C2D69B" w:themeFill="accent3" w:themeFillTint="99"/>
            <w:vAlign w:val="center"/>
          </w:tcPr>
          <w:p w14:paraId="77D4A83D" w14:textId="77777777" w:rsidR="00214972" w:rsidRPr="001E5747" w:rsidRDefault="00214972" w:rsidP="00214972">
            <w:pPr>
              <w:rPr>
                <w:rFonts w:ascii="Calibri" w:hAnsi="Calibri" w:cs="Calibri"/>
                <w:color w:val="000000"/>
                <w:sz w:val="18"/>
                <w:szCs w:val="18"/>
                <w:lang w:val="en-GB"/>
              </w:rPr>
            </w:pPr>
          </w:p>
          <w:p w14:paraId="3447355B" w14:textId="77777777" w:rsidR="00214972" w:rsidRPr="001E5747" w:rsidRDefault="00214972" w:rsidP="00214972">
            <w:pPr>
              <w:rPr>
                <w:rFonts w:ascii="Calibri" w:hAnsi="Calibri" w:cs="Calibri"/>
                <w:color w:val="000000"/>
                <w:sz w:val="18"/>
                <w:szCs w:val="18"/>
                <w:lang w:val="en-GB"/>
              </w:rPr>
            </w:pPr>
          </w:p>
          <w:p w14:paraId="2AD6AE04" w14:textId="57EF6E24" w:rsidR="00214972" w:rsidRPr="001E5747" w:rsidRDefault="00201E60" w:rsidP="000A27BE">
            <w:pPr>
              <w:rPr>
                <w:rFonts w:ascii="Calibri" w:hAnsi="Calibri"/>
                <w:bCs/>
                <w:color w:val="000000"/>
                <w:sz w:val="18"/>
                <w:szCs w:val="18"/>
                <w:lang w:val="en-GB"/>
              </w:rPr>
            </w:pPr>
            <w:r w:rsidRPr="00201E60">
              <w:rPr>
                <w:rFonts w:ascii="Calibri" w:hAnsi="Calibri" w:cs="Calibri"/>
                <w:color w:val="000000"/>
                <w:sz w:val="18"/>
                <w:szCs w:val="18"/>
                <w:lang w:val="en-GB"/>
              </w:rPr>
              <w:t xml:space="preserve">Report on the functioning of the municipalities of the Republic of Kosovo for the period January – December </w:t>
            </w:r>
            <w:r w:rsidR="00AD0F4D" w:rsidRPr="00201E60">
              <w:rPr>
                <w:rFonts w:ascii="Calibri" w:hAnsi="Calibri" w:cs="Calibri"/>
                <w:color w:val="000000"/>
                <w:sz w:val="18"/>
                <w:szCs w:val="18"/>
                <w:lang w:val="en-GB"/>
              </w:rPr>
              <w:t>202</w:t>
            </w:r>
            <w:r w:rsidR="00AD0F4D">
              <w:rPr>
                <w:rFonts w:ascii="Calibri" w:hAnsi="Calibri" w:cs="Calibri"/>
                <w:color w:val="000000"/>
                <w:sz w:val="18"/>
                <w:szCs w:val="18"/>
                <w:lang w:val="en-GB"/>
              </w:rPr>
              <w:t>1</w:t>
            </w:r>
            <w:r w:rsidR="00AD0F4D" w:rsidRPr="00201E60">
              <w:rPr>
                <w:rFonts w:ascii="Calibri" w:hAnsi="Calibri" w:cs="Calibri"/>
                <w:color w:val="000000"/>
                <w:sz w:val="18"/>
                <w:szCs w:val="18"/>
                <w:lang w:val="en-GB"/>
              </w:rPr>
              <w:t xml:space="preserve"> </w:t>
            </w:r>
            <w:r w:rsidR="0071124B">
              <w:rPr>
                <w:rFonts w:ascii="Calibri" w:hAnsi="Calibri" w:cs="Calibri"/>
                <w:color w:val="000000"/>
                <w:sz w:val="18"/>
                <w:szCs w:val="18"/>
                <w:lang w:val="en-GB"/>
              </w:rPr>
              <w:t>and the Report on assessment of legality of Municipal Assembly acts 2021</w:t>
            </w:r>
          </w:p>
        </w:tc>
        <w:tc>
          <w:tcPr>
            <w:tcW w:w="3257" w:type="dxa"/>
            <w:tcBorders>
              <w:bottom w:val="single" w:sz="4" w:space="0" w:color="auto"/>
            </w:tcBorders>
            <w:shd w:val="clear" w:color="auto" w:fill="C2D69B" w:themeFill="accent3" w:themeFillTint="99"/>
            <w:vAlign w:val="center"/>
          </w:tcPr>
          <w:p w14:paraId="08DE8DA6" w14:textId="77777777" w:rsidR="00214972" w:rsidRPr="001E5747" w:rsidRDefault="00214972" w:rsidP="00214972">
            <w:pPr>
              <w:spacing w:before="60"/>
              <w:rPr>
                <w:rFonts w:ascii="Calibri" w:hAnsi="Calibri" w:cs="Calibri"/>
                <w:color w:val="000000"/>
                <w:sz w:val="18"/>
                <w:szCs w:val="18"/>
                <w:lang w:val="en-GB"/>
              </w:rPr>
            </w:pPr>
            <w:r w:rsidRPr="001E5747">
              <w:rPr>
                <w:rFonts w:ascii="Calibri" w:hAnsi="Calibri" w:cs="Calibri"/>
                <w:color w:val="000000"/>
                <w:sz w:val="18"/>
                <w:szCs w:val="18"/>
                <w:lang w:val="en-GB"/>
              </w:rPr>
              <w:t xml:space="preserve">Yes, if the municipality has reviewed the legal acts by the municipal assembly </w:t>
            </w:r>
          </w:p>
          <w:p w14:paraId="5CECC3A3" w14:textId="321367CB" w:rsidR="00214972" w:rsidRPr="001E5747" w:rsidRDefault="00214972" w:rsidP="00201E60">
            <w:pPr>
              <w:spacing w:before="60"/>
              <w:rPr>
                <w:rFonts w:ascii="Calibri" w:hAnsi="Calibri"/>
                <w:bCs/>
                <w:color w:val="000000"/>
                <w:sz w:val="18"/>
                <w:szCs w:val="18"/>
                <w:lang w:val="en-GB"/>
              </w:rPr>
            </w:pPr>
            <w:r w:rsidRPr="001E5747">
              <w:rPr>
                <w:rFonts w:ascii="Calibri" w:hAnsi="Calibri" w:cs="Calibri"/>
                <w:color w:val="000000"/>
                <w:sz w:val="18"/>
                <w:szCs w:val="18"/>
                <w:lang w:val="en-GB"/>
              </w:rPr>
              <w:t xml:space="preserve">No, if the municipality has not reviewed the legal acts by the municipal assembly </w:t>
            </w:r>
          </w:p>
        </w:tc>
      </w:tr>
      <w:tr w:rsidR="00214972" w:rsidRPr="001E5747" w14:paraId="123B4502" w14:textId="77777777" w:rsidTr="00A25A8C">
        <w:tc>
          <w:tcPr>
            <w:tcW w:w="424" w:type="dxa"/>
            <w:shd w:val="clear" w:color="auto" w:fill="C2D69B"/>
            <w:vAlign w:val="center"/>
          </w:tcPr>
          <w:p w14:paraId="429A873F" w14:textId="77777777" w:rsidR="00214972" w:rsidRPr="001E5747" w:rsidRDefault="00214972" w:rsidP="00214972">
            <w:pPr>
              <w:rPr>
                <w:rFonts w:ascii="Calibri" w:hAnsi="Calibri"/>
                <w:sz w:val="18"/>
                <w:szCs w:val="18"/>
                <w:lang w:val="en-GB"/>
              </w:rPr>
            </w:pPr>
            <w:r w:rsidRPr="001E5747">
              <w:rPr>
                <w:rFonts w:ascii="Calibri" w:hAnsi="Calibri" w:cs="Calibri"/>
                <w:color w:val="000000"/>
                <w:sz w:val="18"/>
                <w:szCs w:val="18"/>
                <w:lang w:val="en-GB"/>
              </w:rPr>
              <w:t>3</w:t>
            </w:r>
          </w:p>
        </w:tc>
        <w:tc>
          <w:tcPr>
            <w:tcW w:w="2257" w:type="dxa"/>
            <w:shd w:val="clear" w:color="auto" w:fill="C2D69B"/>
            <w:vAlign w:val="center"/>
          </w:tcPr>
          <w:p w14:paraId="3D4342C6" w14:textId="77777777" w:rsidR="00214972" w:rsidRPr="001E5747" w:rsidRDefault="00214972" w:rsidP="00214972">
            <w:pPr>
              <w:rPr>
                <w:rFonts w:ascii="Calibri" w:hAnsi="Calibri"/>
                <w:sz w:val="18"/>
                <w:szCs w:val="18"/>
                <w:lang w:val="en-GB"/>
              </w:rPr>
            </w:pPr>
            <w:r w:rsidRPr="001E5747">
              <w:rPr>
                <w:rFonts w:ascii="Calibri" w:hAnsi="Calibri"/>
                <w:sz w:val="18"/>
                <w:szCs w:val="18"/>
                <w:lang w:val="en-GB"/>
              </w:rPr>
              <w:t>The audit opinion should be at least ‘unmodified opinion with emphasis of matter’</w:t>
            </w:r>
          </w:p>
        </w:tc>
        <w:tc>
          <w:tcPr>
            <w:tcW w:w="2115" w:type="dxa"/>
            <w:shd w:val="clear" w:color="auto" w:fill="C2D69B"/>
            <w:vAlign w:val="center"/>
          </w:tcPr>
          <w:p w14:paraId="586569F7" w14:textId="77777777" w:rsidR="00214972" w:rsidRPr="001E5747" w:rsidRDefault="00214972" w:rsidP="00214972">
            <w:pPr>
              <w:rPr>
                <w:rFonts w:ascii="Calibri" w:hAnsi="Calibri" w:cs="Calibri"/>
                <w:i/>
                <w:color w:val="000000"/>
                <w:sz w:val="18"/>
                <w:szCs w:val="18"/>
                <w:lang w:val="en-GB"/>
              </w:rPr>
            </w:pPr>
            <w:r w:rsidRPr="001E5747">
              <w:rPr>
                <w:rFonts w:ascii="Calibri" w:hAnsi="Calibri" w:cs="Calibri"/>
                <w:color w:val="000000"/>
                <w:sz w:val="18"/>
                <w:szCs w:val="18"/>
                <w:lang w:val="en-GB"/>
              </w:rPr>
              <w:t>The annual audit opinion at least</w:t>
            </w:r>
            <w:r w:rsidRPr="001E5747">
              <w:rPr>
                <w:rFonts w:ascii="Calibri" w:hAnsi="Calibri" w:cs="Calibri"/>
                <w:i/>
                <w:color w:val="000000"/>
                <w:sz w:val="18"/>
                <w:szCs w:val="18"/>
                <w:lang w:val="en-GB"/>
              </w:rPr>
              <w:t xml:space="preserve"> ‘unmodified</w:t>
            </w:r>
          </w:p>
          <w:p w14:paraId="459EFFDF" w14:textId="77777777" w:rsidR="00214972" w:rsidRPr="001E5747" w:rsidRDefault="00214972" w:rsidP="00214972">
            <w:pPr>
              <w:rPr>
                <w:rFonts w:ascii="Calibri" w:hAnsi="Calibri" w:cs="Calibri"/>
                <w:i/>
                <w:color w:val="000000"/>
                <w:sz w:val="18"/>
                <w:szCs w:val="18"/>
                <w:lang w:val="en-GB"/>
              </w:rPr>
            </w:pPr>
            <w:r w:rsidRPr="001E5747">
              <w:rPr>
                <w:rFonts w:ascii="Calibri" w:hAnsi="Calibri" w:cs="Calibri"/>
                <w:i/>
                <w:color w:val="000000"/>
                <w:sz w:val="18"/>
                <w:szCs w:val="18"/>
                <w:lang w:val="en-GB"/>
              </w:rPr>
              <w:t>opinion with emphasis</w:t>
            </w:r>
          </w:p>
          <w:p w14:paraId="7FCAF15D" w14:textId="77777777" w:rsidR="00214972" w:rsidRPr="001E5747" w:rsidRDefault="00214972" w:rsidP="00214972">
            <w:pPr>
              <w:rPr>
                <w:rFonts w:ascii="Calibri" w:hAnsi="Calibri" w:cs="Calibri"/>
                <w:i/>
                <w:color w:val="000000"/>
                <w:sz w:val="18"/>
                <w:szCs w:val="18"/>
                <w:lang w:val="en-GB"/>
              </w:rPr>
            </w:pPr>
            <w:r w:rsidRPr="001E5747">
              <w:rPr>
                <w:rFonts w:ascii="Calibri" w:hAnsi="Calibri" w:cs="Calibri"/>
                <w:i/>
                <w:color w:val="000000"/>
                <w:sz w:val="18"/>
                <w:szCs w:val="18"/>
                <w:lang w:val="en-GB"/>
              </w:rPr>
              <w:t>of matter’</w:t>
            </w:r>
            <w:r w:rsidRPr="001E5747">
              <w:rPr>
                <w:rFonts w:ascii="Calibri" w:hAnsi="Calibri" w:cs="Calibri"/>
                <w:i/>
                <w:color w:val="000000"/>
                <w:sz w:val="18"/>
                <w:szCs w:val="18"/>
                <w:vertAlign w:val="superscript"/>
                <w:lang w:val="en-GB"/>
              </w:rPr>
              <w:footnoteReference w:id="11"/>
            </w:r>
          </w:p>
        </w:tc>
        <w:tc>
          <w:tcPr>
            <w:tcW w:w="4354" w:type="dxa"/>
            <w:shd w:val="clear" w:color="auto" w:fill="C2D69B"/>
            <w:vAlign w:val="center"/>
          </w:tcPr>
          <w:p w14:paraId="279A7772" w14:textId="77777777" w:rsidR="00214972" w:rsidRPr="001E5747" w:rsidRDefault="00214972" w:rsidP="00214972">
            <w:pPr>
              <w:numPr>
                <w:ilvl w:val="0"/>
                <w:numId w:val="13"/>
              </w:numPr>
              <w:ind w:left="256" w:hanging="256"/>
              <w:rPr>
                <w:rFonts w:ascii="Calibri" w:hAnsi="Calibri" w:cs="Calibri"/>
                <w:sz w:val="18"/>
                <w:lang w:val="en-GB"/>
              </w:rPr>
            </w:pPr>
            <w:r w:rsidRPr="001E5747">
              <w:rPr>
                <w:rFonts w:ascii="Calibri" w:hAnsi="Calibri" w:cs="Calibri"/>
                <w:sz w:val="18"/>
                <w:lang w:val="en-GB"/>
              </w:rPr>
              <w:t>Law No.03/L-048 on Public Finance Management and Accountability (LPFMA)</w:t>
            </w:r>
          </w:p>
          <w:p w14:paraId="6BE5113A" w14:textId="77777777" w:rsidR="00214972" w:rsidRPr="001E5747" w:rsidRDefault="00214972" w:rsidP="00214972">
            <w:pPr>
              <w:numPr>
                <w:ilvl w:val="0"/>
                <w:numId w:val="13"/>
              </w:numPr>
              <w:ind w:left="256" w:hanging="256"/>
              <w:rPr>
                <w:rFonts w:ascii="Calibri" w:hAnsi="Calibri" w:cs="Calibri"/>
                <w:color w:val="000000"/>
                <w:sz w:val="12"/>
                <w:szCs w:val="18"/>
                <w:lang w:val="en-GB"/>
              </w:rPr>
            </w:pPr>
            <w:r w:rsidRPr="001E5747">
              <w:rPr>
                <w:rFonts w:ascii="Calibri" w:hAnsi="Calibri" w:cs="Calibri"/>
                <w:sz w:val="18"/>
                <w:lang w:val="en-GB"/>
              </w:rPr>
              <w:t xml:space="preserve">Regulation No. 01/2017 on Annual Financial Reporting of Budget Organizations issued by the </w:t>
            </w:r>
            <w:r w:rsidRPr="001E5747">
              <w:rPr>
                <w:rFonts w:ascii="Calibri" w:hAnsi="Calibri" w:cs="Calibri"/>
                <w:sz w:val="18"/>
                <w:lang w:val="en-GB"/>
              </w:rPr>
              <w:lastRenderedPageBreak/>
              <w:t>MoF. International Public Sector Accounting Standards</w:t>
            </w:r>
          </w:p>
          <w:p w14:paraId="4DD2BC7B" w14:textId="77777777" w:rsidR="00214972" w:rsidRPr="001E5747" w:rsidRDefault="00214972" w:rsidP="00214972">
            <w:pPr>
              <w:rPr>
                <w:rFonts w:ascii="Calibri" w:hAnsi="Calibri" w:cs="Calibri"/>
                <w:color w:val="000000"/>
                <w:sz w:val="18"/>
                <w:szCs w:val="18"/>
                <w:lang w:val="en-GB"/>
              </w:rPr>
            </w:pPr>
          </w:p>
        </w:tc>
        <w:tc>
          <w:tcPr>
            <w:tcW w:w="1627" w:type="dxa"/>
            <w:shd w:val="clear" w:color="auto" w:fill="C2D69B"/>
            <w:vAlign w:val="center"/>
          </w:tcPr>
          <w:p w14:paraId="28958F6E" w14:textId="198567E8" w:rsidR="00214972" w:rsidRPr="001E5747" w:rsidRDefault="00214972" w:rsidP="00214972">
            <w:pPr>
              <w:rPr>
                <w:rFonts w:ascii="Calibri" w:hAnsi="Calibri"/>
                <w:sz w:val="18"/>
                <w:szCs w:val="18"/>
                <w:lang w:val="en-GB"/>
              </w:rPr>
            </w:pPr>
            <w:r w:rsidRPr="001E5747">
              <w:rPr>
                <w:rFonts w:ascii="Calibri" w:hAnsi="Calibri" w:cs="Calibri"/>
                <w:color w:val="000000"/>
                <w:sz w:val="18"/>
                <w:szCs w:val="18"/>
                <w:lang w:val="en-GB"/>
              </w:rPr>
              <w:lastRenderedPageBreak/>
              <w:t xml:space="preserve">Individual </w:t>
            </w:r>
            <w:r w:rsidR="00AD0F4D">
              <w:rPr>
                <w:rFonts w:ascii="Calibri" w:hAnsi="Calibri" w:cs="Calibri"/>
                <w:color w:val="000000"/>
                <w:sz w:val="18"/>
                <w:szCs w:val="18"/>
                <w:lang w:val="en-GB"/>
              </w:rPr>
              <w:t xml:space="preserve">audit </w:t>
            </w:r>
            <w:r w:rsidRPr="001E5747">
              <w:rPr>
                <w:rFonts w:ascii="Calibri" w:hAnsi="Calibri" w:cs="Calibri"/>
                <w:color w:val="000000"/>
                <w:sz w:val="18"/>
                <w:szCs w:val="18"/>
                <w:lang w:val="en-GB"/>
              </w:rPr>
              <w:t xml:space="preserve">reports on regularity </w:t>
            </w:r>
            <w:r w:rsidR="00AD0F4D">
              <w:rPr>
                <w:rFonts w:ascii="Calibri" w:hAnsi="Calibri" w:cs="Calibri"/>
                <w:color w:val="000000"/>
                <w:sz w:val="18"/>
                <w:szCs w:val="18"/>
                <w:lang w:val="en-GB"/>
              </w:rPr>
              <w:t xml:space="preserve">for the year 2021 </w:t>
            </w:r>
            <w:r w:rsidRPr="001E5747">
              <w:rPr>
                <w:rFonts w:ascii="Calibri" w:hAnsi="Calibri" w:cs="Calibri"/>
                <w:color w:val="000000"/>
                <w:sz w:val="18"/>
                <w:szCs w:val="18"/>
                <w:lang w:val="en-GB"/>
              </w:rPr>
              <w:lastRenderedPageBreak/>
              <w:t>published by the NAO</w:t>
            </w:r>
          </w:p>
        </w:tc>
        <w:tc>
          <w:tcPr>
            <w:tcW w:w="3257" w:type="dxa"/>
            <w:shd w:val="clear" w:color="auto" w:fill="C2D69B"/>
            <w:vAlign w:val="center"/>
          </w:tcPr>
          <w:p w14:paraId="0CAC3326" w14:textId="77777777" w:rsidR="00214972" w:rsidRPr="001E5747" w:rsidRDefault="00214972" w:rsidP="00214972">
            <w:pPr>
              <w:rPr>
                <w:rFonts w:ascii="Calibri" w:hAnsi="Calibri" w:cs="Calibri"/>
                <w:color w:val="000000"/>
                <w:sz w:val="18"/>
                <w:szCs w:val="18"/>
                <w:lang w:val="en-GB"/>
              </w:rPr>
            </w:pPr>
            <w:r w:rsidRPr="001E5747">
              <w:rPr>
                <w:rFonts w:ascii="Calibri" w:hAnsi="Calibri" w:cs="Calibri"/>
                <w:color w:val="000000"/>
                <w:sz w:val="18"/>
                <w:szCs w:val="18"/>
                <w:lang w:val="en-GB"/>
              </w:rPr>
              <w:lastRenderedPageBreak/>
              <w:t xml:space="preserve">Yes, if municipality receives </w:t>
            </w:r>
            <w:r w:rsidRPr="001E5747">
              <w:rPr>
                <w:rFonts w:ascii="Calibri" w:hAnsi="Calibri" w:cs="Calibri"/>
                <w:i/>
                <w:color w:val="000000"/>
                <w:sz w:val="18"/>
                <w:szCs w:val="18"/>
                <w:lang w:val="en-GB"/>
              </w:rPr>
              <w:t>unmodified opinion or unmodified opinion with emphasis of matter</w:t>
            </w:r>
          </w:p>
          <w:p w14:paraId="4532F785" w14:textId="77777777" w:rsidR="00214972" w:rsidRPr="001E5747" w:rsidRDefault="00214972" w:rsidP="00214972">
            <w:pPr>
              <w:rPr>
                <w:rFonts w:ascii="Calibri" w:hAnsi="Calibri" w:cs="Calibri"/>
                <w:color w:val="000000"/>
                <w:sz w:val="18"/>
                <w:szCs w:val="18"/>
                <w:lang w:val="en-GB"/>
              </w:rPr>
            </w:pPr>
            <w:r w:rsidRPr="001E5747">
              <w:rPr>
                <w:rFonts w:ascii="Calibri" w:hAnsi="Calibri" w:cs="Calibri"/>
                <w:color w:val="000000"/>
                <w:sz w:val="18"/>
                <w:szCs w:val="18"/>
                <w:lang w:val="en-GB"/>
              </w:rPr>
              <w:lastRenderedPageBreak/>
              <w:t>No, if municipality receives qualified or adverse opinion, and if NAO disclaims an opinion.</w:t>
            </w:r>
          </w:p>
          <w:p w14:paraId="4F4E846E" w14:textId="77777777" w:rsidR="00214972" w:rsidRPr="001E5747" w:rsidRDefault="00214972" w:rsidP="00214972">
            <w:pPr>
              <w:rPr>
                <w:rFonts w:ascii="Calibri" w:hAnsi="Calibri"/>
                <w:sz w:val="18"/>
                <w:szCs w:val="18"/>
                <w:lang w:val="en-GB"/>
              </w:rPr>
            </w:pPr>
          </w:p>
        </w:tc>
      </w:tr>
      <w:tr w:rsidR="00214972" w:rsidRPr="001E5747" w14:paraId="1B0F90C0" w14:textId="77777777" w:rsidTr="00A25A8C">
        <w:tc>
          <w:tcPr>
            <w:tcW w:w="424" w:type="dxa"/>
            <w:shd w:val="clear" w:color="auto" w:fill="C2D69B"/>
            <w:vAlign w:val="center"/>
          </w:tcPr>
          <w:p w14:paraId="06D3176D" w14:textId="77777777" w:rsidR="00214972" w:rsidRPr="001E5747" w:rsidRDefault="00214972" w:rsidP="00214972">
            <w:pPr>
              <w:rPr>
                <w:rFonts w:ascii="Calibri" w:hAnsi="Calibri"/>
                <w:sz w:val="18"/>
                <w:szCs w:val="18"/>
                <w:lang w:val="en-GB"/>
              </w:rPr>
            </w:pPr>
            <w:r w:rsidRPr="001E5747">
              <w:rPr>
                <w:rFonts w:ascii="Calibri" w:hAnsi="Calibri" w:cs="Calibri"/>
                <w:color w:val="000000"/>
                <w:sz w:val="18"/>
                <w:szCs w:val="18"/>
                <w:lang w:val="en-GB"/>
              </w:rPr>
              <w:lastRenderedPageBreak/>
              <w:t>4</w:t>
            </w:r>
          </w:p>
        </w:tc>
        <w:tc>
          <w:tcPr>
            <w:tcW w:w="2257" w:type="dxa"/>
            <w:shd w:val="clear" w:color="auto" w:fill="C2D69B"/>
            <w:vAlign w:val="center"/>
          </w:tcPr>
          <w:p w14:paraId="6B365ED3" w14:textId="77777777" w:rsidR="00214972" w:rsidRPr="001E5747" w:rsidRDefault="00214972" w:rsidP="00214972">
            <w:pPr>
              <w:rPr>
                <w:rFonts w:ascii="Calibri" w:hAnsi="Calibri"/>
                <w:sz w:val="18"/>
                <w:szCs w:val="18"/>
                <w:lang w:val="en-GB"/>
              </w:rPr>
            </w:pPr>
            <w:r w:rsidRPr="001E5747">
              <w:rPr>
                <w:rFonts w:ascii="Calibri" w:hAnsi="Calibri"/>
                <w:sz w:val="18"/>
                <w:szCs w:val="18"/>
                <w:lang w:val="en-GB"/>
              </w:rPr>
              <w:t>Municipalities should have spent 75% or more of the final budget for capital investments</w:t>
            </w:r>
          </w:p>
        </w:tc>
        <w:tc>
          <w:tcPr>
            <w:tcW w:w="2115" w:type="dxa"/>
            <w:shd w:val="clear" w:color="auto" w:fill="C2D69B"/>
            <w:vAlign w:val="center"/>
          </w:tcPr>
          <w:p w14:paraId="1FE0C7A1" w14:textId="77777777" w:rsidR="00214972" w:rsidRPr="001E5747" w:rsidRDefault="00214972" w:rsidP="00214972">
            <w:pPr>
              <w:rPr>
                <w:rFonts w:ascii="Calibri" w:hAnsi="Calibri" w:cs="Calibri"/>
                <w:color w:val="000000"/>
                <w:sz w:val="18"/>
                <w:szCs w:val="18"/>
                <w:lang w:val="en-GB"/>
              </w:rPr>
            </w:pPr>
            <w:r w:rsidRPr="001E5747">
              <w:rPr>
                <w:rFonts w:ascii="Calibri" w:hAnsi="Calibri" w:cs="Calibri"/>
                <w:color w:val="000000"/>
                <w:sz w:val="18"/>
                <w:szCs w:val="18"/>
                <w:lang w:val="en-GB"/>
              </w:rPr>
              <w:t>At least 75% of the final</w:t>
            </w:r>
          </w:p>
          <w:p w14:paraId="0D573273" w14:textId="77777777" w:rsidR="00214972" w:rsidRPr="001E5747" w:rsidRDefault="00214972" w:rsidP="00214972">
            <w:pPr>
              <w:rPr>
                <w:rFonts w:ascii="Calibri" w:hAnsi="Calibri"/>
                <w:sz w:val="18"/>
                <w:szCs w:val="18"/>
                <w:lang w:val="en-GB"/>
              </w:rPr>
            </w:pPr>
            <w:r w:rsidRPr="001E5747">
              <w:rPr>
                <w:rFonts w:ascii="Calibri" w:hAnsi="Calibri" w:cs="Calibri"/>
                <w:color w:val="000000"/>
                <w:sz w:val="18"/>
                <w:szCs w:val="18"/>
                <w:lang w:val="en-GB"/>
              </w:rPr>
              <w:t>budget for capital investments spent</w:t>
            </w:r>
          </w:p>
        </w:tc>
        <w:tc>
          <w:tcPr>
            <w:tcW w:w="4354" w:type="dxa"/>
            <w:shd w:val="clear" w:color="auto" w:fill="C2D69B"/>
            <w:vAlign w:val="center"/>
          </w:tcPr>
          <w:p w14:paraId="653719C7" w14:textId="77777777" w:rsidR="00214972" w:rsidRPr="001E5747" w:rsidRDefault="00214972" w:rsidP="00214972">
            <w:pPr>
              <w:numPr>
                <w:ilvl w:val="0"/>
                <w:numId w:val="14"/>
              </w:numPr>
              <w:ind w:left="256" w:hanging="256"/>
              <w:rPr>
                <w:rFonts w:ascii="Calibri" w:hAnsi="Calibri" w:cs="Calibri"/>
                <w:color w:val="000000"/>
                <w:sz w:val="18"/>
                <w:szCs w:val="18"/>
                <w:lang w:val="en-GB"/>
              </w:rPr>
            </w:pPr>
            <w:r w:rsidRPr="001E5747">
              <w:rPr>
                <w:rFonts w:ascii="Calibri" w:hAnsi="Calibri" w:cs="Calibri"/>
                <w:color w:val="000000"/>
                <w:sz w:val="18"/>
                <w:szCs w:val="18"/>
                <w:lang w:val="en-GB"/>
              </w:rPr>
              <w:t>LPFMA Financial Rule no.01-2013 on Public Funds Expenditure</w:t>
            </w:r>
          </w:p>
          <w:p w14:paraId="0DE4C362" w14:textId="77777777" w:rsidR="00214972" w:rsidRPr="001E5747" w:rsidRDefault="00214972" w:rsidP="00214972">
            <w:pPr>
              <w:ind w:left="256"/>
              <w:rPr>
                <w:rFonts w:ascii="Calibri" w:hAnsi="Calibri"/>
                <w:sz w:val="18"/>
                <w:szCs w:val="18"/>
                <w:lang w:val="en-GB"/>
              </w:rPr>
            </w:pPr>
          </w:p>
        </w:tc>
        <w:tc>
          <w:tcPr>
            <w:tcW w:w="1627" w:type="dxa"/>
            <w:shd w:val="clear" w:color="auto" w:fill="C2D69B"/>
            <w:vAlign w:val="center"/>
          </w:tcPr>
          <w:p w14:paraId="1C284325" w14:textId="2E2A8BD5" w:rsidR="00214972" w:rsidRPr="001E5747" w:rsidRDefault="00214972" w:rsidP="00214972">
            <w:pPr>
              <w:rPr>
                <w:rFonts w:ascii="Calibri" w:hAnsi="Calibri"/>
                <w:sz w:val="18"/>
                <w:szCs w:val="18"/>
                <w:lang w:val="en-GB"/>
              </w:rPr>
            </w:pPr>
            <w:r w:rsidRPr="001E5747">
              <w:rPr>
                <w:rFonts w:ascii="Calibri" w:hAnsi="Calibri" w:cs="Calibri"/>
                <w:color w:val="000000"/>
                <w:sz w:val="18"/>
                <w:szCs w:val="18"/>
                <w:lang w:val="en-GB"/>
              </w:rPr>
              <w:t xml:space="preserve">Individual </w:t>
            </w:r>
            <w:r w:rsidR="00AD0F4D">
              <w:rPr>
                <w:rFonts w:ascii="Calibri" w:hAnsi="Calibri" w:cs="Calibri"/>
                <w:color w:val="000000"/>
                <w:sz w:val="18"/>
                <w:szCs w:val="18"/>
                <w:lang w:val="en-GB"/>
              </w:rPr>
              <w:t xml:space="preserve">audit </w:t>
            </w:r>
            <w:r w:rsidRPr="001E5747">
              <w:rPr>
                <w:rFonts w:ascii="Calibri" w:hAnsi="Calibri" w:cs="Calibri"/>
                <w:color w:val="000000"/>
                <w:sz w:val="18"/>
                <w:szCs w:val="18"/>
                <w:lang w:val="en-GB"/>
              </w:rPr>
              <w:t xml:space="preserve">reports on regularity </w:t>
            </w:r>
            <w:r w:rsidR="00AD0F4D">
              <w:rPr>
                <w:rFonts w:ascii="Calibri" w:hAnsi="Calibri" w:cs="Calibri"/>
                <w:color w:val="000000"/>
                <w:sz w:val="18"/>
                <w:szCs w:val="18"/>
                <w:lang w:val="en-GB"/>
              </w:rPr>
              <w:t xml:space="preserve">for the year 2021 </w:t>
            </w:r>
            <w:r w:rsidRPr="001E5747">
              <w:rPr>
                <w:rFonts w:ascii="Calibri" w:hAnsi="Calibri" w:cs="Calibri"/>
                <w:color w:val="000000"/>
                <w:sz w:val="18"/>
                <w:szCs w:val="18"/>
                <w:lang w:val="en-GB"/>
              </w:rPr>
              <w:t>published by the NAO</w:t>
            </w:r>
            <w:r w:rsidR="00201E60">
              <w:rPr>
                <w:rFonts w:ascii="Calibri" w:hAnsi="Calibri" w:cs="Calibri"/>
                <w:color w:val="000000"/>
                <w:sz w:val="18"/>
                <w:szCs w:val="18"/>
                <w:lang w:val="en-GB"/>
              </w:rPr>
              <w:t xml:space="preserve"> </w:t>
            </w:r>
          </w:p>
        </w:tc>
        <w:tc>
          <w:tcPr>
            <w:tcW w:w="3257" w:type="dxa"/>
            <w:shd w:val="clear" w:color="auto" w:fill="C2D69B"/>
            <w:vAlign w:val="center"/>
          </w:tcPr>
          <w:p w14:paraId="4FA4B34A" w14:textId="243952A9" w:rsidR="00214972" w:rsidRPr="001E5747" w:rsidRDefault="00214972" w:rsidP="00214972">
            <w:pPr>
              <w:rPr>
                <w:rFonts w:ascii="Calibri" w:hAnsi="Calibri" w:cs="Calibri"/>
                <w:color w:val="000000"/>
                <w:sz w:val="18"/>
                <w:szCs w:val="18"/>
                <w:lang w:val="en-GB"/>
              </w:rPr>
            </w:pPr>
            <w:r w:rsidRPr="001E5747">
              <w:rPr>
                <w:rFonts w:ascii="Calibri" w:hAnsi="Calibri" w:cs="Calibri"/>
                <w:color w:val="000000"/>
                <w:sz w:val="18"/>
                <w:szCs w:val="18"/>
                <w:lang w:val="en-GB"/>
              </w:rPr>
              <w:t>Yes, if the municipality has spent at least 75% or more of the final capital investment budget</w:t>
            </w:r>
            <w:r w:rsidR="00201E60">
              <w:rPr>
                <w:rFonts w:ascii="Calibri" w:hAnsi="Calibri" w:cs="Calibri"/>
                <w:color w:val="000000"/>
                <w:sz w:val="18"/>
                <w:szCs w:val="18"/>
                <w:lang w:val="en-GB"/>
              </w:rPr>
              <w:t xml:space="preserve"> </w:t>
            </w:r>
          </w:p>
          <w:p w14:paraId="7C7EF758" w14:textId="059DE0C0" w:rsidR="00214972" w:rsidRPr="001E5747" w:rsidRDefault="00214972" w:rsidP="00214972">
            <w:pPr>
              <w:rPr>
                <w:rFonts w:ascii="Calibri" w:hAnsi="Calibri" w:cs="Calibri"/>
                <w:color w:val="000000"/>
                <w:sz w:val="18"/>
                <w:szCs w:val="18"/>
                <w:lang w:val="en-GB"/>
              </w:rPr>
            </w:pPr>
            <w:r w:rsidRPr="001E5747">
              <w:rPr>
                <w:rFonts w:ascii="Calibri" w:hAnsi="Calibri" w:cs="Calibri"/>
                <w:color w:val="000000"/>
                <w:sz w:val="18"/>
                <w:szCs w:val="18"/>
                <w:lang w:val="en-GB"/>
              </w:rPr>
              <w:t>No, if the municipality has spent less than 75% of the final budget on capital investments</w:t>
            </w:r>
            <w:r w:rsidR="00201E60">
              <w:rPr>
                <w:rFonts w:ascii="Calibri" w:hAnsi="Calibri" w:cs="Calibri"/>
                <w:color w:val="000000"/>
                <w:sz w:val="18"/>
                <w:szCs w:val="18"/>
                <w:lang w:val="en-GB"/>
              </w:rPr>
              <w:t xml:space="preserve"> </w:t>
            </w:r>
          </w:p>
          <w:p w14:paraId="2DE3E687" w14:textId="77777777" w:rsidR="00214972" w:rsidRPr="001E5747" w:rsidRDefault="00214972" w:rsidP="00214972">
            <w:pPr>
              <w:rPr>
                <w:rFonts w:ascii="Calibri" w:hAnsi="Calibri"/>
                <w:sz w:val="18"/>
                <w:szCs w:val="18"/>
                <w:lang w:val="en-GB"/>
              </w:rPr>
            </w:pPr>
          </w:p>
        </w:tc>
      </w:tr>
    </w:tbl>
    <w:p w14:paraId="3F30E912" w14:textId="77777777" w:rsidR="00214972" w:rsidRPr="001E5747" w:rsidRDefault="00214972" w:rsidP="00214972">
      <w:pPr>
        <w:keepNext/>
        <w:shd w:val="clear" w:color="auto" w:fill="D55635"/>
        <w:tabs>
          <w:tab w:val="left" w:pos="540"/>
        </w:tabs>
        <w:outlineLvl w:val="0"/>
        <w:rPr>
          <w:rFonts w:ascii="Calibri" w:eastAsia="Times New Roman" w:hAnsi="Calibri"/>
          <w:b/>
          <w:color w:val="FFFFFF"/>
          <w:sz w:val="32"/>
          <w:szCs w:val="32"/>
          <w:lang w:val="en-GB"/>
        </w:rPr>
      </w:pPr>
      <w:r w:rsidRPr="001E5747">
        <w:rPr>
          <w:rFonts w:eastAsia="Times New Roman"/>
          <w:b/>
          <w:sz w:val="28"/>
          <w:lang w:val="en-GB"/>
        </w:rPr>
        <w:br w:type="page"/>
      </w:r>
      <w:bookmarkStart w:id="61" w:name="_Toc31029015"/>
      <w:bookmarkStart w:id="62" w:name="_Toc31194813"/>
      <w:bookmarkStart w:id="63" w:name="_Toc61062543"/>
      <w:r w:rsidRPr="001E5747">
        <w:rPr>
          <w:rFonts w:ascii="Calibri" w:eastAsia="Times New Roman" w:hAnsi="Calibri"/>
          <w:b/>
          <w:color w:val="FFFFFF"/>
          <w:sz w:val="32"/>
          <w:szCs w:val="32"/>
          <w:lang w:val="en-GB"/>
        </w:rPr>
        <w:lastRenderedPageBreak/>
        <w:t xml:space="preserve">Annex 2: </w:t>
      </w:r>
      <w:r w:rsidR="008E0A28">
        <w:rPr>
          <w:rFonts w:ascii="Calibri" w:eastAsia="Times New Roman" w:hAnsi="Calibri"/>
          <w:b/>
          <w:color w:val="FFFFFF"/>
          <w:sz w:val="32"/>
          <w:szCs w:val="32"/>
          <w:lang w:val="en-GB"/>
        </w:rPr>
        <w:t>Assessment</w:t>
      </w:r>
      <w:r w:rsidR="00836F55" w:rsidRPr="001E5747">
        <w:rPr>
          <w:rFonts w:ascii="Calibri" w:eastAsia="Times New Roman" w:hAnsi="Calibri"/>
          <w:b/>
          <w:color w:val="FFFFFF"/>
          <w:sz w:val="32"/>
          <w:szCs w:val="32"/>
          <w:lang w:val="en-GB"/>
        </w:rPr>
        <w:t xml:space="preserve"> </w:t>
      </w:r>
      <w:r w:rsidRPr="001E5747">
        <w:rPr>
          <w:rFonts w:ascii="Calibri" w:eastAsia="Times New Roman" w:hAnsi="Calibri"/>
          <w:b/>
          <w:color w:val="FFFFFF"/>
          <w:sz w:val="32"/>
          <w:szCs w:val="32"/>
          <w:lang w:val="en-GB"/>
        </w:rPr>
        <w:t xml:space="preserve">Guide </w:t>
      </w:r>
      <w:r w:rsidR="00836F55">
        <w:rPr>
          <w:rFonts w:ascii="Calibri" w:eastAsia="Times New Roman" w:hAnsi="Calibri"/>
          <w:b/>
          <w:color w:val="FFFFFF"/>
          <w:sz w:val="32"/>
          <w:szCs w:val="32"/>
          <w:lang w:val="en-GB"/>
        </w:rPr>
        <w:t>f</w:t>
      </w:r>
      <w:r w:rsidR="00352C4A">
        <w:rPr>
          <w:rFonts w:ascii="Calibri" w:eastAsia="Times New Roman" w:hAnsi="Calibri"/>
          <w:b/>
          <w:color w:val="FFFFFF"/>
          <w:sz w:val="32"/>
          <w:szCs w:val="32"/>
          <w:lang w:val="en-GB"/>
        </w:rPr>
        <w:t>or</w:t>
      </w:r>
      <w:r w:rsidR="00836F55">
        <w:rPr>
          <w:rFonts w:ascii="Calibri" w:eastAsia="Times New Roman" w:hAnsi="Calibri"/>
          <w:b/>
          <w:color w:val="FFFFFF"/>
          <w:sz w:val="32"/>
          <w:szCs w:val="32"/>
          <w:lang w:val="en-GB"/>
        </w:rPr>
        <w:t xml:space="preserve"> the</w:t>
      </w:r>
      <w:bookmarkEnd w:id="61"/>
      <w:bookmarkEnd w:id="62"/>
      <w:bookmarkEnd w:id="63"/>
      <w:r w:rsidR="00352C4A">
        <w:rPr>
          <w:rFonts w:ascii="Calibri" w:eastAsia="Times New Roman" w:hAnsi="Calibri"/>
          <w:b/>
          <w:color w:val="FFFFFF"/>
          <w:sz w:val="32"/>
          <w:szCs w:val="32"/>
          <w:lang w:val="en-GB"/>
        </w:rPr>
        <w:t xml:space="preserve"> </w:t>
      </w:r>
      <w:r w:rsidRPr="001E5747">
        <w:rPr>
          <w:rFonts w:ascii="Calibri" w:eastAsia="Times New Roman" w:hAnsi="Calibri"/>
          <w:b/>
          <w:color w:val="FFFFFF"/>
          <w:sz w:val="32"/>
          <w:szCs w:val="32"/>
          <w:lang w:val="en-GB"/>
        </w:rPr>
        <w:t xml:space="preserve">Performance Indicators </w:t>
      </w:r>
    </w:p>
    <w:p w14:paraId="526A30C7" w14:textId="77777777" w:rsidR="00214972" w:rsidRPr="001E5747" w:rsidRDefault="00214972" w:rsidP="00214972">
      <w:pPr>
        <w:rPr>
          <w:rFonts w:eastAsia="Times New Roman"/>
          <w:sz w:val="12"/>
          <w:szCs w:val="12"/>
          <w:lang w:val="en-GB"/>
        </w:rPr>
      </w:pPr>
    </w:p>
    <w:p w14:paraId="4EDE28F2" w14:textId="3A764500" w:rsidR="00214972" w:rsidRPr="001E5747" w:rsidRDefault="00214972" w:rsidP="00214972">
      <w:pPr>
        <w:jc w:val="both"/>
        <w:rPr>
          <w:rFonts w:ascii="Calibri" w:eastAsia="Times New Roman" w:hAnsi="Calibri"/>
          <w:sz w:val="21"/>
          <w:szCs w:val="21"/>
          <w:lang w:val="en-GB"/>
        </w:rPr>
      </w:pPr>
      <w:r w:rsidRPr="001E5747">
        <w:rPr>
          <w:rFonts w:ascii="Calibri" w:eastAsia="Times New Roman" w:hAnsi="Calibri"/>
          <w:sz w:val="21"/>
          <w:szCs w:val="21"/>
          <w:lang w:val="en-GB"/>
        </w:rPr>
        <w:t>The table below shows the 30 performance indicators. The way how indicators from the MPMS are measured, is described in the MPMS documents. The table below contains brief definitions on how indicators are measured. Indicator</w:t>
      </w:r>
      <w:r w:rsidR="00AD0F4D">
        <w:rPr>
          <w:rFonts w:ascii="Calibri" w:eastAsia="Times New Roman" w:hAnsi="Calibri"/>
          <w:sz w:val="21"/>
          <w:szCs w:val="21"/>
          <w:lang w:val="en-GB"/>
        </w:rPr>
        <w:t>s no. 3,</w:t>
      </w:r>
      <w:r w:rsidRPr="001E5747">
        <w:rPr>
          <w:rFonts w:ascii="Calibri" w:eastAsia="Times New Roman" w:hAnsi="Calibri"/>
          <w:sz w:val="21"/>
          <w:szCs w:val="21"/>
          <w:lang w:val="en-GB"/>
        </w:rPr>
        <w:t xml:space="preserve"> </w:t>
      </w:r>
      <w:r w:rsidR="00836F55">
        <w:rPr>
          <w:rFonts w:ascii="Calibri" w:eastAsia="Times New Roman" w:hAnsi="Calibri"/>
          <w:sz w:val="21"/>
          <w:szCs w:val="21"/>
          <w:lang w:val="en-GB"/>
        </w:rPr>
        <w:t xml:space="preserve">19 and </w:t>
      </w:r>
      <w:r w:rsidRPr="001E5747">
        <w:rPr>
          <w:rFonts w:ascii="Calibri" w:eastAsia="Times New Roman" w:hAnsi="Calibri"/>
          <w:sz w:val="21"/>
          <w:szCs w:val="21"/>
          <w:lang w:val="en-GB"/>
        </w:rPr>
        <w:t xml:space="preserve">27 </w:t>
      </w:r>
      <w:r w:rsidR="00AD0F4D">
        <w:rPr>
          <w:rFonts w:ascii="Calibri" w:eastAsia="Times New Roman" w:hAnsi="Calibri"/>
          <w:sz w:val="21"/>
          <w:szCs w:val="21"/>
          <w:lang w:val="en-GB"/>
        </w:rPr>
        <w:t>are</w:t>
      </w:r>
      <w:r w:rsidR="00AD0F4D" w:rsidRPr="001E5747">
        <w:rPr>
          <w:rFonts w:ascii="Calibri" w:eastAsia="Times New Roman" w:hAnsi="Calibri"/>
          <w:sz w:val="21"/>
          <w:szCs w:val="21"/>
          <w:lang w:val="en-GB"/>
        </w:rPr>
        <w:t xml:space="preserve"> </w:t>
      </w:r>
      <w:r w:rsidRPr="001E5747">
        <w:rPr>
          <w:rFonts w:ascii="Calibri" w:eastAsia="Times New Roman" w:hAnsi="Calibri"/>
          <w:sz w:val="21"/>
          <w:szCs w:val="21"/>
          <w:lang w:val="en-GB"/>
        </w:rPr>
        <w:t xml:space="preserve">not taken as basis in the MPG </w:t>
      </w:r>
      <w:r w:rsidR="00AD0F4D">
        <w:rPr>
          <w:rFonts w:ascii="Calibri" w:eastAsia="Times New Roman" w:hAnsi="Calibri"/>
          <w:sz w:val="21"/>
          <w:szCs w:val="21"/>
          <w:lang w:val="en-GB"/>
        </w:rPr>
        <w:t xml:space="preserve">2021 </w:t>
      </w:r>
      <w:r w:rsidRPr="001E5747">
        <w:rPr>
          <w:rFonts w:ascii="Calibri" w:eastAsia="Times New Roman" w:hAnsi="Calibri"/>
          <w:sz w:val="21"/>
          <w:szCs w:val="21"/>
          <w:lang w:val="en-GB"/>
        </w:rPr>
        <w:t xml:space="preserve">performance assessment for the fiscal year </w:t>
      </w:r>
      <w:r w:rsidR="00AD0F4D" w:rsidRPr="001E5747">
        <w:rPr>
          <w:rFonts w:ascii="Calibri" w:eastAsia="Times New Roman" w:hAnsi="Calibri"/>
          <w:sz w:val="21"/>
          <w:szCs w:val="21"/>
          <w:lang w:val="en-GB"/>
        </w:rPr>
        <w:t>202</w:t>
      </w:r>
      <w:r w:rsidR="00AD0F4D">
        <w:rPr>
          <w:rFonts w:ascii="Calibri" w:eastAsia="Times New Roman" w:hAnsi="Calibri"/>
          <w:sz w:val="21"/>
          <w:szCs w:val="21"/>
          <w:lang w:val="en-GB"/>
        </w:rPr>
        <w:t>3</w:t>
      </w:r>
    </w:p>
    <w:p w14:paraId="3BD59FE9" w14:textId="77777777" w:rsidR="00214972" w:rsidRPr="001E5747" w:rsidRDefault="00214972" w:rsidP="00214972">
      <w:pPr>
        <w:jc w:val="both"/>
        <w:rPr>
          <w:rFonts w:eastAsia="Times New Roman"/>
          <w:sz w:val="10"/>
          <w:szCs w:val="10"/>
          <w:lang w:val="en-GB"/>
        </w:rPr>
      </w:pPr>
    </w:p>
    <w:p w14:paraId="0D6478E0" w14:textId="77777777" w:rsidR="00214972" w:rsidRPr="001E5747" w:rsidRDefault="00214972" w:rsidP="00214972">
      <w:pPr>
        <w:rPr>
          <w:rFonts w:eastAsia="Times New Roman"/>
          <w:sz w:val="12"/>
          <w:szCs w:val="12"/>
          <w:lang w:val="en-GB"/>
        </w:rPr>
      </w:pPr>
    </w:p>
    <w:tbl>
      <w:tblPr>
        <w:tblpPr w:leftFromText="180" w:rightFromText="180" w:vertAnchor="text" w:tblpXSpec="center" w:tblpY="1"/>
        <w:tblOverlap w:val="never"/>
        <w:tblW w:w="13140" w:type="dxa"/>
        <w:tblLayout w:type="fixed"/>
        <w:tblLook w:val="04A0" w:firstRow="1" w:lastRow="0" w:firstColumn="1" w:lastColumn="0" w:noHBand="0" w:noVBand="1"/>
      </w:tblPr>
      <w:tblGrid>
        <w:gridCol w:w="562"/>
        <w:gridCol w:w="5828"/>
        <w:gridCol w:w="6750"/>
      </w:tblGrid>
      <w:tr w:rsidR="00214972" w:rsidRPr="001E5747" w14:paraId="42E5C1FA" w14:textId="77777777" w:rsidTr="00B739C3">
        <w:trPr>
          <w:trHeight w:val="300"/>
          <w:tblHeader/>
        </w:trPr>
        <w:tc>
          <w:tcPr>
            <w:tcW w:w="562"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627DEAEF" w14:textId="77777777" w:rsidR="00214972" w:rsidRPr="001E5747" w:rsidRDefault="00214972" w:rsidP="00214972">
            <w:pPr>
              <w:spacing w:before="20" w:after="20"/>
              <w:contextualSpacing/>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w:t>
            </w:r>
          </w:p>
        </w:tc>
        <w:tc>
          <w:tcPr>
            <w:tcW w:w="5828" w:type="dxa"/>
            <w:tcBorders>
              <w:top w:val="single" w:sz="4" w:space="0" w:color="auto"/>
              <w:left w:val="nil"/>
              <w:bottom w:val="single" w:sz="4" w:space="0" w:color="auto"/>
              <w:right w:val="single" w:sz="4" w:space="0" w:color="auto"/>
            </w:tcBorders>
            <w:shd w:val="clear" w:color="000000" w:fill="A6A6A6"/>
            <w:vAlign w:val="center"/>
            <w:hideMark/>
          </w:tcPr>
          <w:p w14:paraId="13AAD08F" w14:textId="77777777" w:rsidR="00214972" w:rsidRPr="001E5747" w:rsidRDefault="00214972" w:rsidP="00214972">
            <w:pPr>
              <w:spacing w:before="20" w:after="20"/>
              <w:contextualSpacing/>
              <w:outlineLvl w:val="2"/>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Indicator</w:t>
            </w:r>
          </w:p>
        </w:tc>
        <w:tc>
          <w:tcPr>
            <w:tcW w:w="6750" w:type="dxa"/>
            <w:tcBorders>
              <w:top w:val="single" w:sz="4" w:space="0" w:color="auto"/>
              <w:left w:val="nil"/>
              <w:bottom w:val="single" w:sz="4" w:space="0" w:color="auto"/>
              <w:right w:val="single" w:sz="4" w:space="0" w:color="auto"/>
            </w:tcBorders>
            <w:shd w:val="clear" w:color="000000" w:fill="A6A6A6"/>
            <w:noWrap/>
            <w:vAlign w:val="center"/>
            <w:hideMark/>
          </w:tcPr>
          <w:p w14:paraId="1B0FA97C" w14:textId="77777777" w:rsidR="00214972" w:rsidRPr="001E5747" w:rsidRDefault="00214972" w:rsidP="00214972">
            <w:pPr>
              <w:spacing w:before="20" w:after="20"/>
              <w:contextualSpacing/>
              <w:jc w:val="center"/>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 xml:space="preserve">Brief definition </w:t>
            </w:r>
          </w:p>
        </w:tc>
      </w:tr>
      <w:tr w:rsidR="00214972" w:rsidRPr="001E5747" w14:paraId="1B56A53D" w14:textId="77777777" w:rsidTr="00B739C3">
        <w:trPr>
          <w:trHeight w:val="300"/>
          <w:tblHeader/>
        </w:trPr>
        <w:tc>
          <w:tcPr>
            <w:tcW w:w="13140" w:type="dxa"/>
            <w:gridSpan w:val="3"/>
            <w:tcBorders>
              <w:top w:val="single" w:sz="4" w:space="0" w:color="auto"/>
              <w:left w:val="single" w:sz="4" w:space="0" w:color="auto"/>
              <w:bottom w:val="single" w:sz="4" w:space="0" w:color="auto"/>
              <w:right w:val="single" w:sz="4" w:space="0" w:color="auto"/>
            </w:tcBorders>
            <w:shd w:val="clear" w:color="auto" w:fill="548DD4"/>
            <w:noWrap/>
            <w:vAlign w:val="center"/>
          </w:tcPr>
          <w:p w14:paraId="034F7C0D" w14:textId="77777777" w:rsidR="00214972" w:rsidRPr="001E5747" w:rsidRDefault="00214972" w:rsidP="00214972">
            <w:pPr>
              <w:spacing w:before="20" w:after="20"/>
              <w:contextualSpacing/>
              <w:rPr>
                <w:rFonts w:ascii="Calibri" w:eastAsia="Times New Roman" w:hAnsi="Calibri" w:cs="Calibri"/>
                <w:b/>
                <w:color w:val="000000"/>
                <w:sz w:val="19"/>
                <w:szCs w:val="19"/>
                <w:lang w:val="en-GB"/>
              </w:rPr>
            </w:pPr>
            <w:r w:rsidRPr="001E5747">
              <w:rPr>
                <w:rFonts w:ascii="Calibri" w:eastAsia="Times New Roman" w:hAnsi="Calibri" w:cs="Calibri"/>
                <w:b/>
                <w:color w:val="000000"/>
                <w:sz w:val="19"/>
                <w:szCs w:val="19"/>
                <w:lang w:val="en-GB"/>
              </w:rPr>
              <w:t>I . DEMOCRATIC GOVERNANCE</w:t>
            </w:r>
          </w:p>
        </w:tc>
      </w:tr>
      <w:tr w:rsidR="00214972" w:rsidRPr="001E5747" w14:paraId="26FFD3D1" w14:textId="77777777" w:rsidTr="00B739C3">
        <w:trPr>
          <w:trHeight w:val="300"/>
          <w:tblHeader/>
        </w:trPr>
        <w:tc>
          <w:tcPr>
            <w:tcW w:w="562" w:type="dxa"/>
            <w:tcBorders>
              <w:top w:val="single" w:sz="4" w:space="0" w:color="auto"/>
              <w:left w:val="single" w:sz="4" w:space="0" w:color="auto"/>
              <w:bottom w:val="single" w:sz="4" w:space="0" w:color="auto"/>
              <w:right w:val="single" w:sz="4" w:space="0" w:color="auto"/>
            </w:tcBorders>
            <w:shd w:val="clear" w:color="000000" w:fill="A6A6A6"/>
            <w:noWrap/>
          </w:tcPr>
          <w:p w14:paraId="660DD693" w14:textId="77777777" w:rsidR="00214972" w:rsidRPr="001E5747" w:rsidRDefault="00214972" w:rsidP="00214972">
            <w:pPr>
              <w:spacing w:before="20" w:after="20"/>
              <w:contextualSpacing/>
              <w:rPr>
                <w:rFonts w:ascii="Calibri Light" w:eastAsia="Times New Roman" w:hAnsi="Calibri Light" w:cs="Calibri Light"/>
                <w:b/>
                <w:color w:val="000000"/>
                <w:sz w:val="20"/>
                <w:szCs w:val="19"/>
                <w:lang w:val="en-GB"/>
              </w:rPr>
            </w:pPr>
            <w:r w:rsidRPr="001E5747">
              <w:rPr>
                <w:rFonts w:ascii="Calibri Light" w:eastAsia="Times New Roman" w:hAnsi="Calibri Light" w:cs="Calibri Light"/>
                <w:b/>
                <w:sz w:val="20"/>
                <w:lang w:val="en-GB"/>
              </w:rPr>
              <w:t>I</w:t>
            </w:r>
          </w:p>
        </w:tc>
        <w:tc>
          <w:tcPr>
            <w:tcW w:w="12578" w:type="dxa"/>
            <w:gridSpan w:val="2"/>
            <w:tcBorders>
              <w:top w:val="single" w:sz="4" w:space="0" w:color="auto"/>
              <w:left w:val="nil"/>
              <w:bottom w:val="single" w:sz="4" w:space="0" w:color="auto"/>
              <w:right w:val="single" w:sz="4" w:space="0" w:color="auto"/>
            </w:tcBorders>
            <w:shd w:val="clear" w:color="000000" w:fill="A6A6A6"/>
          </w:tcPr>
          <w:p w14:paraId="3BEDA5D6" w14:textId="77777777" w:rsidR="00214972" w:rsidRPr="001E5747" w:rsidRDefault="00214972" w:rsidP="00214972">
            <w:pPr>
              <w:spacing w:before="20" w:after="20"/>
              <w:contextualSpacing/>
              <w:rPr>
                <w:rFonts w:ascii="Calibri Light" w:eastAsia="Times New Roman" w:hAnsi="Calibri Light" w:cs="Calibri Light"/>
                <w:b/>
                <w:color w:val="000000"/>
                <w:sz w:val="20"/>
                <w:szCs w:val="19"/>
                <w:lang w:val="en-GB"/>
              </w:rPr>
            </w:pPr>
            <w:r w:rsidRPr="001E5747">
              <w:rPr>
                <w:rFonts w:ascii="Calibri Light" w:eastAsia="Times New Roman" w:hAnsi="Calibri Light" w:cs="Calibri Light"/>
                <w:b/>
                <w:sz w:val="20"/>
                <w:lang w:val="en-GB"/>
              </w:rPr>
              <w:t>Role of the Municipal Assembly as supervisory body</w:t>
            </w:r>
          </w:p>
        </w:tc>
      </w:tr>
      <w:tr w:rsidR="00214972" w:rsidRPr="001E5747" w14:paraId="09C4E2C4" w14:textId="77777777" w:rsidTr="00B739C3">
        <w:trPr>
          <w:trHeight w:val="518"/>
        </w:trPr>
        <w:tc>
          <w:tcPr>
            <w:tcW w:w="562" w:type="dxa"/>
            <w:tcBorders>
              <w:top w:val="nil"/>
              <w:left w:val="single" w:sz="4" w:space="0" w:color="auto"/>
              <w:bottom w:val="single" w:sz="4" w:space="0" w:color="auto"/>
              <w:right w:val="single" w:sz="4" w:space="0" w:color="auto"/>
            </w:tcBorders>
            <w:shd w:val="clear" w:color="auto" w:fill="C2D69B"/>
            <w:noWrap/>
            <w:vAlign w:val="center"/>
            <w:hideMark/>
          </w:tcPr>
          <w:p w14:paraId="3F6DC0EF" w14:textId="77777777" w:rsidR="00214972" w:rsidRPr="001E5747" w:rsidRDefault="00214972" w:rsidP="00214972">
            <w:pPr>
              <w:contextualSpacing/>
              <w:jc w:val="center"/>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1</w:t>
            </w:r>
          </w:p>
        </w:tc>
        <w:tc>
          <w:tcPr>
            <w:tcW w:w="5828" w:type="dxa"/>
            <w:tcBorders>
              <w:top w:val="nil"/>
              <w:left w:val="nil"/>
              <w:bottom w:val="single" w:sz="4" w:space="0" w:color="auto"/>
              <w:right w:val="single" w:sz="4" w:space="0" w:color="auto"/>
            </w:tcBorders>
            <w:shd w:val="clear" w:color="auto" w:fill="C2D69B"/>
            <w:vAlign w:val="center"/>
            <w:hideMark/>
          </w:tcPr>
          <w:p w14:paraId="708F59A7" w14:textId="77777777" w:rsidR="00214972" w:rsidRPr="001E5747" w:rsidRDefault="00214972" w:rsidP="00214972">
            <w:pPr>
              <w:contextualSpacing/>
              <w:outlineLvl w:val="2"/>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Timely approval of the annual municipal budget proposal</w:t>
            </w:r>
          </w:p>
          <w:p w14:paraId="466F4AC9" w14:textId="77777777" w:rsidR="00214972" w:rsidRPr="001E5747" w:rsidRDefault="00214972" w:rsidP="00214972">
            <w:pPr>
              <w:contextualSpacing/>
              <w:outlineLvl w:val="2"/>
              <w:rPr>
                <w:rFonts w:ascii="Calibri" w:eastAsia="Times New Roman" w:hAnsi="Calibri" w:cs="Calibri"/>
                <w:color w:val="000000"/>
                <w:sz w:val="19"/>
                <w:szCs w:val="19"/>
                <w:lang w:val="en-GB"/>
              </w:rPr>
            </w:pPr>
          </w:p>
        </w:tc>
        <w:tc>
          <w:tcPr>
            <w:tcW w:w="6750" w:type="dxa"/>
            <w:tcBorders>
              <w:top w:val="nil"/>
              <w:left w:val="nil"/>
              <w:bottom w:val="single" w:sz="4" w:space="0" w:color="auto"/>
              <w:right w:val="single" w:sz="4" w:space="0" w:color="auto"/>
            </w:tcBorders>
            <w:shd w:val="clear" w:color="auto" w:fill="C2D69B"/>
            <w:vAlign w:val="center"/>
            <w:hideMark/>
          </w:tcPr>
          <w:p w14:paraId="3694E93F" w14:textId="77777777" w:rsidR="00214972" w:rsidRPr="001E5747" w:rsidRDefault="00214972" w:rsidP="00214972">
            <w:pPr>
              <w:spacing w:before="120" w:after="120"/>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Indicator measure the level of compliance of municipal bodies’ legal obligation to draft and submit the municipal budget proposal for approval, and its approval by the municipal assembly. The annual municipal budget proposal for year n+1 has to be submitted to the MA on September 1st, at the latest. The budget proposal has to be approved by MA and submitted to the Ministry of Finance on September 30th, at the latest. The legal basis related to the drafting and approval of the annual budget proposal is provided by the Law on Public Financial Management and Accountability. Performance measurement of this indicator is based on the measurement of: i) timely submission of the municipal budget proposal to MA and ii) timely submission of the approved municipal budget proposal to the Ministry of Finance.</w:t>
            </w:r>
          </w:p>
        </w:tc>
      </w:tr>
      <w:tr w:rsidR="00214972" w:rsidRPr="001E5747" w14:paraId="370735C0" w14:textId="77777777" w:rsidTr="00B739C3">
        <w:trPr>
          <w:trHeight w:val="494"/>
        </w:trPr>
        <w:tc>
          <w:tcPr>
            <w:tcW w:w="562" w:type="dxa"/>
            <w:tcBorders>
              <w:top w:val="nil"/>
              <w:left w:val="single" w:sz="4" w:space="0" w:color="auto"/>
              <w:bottom w:val="single" w:sz="4" w:space="0" w:color="auto"/>
              <w:right w:val="single" w:sz="4" w:space="0" w:color="auto"/>
            </w:tcBorders>
            <w:shd w:val="clear" w:color="000000" w:fill="C4D79B"/>
            <w:noWrap/>
            <w:vAlign w:val="center"/>
            <w:hideMark/>
          </w:tcPr>
          <w:p w14:paraId="613C3A9D" w14:textId="77777777" w:rsidR="00214972" w:rsidRPr="001E5747" w:rsidRDefault="00214972" w:rsidP="00214972">
            <w:pPr>
              <w:contextualSpacing/>
              <w:jc w:val="center"/>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2</w:t>
            </w:r>
          </w:p>
        </w:tc>
        <w:tc>
          <w:tcPr>
            <w:tcW w:w="5828" w:type="dxa"/>
            <w:tcBorders>
              <w:top w:val="nil"/>
              <w:left w:val="nil"/>
              <w:bottom w:val="single" w:sz="4" w:space="0" w:color="auto"/>
              <w:right w:val="single" w:sz="4" w:space="0" w:color="auto"/>
            </w:tcBorders>
            <w:shd w:val="clear" w:color="000000" w:fill="C4D79B"/>
            <w:vAlign w:val="center"/>
            <w:hideMark/>
          </w:tcPr>
          <w:p w14:paraId="5EA188D4" w14:textId="77777777" w:rsidR="00214972" w:rsidRPr="001E5747" w:rsidRDefault="00214972" w:rsidP="00214972">
            <w:pPr>
              <w:contextualSpacing/>
              <w:outlineLvl w:val="2"/>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Discussion of quarterly budget reports by the</w:t>
            </w:r>
          </w:p>
          <w:p w14:paraId="760B0727" w14:textId="77777777" w:rsidR="00214972" w:rsidRPr="001E5747" w:rsidRDefault="00214972" w:rsidP="00214972">
            <w:pPr>
              <w:contextualSpacing/>
              <w:outlineLvl w:val="2"/>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Municipal Assembly</w:t>
            </w:r>
          </w:p>
        </w:tc>
        <w:tc>
          <w:tcPr>
            <w:tcW w:w="6750" w:type="dxa"/>
            <w:tcBorders>
              <w:top w:val="nil"/>
              <w:left w:val="nil"/>
              <w:bottom w:val="single" w:sz="4" w:space="0" w:color="auto"/>
              <w:right w:val="single" w:sz="4" w:space="0" w:color="auto"/>
            </w:tcBorders>
            <w:shd w:val="clear" w:color="000000" w:fill="C4D79B"/>
            <w:vAlign w:val="center"/>
          </w:tcPr>
          <w:p w14:paraId="201E50B7" w14:textId="77777777" w:rsidR="00214972" w:rsidRPr="001E5747" w:rsidRDefault="00214972" w:rsidP="0063777D">
            <w:pPr>
              <w:spacing w:before="120" w:after="120"/>
              <w:jc w:val="both"/>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Indicator measures compliance of municipal authorities with the legal obligation of presenting and discussing quarterly budget reports in the municipal assembly. Budget reports should be submitted for discussion on a quarterly basis to the municipal assembly, i.e., reports should be submitted to the municipal assembly by the mayor.</w:t>
            </w:r>
          </w:p>
          <w:p w14:paraId="460B4589" w14:textId="77777777" w:rsidR="00214972" w:rsidRPr="001E5747" w:rsidRDefault="00214972" w:rsidP="0063777D">
            <w:pPr>
              <w:spacing w:before="120" w:after="120"/>
              <w:jc w:val="both"/>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Legal basis for preparing and presenting quarterly budget reports to the MA is provided in the Law of Public Financial Management and Accountability.</w:t>
            </w:r>
          </w:p>
          <w:p w14:paraId="3977766E" w14:textId="77777777" w:rsidR="00214972" w:rsidRPr="001E5747" w:rsidRDefault="00214972" w:rsidP="0063777D">
            <w:pPr>
              <w:spacing w:before="120" w:after="120"/>
              <w:jc w:val="both"/>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Performance measurement of this indicator is based on the measurement of timely presentation of quarterly reports (within 30 days after the end of the quarter) by the mayor, to the MA, for each quarter; observing compliance with dates: 31 January, 30 April, 31 July, and 31 October of the assessed fiscal year.</w:t>
            </w:r>
          </w:p>
        </w:tc>
      </w:tr>
      <w:tr w:rsidR="00214972" w:rsidRPr="001E5747" w14:paraId="35CA415C" w14:textId="77777777" w:rsidTr="00EF13F3">
        <w:trPr>
          <w:trHeight w:val="653"/>
        </w:trPr>
        <w:tc>
          <w:tcPr>
            <w:tcW w:w="562" w:type="dxa"/>
            <w:tcBorders>
              <w:top w:val="nil"/>
              <w:left w:val="single" w:sz="4" w:space="0" w:color="auto"/>
              <w:bottom w:val="single" w:sz="4" w:space="0" w:color="auto"/>
              <w:right w:val="single" w:sz="4" w:space="0" w:color="auto"/>
            </w:tcBorders>
            <w:shd w:val="clear" w:color="auto" w:fill="FFC000"/>
            <w:noWrap/>
            <w:vAlign w:val="center"/>
            <w:hideMark/>
          </w:tcPr>
          <w:p w14:paraId="2AA5CDC9" w14:textId="77777777" w:rsidR="00214972" w:rsidRPr="001E5747" w:rsidRDefault="00214972" w:rsidP="00214972">
            <w:pPr>
              <w:contextualSpacing/>
              <w:jc w:val="center"/>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3</w:t>
            </w:r>
          </w:p>
        </w:tc>
        <w:tc>
          <w:tcPr>
            <w:tcW w:w="5828" w:type="dxa"/>
            <w:tcBorders>
              <w:top w:val="nil"/>
              <w:left w:val="nil"/>
              <w:bottom w:val="single" w:sz="4" w:space="0" w:color="auto"/>
              <w:right w:val="single" w:sz="4" w:space="0" w:color="auto"/>
            </w:tcBorders>
            <w:shd w:val="clear" w:color="auto" w:fill="FFC000"/>
            <w:vAlign w:val="center"/>
            <w:hideMark/>
          </w:tcPr>
          <w:p w14:paraId="35D452FD" w14:textId="77777777" w:rsidR="00214972" w:rsidRPr="001E5747" w:rsidRDefault="00214972" w:rsidP="00214972">
            <w:pPr>
              <w:contextualSpacing/>
              <w:outlineLvl w:val="2"/>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Discussions on the previous year municipal performance report by the Municipal Assembly</w:t>
            </w:r>
          </w:p>
        </w:tc>
        <w:tc>
          <w:tcPr>
            <w:tcW w:w="6750" w:type="dxa"/>
            <w:tcBorders>
              <w:top w:val="nil"/>
              <w:left w:val="nil"/>
              <w:bottom w:val="single" w:sz="4" w:space="0" w:color="auto"/>
              <w:right w:val="single" w:sz="4" w:space="0" w:color="auto"/>
            </w:tcBorders>
            <w:shd w:val="clear" w:color="auto" w:fill="FFC000"/>
            <w:vAlign w:val="center"/>
            <w:hideMark/>
          </w:tcPr>
          <w:p w14:paraId="2D808BE1" w14:textId="77777777" w:rsidR="00214972" w:rsidRPr="001E5747" w:rsidRDefault="00214972" w:rsidP="00214972">
            <w:pPr>
              <w:spacing w:before="100"/>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 xml:space="preserve">Indicator measures municipal compliance with legal obligations to present and discuss the results of the annual municipal performance from the Municipal </w:t>
            </w:r>
            <w:r w:rsidRPr="001E5747">
              <w:rPr>
                <w:rFonts w:ascii="Calibri" w:eastAsia="Times New Roman" w:hAnsi="Calibri" w:cs="Calibri"/>
                <w:color w:val="000000"/>
                <w:sz w:val="19"/>
                <w:szCs w:val="19"/>
                <w:lang w:val="en-GB"/>
              </w:rPr>
              <w:lastRenderedPageBreak/>
              <w:t>Performance Management System (MPMS) in the MA. For assessment purposes, the Municipal Performance Report (year n-1) has to be an agenda point in one of the MA meetings before June (year n).</w:t>
            </w:r>
          </w:p>
          <w:p w14:paraId="3782F3A8" w14:textId="77777777" w:rsidR="00214972" w:rsidRPr="001E5747" w:rsidRDefault="00214972" w:rsidP="00A0644E">
            <w:pPr>
              <w:spacing w:before="100"/>
              <w:jc w:val="both"/>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Through this indicator, the MA is able to annually discuss and hold the executive into account for the municipal performance. Performance measurement of this indicator is based on the measurement of timely presentation of the report, specifically it is required to prove as evidence that the PMS report has been included as a reporting heading in the municipal assembly’s agenda after the publication of the report; with the calendar year when report is published.</w:t>
            </w:r>
          </w:p>
        </w:tc>
      </w:tr>
      <w:tr w:rsidR="00214972" w:rsidRPr="001E5747" w14:paraId="619C7971" w14:textId="77777777" w:rsidTr="00B739C3">
        <w:trPr>
          <w:trHeight w:val="2348"/>
        </w:trPr>
        <w:tc>
          <w:tcPr>
            <w:tcW w:w="562" w:type="dxa"/>
            <w:tcBorders>
              <w:top w:val="nil"/>
              <w:left w:val="single" w:sz="4" w:space="0" w:color="auto"/>
              <w:bottom w:val="single" w:sz="4" w:space="0" w:color="auto"/>
              <w:right w:val="single" w:sz="4" w:space="0" w:color="auto"/>
            </w:tcBorders>
            <w:shd w:val="clear" w:color="000000" w:fill="C4D79B"/>
            <w:noWrap/>
            <w:vAlign w:val="center"/>
            <w:hideMark/>
          </w:tcPr>
          <w:p w14:paraId="2B3A2B48" w14:textId="77777777" w:rsidR="00214972" w:rsidRPr="001E5747" w:rsidRDefault="00214972" w:rsidP="00214972">
            <w:pPr>
              <w:contextualSpacing/>
              <w:jc w:val="center"/>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lastRenderedPageBreak/>
              <w:t>4</w:t>
            </w:r>
          </w:p>
        </w:tc>
        <w:tc>
          <w:tcPr>
            <w:tcW w:w="5828" w:type="dxa"/>
            <w:tcBorders>
              <w:top w:val="nil"/>
              <w:left w:val="nil"/>
              <w:bottom w:val="single" w:sz="4" w:space="0" w:color="auto"/>
              <w:right w:val="single" w:sz="4" w:space="0" w:color="auto"/>
            </w:tcBorders>
            <w:shd w:val="clear" w:color="000000" w:fill="C4D79B"/>
            <w:vAlign w:val="center"/>
            <w:hideMark/>
          </w:tcPr>
          <w:p w14:paraId="719B4038" w14:textId="77777777" w:rsidR="00214972" w:rsidRPr="001E5747" w:rsidRDefault="00214972" w:rsidP="00214972">
            <w:pPr>
              <w:contextualSpacing/>
              <w:outlineLvl w:val="2"/>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Discussion of the external auditor’s report and action plan for</w:t>
            </w:r>
          </w:p>
          <w:p w14:paraId="6BFBA717" w14:textId="77777777" w:rsidR="00214972" w:rsidRPr="001E5747" w:rsidRDefault="00214972" w:rsidP="00214972">
            <w:pPr>
              <w:contextualSpacing/>
              <w:outlineLvl w:val="2"/>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addressing the recommendations and discussion of the findings</w:t>
            </w:r>
          </w:p>
          <w:p w14:paraId="30461C36" w14:textId="77777777" w:rsidR="00214972" w:rsidRPr="001E5747" w:rsidRDefault="00214972" w:rsidP="00214972">
            <w:pPr>
              <w:contextualSpacing/>
              <w:outlineLvl w:val="2"/>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and recommendations of the internal audit in</w:t>
            </w:r>
          </w:p>
          <w:p w14:paraId="0CB50B07" w14:textId="77777777" w:rsidR="00214972" w:rsidRPr="001E5747" w:rsidRDefault="00214972" w:rsidP="00214972">
            <w:pPr>
              <w:contextualSpacing/>
              <w:outlineLvl w:val="2"/>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the Municipal Assembly</w:t>
            </w:r>
          </w:p>
        </w:tc>
        <w:tc>
          <w:tcPr>
            <w:tcW w:w="6750" w:type="dxa"/>
            <w:tcBorders>
              <w:top w:val="nil"/>
              <w:left w:val="nil"/>
              <w:bottom w:val="single" w:sz="4" w:space="0" w:color="auto"/>
              <w:right w:val="single" w:sz="4" w:space="0" w:color="auto"/>
            </w:tcBorders>
            <w:shd w:val="clear" w:color="000000" w:fill="C4D79B"/>
            <w:vAlign w:val="center"/>
            <w:hideMark/>
          </w:tcPr>
          <w:p w14:paraId="1874C2FE" w14:textId="77777777" w:rsidR="00214972" w:rsidRPr="001E5747" w:rsidRDefault="00214972" w:rsidP="0063777D">
            <w:pPr>
              <w:spacing w:before="100"/>
              <w:jc w:val="both"/>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For the grant scheme, this indicator aggregates readings from two PMS indicators 3.2.4 and 3.2.5;</w:t>
            </w:r>
          </w:p>
          <w:p w14:paraId="52694DA2" w14:textId="77777777" w:rsidR="00214972" w:rsidRPr="001E5747" w:rsidRDefault="00214972" w:rsidP="0063777D">
            <w:pPr>
              <w:spacing w:before="100"/>
              <w:jc w:val="both"/>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 xml:space="preserve">Indicator 3.2.4 measures municipal performance regarding compliance to submit the National Audit Report to MA for discussion, including the action plan. Legal basis for this submission is given in the Law on NAO, imposing the obligation on behalf of municipal authorities to report to MA on planned and executed activities related to findings and recommendations of the NAO specified in their Annual Regularity Audit Reports; Measurement of performance is based on the following criteria: i) discussion of the NAO report in the MA; and ii) discussion of the action plan to address NAO recommendations; specific evidence is required to confirm </w:t>
            </w:r>
            <w:r w:rsidR="0063777D" w:rsidRPr="001E5747">
              <w:rPr>
                <w:rFonts w:ascii="Calibri" w:eastAsia="Times New Roman" w:hAnsi="Calibri" w:cs="Calibri"/>
                <w:color w:val="000000"/>
                <w:sz w:val="19"/>
                <w:szCs w:val="19"/>
                <w:lang w:val="en-GB"/>
              </w:rPr>
              <w:t>fulfilment</w:t>
            </w:r>
            <w:r w:rsidRPr="001E5747">
              <w:rPr>
                <w:rFonts w:ascii="Calibri" w:eastAsia="Times New Roman" w:hAnsi="Calibri" w:cs="Calibri"/>
                <w:color w:val="000000"/>
                <w:sz w:val="19"/>
                <w:szCs w:val="19"/>
                <w:lang w:val="en-GB"/>
              </w:rPr>
              <w:t xml:space="preserve"> of the criteria within stipulated time frame.</w:t>
            </w:r>
          </w:p>
          <w:p w14:paraId="2CD42502" w14:textId="77777777" w:rsidR="00214972" w:rsidRPr="001E5747" w:rsidRDefault="00214972" w:rsidP="0063777D">
            <w:pPr>
              <w:spacing w:before="100"/>
              <w:jc w:val="both"/>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 xml:space="preserve">Indicator 3.2.5 measures municipal performance regarding compliance to submit and discuss the report of the Internal Audit to the MA, including the action plan related to findings. Measurement of performance is based on the following criteria: i) discussion of the Internal Audit report in the MA; and ii) discussion of the action plan to address Internal Audit report recommendations; specific evidence is required to confirm </w:t>
            </w:r>
            <w:r w:rsidR="0063777D" w:rsidRPr="001E5747">
              <w:rPr>
                <w:rFonts w:ascii="Calibri" w:eastAsia="Times New Roman" w:hAnsi="Calibri" w:cs="Calibri"/>
                <w:color w:val="000000"/>
                <w:sz w:val="19"/>
                <w:szCs w:val="19"/>
                <w:lang w:val="en-GB"/>
              </w:rPr>
              <w:t>fulfilment</w:t>
            </w:r>
            <w:r w:rsidRPr="001E5747">
              <w:rPr>
                <w:rFonts w:ascii="Calibri" w:eastAsia="Times New Roman" w:hAnsi="Calibri" w:cs="Calibri"/>
                <w:color w:val="000000"/>
                <w:sz w:val="19"/>
                <w:szCs w:val="19"/>
                <w:lang w:val="en-GB"/>
              </w:rPr>
              <w:t xml:space="preserve"> of the criteria within stipulated time frame. </w:t>
            </w:r>
          </w:p>
        </w:tc>
      </w:tr>
      <w:tr w:rsidR="00214972" w:rsidRPr="001E5747" w14:paraId="3C3530BE" w14:textId="77777777" w:rsidTr="00B739C3">
        <w:trPr>
          <w:trHeight w:val="320"/>
        </w:trPr>
        <w:tc>
          <w:tcPr>
            <w:tcW w:w="562" w:type="dxa"/>
            <w:tcBorders>
              <w:top w:val="single" w:sz="4" w:space="0" w:color="auto"/>
              <w:left w:val="single" w:sz="4" w:space="0" w:color="auto"/>
              <w:bottom w:val="single" w:sz="4" w:space="0" w:color="auto"/>
              <w:right w:val="single" w:sz="4" w:space="0" w:color="auto"/>
            </w:tcBorders>
            <w:shd w:val="clear" w:color="000000" w:fill="C2D69B"/>
            <w:noWrap/>
            <w:vAlign w:val="center"/>
          </w:tcPr>
          <w:p w14:paraId="4AEBDB56" w14:textId="77777777" w:rsidR="00214972" w:rsidRPr="001E5747" w:rsidRDefault="00214972" w:rsidP="00214972">
            <w:pPr>
              <w:contextualSpacing/>
              <w:jc w:val="center"/>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5</w:t>
            </w:r>
          </w:p>
        </w:tc>
        <w:tc>
          <w:tcPr>
            <w:tcW w:w="5828" w:type="dxa"/>
            <w:tcBorders>
              <w:top w:val="single" w:sz="4" w:space="0" w:color="auto"/>
              <w:left w:val="nil"/>
              <w:bottom w:val="single" w:sz="4" w:space="0" w:color="auto"/>
              <w:right w:val="single" w:sz="4" w:space="0" w:color="auto"/>
            </w:tcBorders>
            <w:shd w:val="clear" w:color="000000" w:fill="C2D69B"/>
            <w:vAlign w:val="center"/>
          </w:tcPr>
          <w:p w14:paraId="554A52AD" w14:textId="77777777" w:rsidR="00214972" w:rsidRPr="001E5747" w:rsidRDefault="00214972" w:rsidP="00214972">
            <w:pPr>
              <w:contextualSpacing/>
              <w:outlineLvl w:val="2"/>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Meetings of the Municipal Assembly with the participation of the mayor</w:t>
            </w:r>
          </w:p>
        </w:tc>
        <w:tc>
          <w:tcPr>
            <w:tcW w:w="6750" w:type="dxa"/>
            <w:tcBorders>
              <w:top w:val="single" w:sz="4" w:space="0" w:color="auto"/>
              <w:left w:val="nil"/>
              <w:bottom w:val="single" w:sz="4" w:space="0" w:color="auto"/>
              <w:right w:val="single" w:sz="4" w:space="0" w:color="auto"/>
            </w:tcBorders>
            <w:shd w:val="clear" w:color="000000" w:fill="C2D69B"/>
            <w:vAlign w:val="center"/>
          </w:tcPr>
          <w:p w14:paraId="1F5287EC" w14:textId="77777777" w:rsidR="00214972" w:rsidRPr="001E5747" w:rsidRDefault="00214972" w:rsidP="00214972">
            <w:pPr>
              <w:spacing w:before="100"/>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 xml:space="preserve">Indicator measures municipal performance with respect to the mayors’ obligation to report to the MA, measuring mayors’ attendance in the MA meetings. </w:t>
            </w:r>
            <w:r w:rsidRPr="001E5747">
              <w:rPr>
                <w:rFonts w:eastAsia="Times New Roman"/>
                <w:lang w:val="en-GB"/>
              </w:rPr>
              <w:t xml:space="preserve"> </w:t>
            </w:r>
            <w:r w:rsidRPr="001E5747">
              <w:rPr>
                <w:rFonts w:ascii="Calibri" w:eastAsia="Times New Roman" w:hAnsi="Calibri" w:cs="Calibri"/>
                <w:color w:val="000000"/>
                <w:sz w:val="19"/>
                <w:szCs w:val="19"/>
                <w:lang w:val="en-GB"/>
              </w:rPr>
              <w:t xml:space="preserve">Performance measurement is based on evidence proving the presence of the mayor in the </w:t>
            </w:r>
            <w:r w:rsidRPr="001E5747">
              <w:rPr>
                <w:rFonts w:ascii="Calibri" w:eastAsia="Times New Roman" w:hAnsi="Calibri" w:cs="Calibri"/>
                <w:color w:val="000000"/>
                <w:sz w:val="19"/>
                <w:szCs w:val="19"/>
                <w:lang w:val="en-GB"/>
              </w:rPr>
              <w:lastRenderedPageBreak/>
              <w:t>working sessions of the MA, namely the lists of participation or reports of meetings of the MA.</w:t>
            </w:r>
          </w:p>
        </w:tc>
      </w:tr>
      <w:tr w:rsidR="00214972" w:rsidRPr="001E5747" w14:paraId="5170D036" w14:textId="77777777" w:rsidTr="00B739C3">
        <w:trPr>
          <w:trHeight w:val="320"/>
        </w:trPr>
        <w:tc>
          <w:tcPr>
            <w:tcW w:w="562" w:type="dxa"/>
            <w:tcBorders>
              <w:top w:val="single" w:sz="4" w:space="0" w:color="auto"/>
              <w:left w:val="single" w:sz="4" w:space="0" w:color="auto"/>
              <w:right w:val="single" w:sz="4" w:space="0" w:color="auto"/>
            </w:tcBorders>
            <w:shd w:val="clear" w:color="auto" w:fill="C6D9F1"/>
            <w:noWrap/>
            <w:vAlign w:val="center"/>
          </w:tcPr>
          <w:p w14:paraId="5F9BB1DA" w14:textId="77777777" w:rsidR="00214972" w:rsidRPr="001E5747" w:rsidRDefault="00214972" w:rsidP="00214972">
            <w:pPr>
              <w:contextualSpacing/>
              <w:jc w:val="center"/>
              <w:rPr>
                <w:rFonts w:ascii="Calibri" w:eastAsia="Times New Roman" w:hAnsi="Calibri" w:cs="Calibri"/>
                <w:b/>
                <w:color w:val="000000"/>
                <w:sz w:val="19"/>
                <w:szCs w:val="19"/>
                <w:lang w:val="en-GB"/>
              </w:rPr>
            </w:pPr>
            <w:r w:rsidRPr="001E5747">
              <w:rPr>
                <w:rFonts w:ascii="Calibri" w:eastAsia="Times New Roman" w:hAnsi="Calibri" w:cs="Calibri"/>
                <w:b/>
                <w:color w:val="000000"/>
                <w:sz w:val="19"/>
                <w:szCs w:val="19"/>
                <w:lang w:val="en-GB"/>
              </w:rPr>
              <w:lastRenderedPageBreak/>
              <w:t>II</w:t>
            </w:r>
          </w:p>
        </w:tc>
        <w:tc>
          <w:tcPr>
            <w:tcW w:w="12578" w:type="dxa"/>
            <w:gridSpan w:val="2"/>
            <w:tcBorders>
              <w:top w:val="single" w:sz="4" w:space="0" w:color="auto"/>
              <w:left w:val="nil"/>
              <w:right w:val="single" w:sz="4" w:space="0" w:color="auto"/>
            </w:tcBorders>
            <w:shd w:val="clear" w:color="auto" w:fill="C6D9F1"/>
            <w:vAlign w:val="center"/>
          </w:tcPr>
          <w:p w14:paraId="7302E750" w14:textId="77777777" w:rsidR="00214972" w:rsidRPr="001E5747" w:rsidRDefault="00214972" w:rsidP="00214972">
            <w:pPr>
              <w:spacing w:before="100"/>
              <w:rPr>
                <w:rFonts w:ascii="Calibri" w:eastAsia="Times New Roman" w:hAnsi="Calibri" w:cs="Calibri"/>
                <w:b/>
                <w:color w:val="000000"/>
                <w:sz w:val="19"/>
                <w:szCs w:val="19"/>
                <w:lang w:val="en-GB"/>
              </w:rPr>
            </w:pPr>
            <w:r w:rsidRPr="001E5747">
              <w:rPr>
                <w:rFonts w:ascii="Calibri" w:eastAsia="Times New Roman" w:hAnsi="Calibri" w:cs="Calibri"/>
                <w:b/>
                <w:color w:val="000000"/>
                <w:sz w:val="19"/>
                <w:szCs w:val="19"/>
                <w:lang w:val="en-GB"/>
              </w:rPr>
              <w:t>Participation, consultation with citizens and inclusion</w:t>
            </w:r>
          </w:p>
        </w:tc>
      </w:tr>
      <w:tr w:rsidR="00214972" w:rsidRPr="001E5747" w14:paraId="3C364BF5" w14:textId="77777777" w:rsidTr="00B739C3">
        <w:trPr>
          <w:trHeight w:val="428"/>
        </w:trPr>
        <w:tc>
          <w:tcPr>
            <w:tcW w:w="562" w:type="dxa"/>
            <w:tcBorders>
              <w:top w:val="nil"/>
              <w:left w:val="single" w:sz="4" w:space="0" w:color="auto"/>
              <w:bottom w:val="single" w:sz="4" w:space="0" w:color="auto"/>
              <w:right w:val="single" w:sz="4" w:space="0" w:color="auto"/>
            </w:tcBorders>
            <w:shd w:val="clear" w:color="000000" w:fill="C4D79B"/>
            <w:noWrap/>
            <w:vAlign w:val="center"/>
          </w:tcPr>
          <w:p w14:paraId="6FF09409" w14:textId="77777777" w:rsidR="00214972" w:rsidRPr="001E5747" w:rsidRDefault="00214972" w:rsidP="00214972">
            <w:pPr>
              <w:contextualSpacing/>
              <w:jc w:val="center"/>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6</w:t>
            </w:r>
          </w:p>
        </w:tc>
        <w:tc>
          <w:tcPr>
            <w:tcW w:w="5828" w:type="dxa"/>
            <w:tcBorders>
              <w:top w:val="single" w:sz="4" w:space="0" w:color="auto"/>
              <w:left w:val="nil"/>
              <w:bottom w:val="single" w:sz="4" w:space="0" w:color="auto"/>
              <w:right w:val="single" w:sz="4" w:space="0" w:color="auto"/>
            </w:tcBorders>
            <w:shd w:val="clear" w:color="000000" w:fill="C4D79B"/>
            <w:vAlign w:val="center"/>
          </w:tcPr>
          <w:p w14:paraId="7B6C171A" w14:textId="77777777" w:rsidR="00214972" w:rsidRPr="001E5747" w:rsidRDefault="00214972" w:rsidP="00214972">
            <w:pPr>
              <w:contextualSpacing/>
              <w:outlineLvl w:val="2"/>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Citizen participation in public consultations, disaggregated</w:t>
            </w:r>
          </w:p>
          <w:p w14:paraId="7CBF27C5" w14:textId="77777777" w:rsidR="00214972" w:rsidRPr="001E5747" w:rsidRDefault="00214972" w:rsidP="00214972">
            <w:pPr>
              <w:contextualSpacing/>
              <w:outlineLvl w:val="2"/>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by gender</w:t>
            </w:r>
          </w:p>
        </w:tc>
        <w:tc>
          <w:tcPr>
            <w:tcW w:w="6750" w:type="dxa"/>
            <w:tcBorders>
              <w:top w:val="single" w:sz="4" w:space="0" w:color="auto"/>
              <w:left w:val="nil"/>
              <w:bottom w:val="single" w:sz="4" w:space="0" w:color="auto"/>
              <w:right w:val="single" w:sz="4" w:space="0" w:color="auto"/>
            </w:tcBorders>
            <w:shd w:val="clear" w:color="000000" w:fill="C4D79B"/>
            <w:vAlign w:val="center"/>
          </w:tcPr>
          <w:p w14:paraId="4C659CFD" w14:textId="77777777" w:rsidR="00214972" w:rsidRPr="001E5747" w:rsidRDefault="00214972" w:rsidP="00214972">
            <w:pPr>
              <w:spacing w:before="100"/>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For the grant scheme, this indicator aggregates readings from two PMS indicators 3.1.2 and 16.1.3;</w:t>
            </w:r>
          </w:p>
          <w:p w14:paraId="71446974" w14:textId="77777777" w:rsidR="00214972" w:rsidRPr="001E5747" w:rsidRDefault="0063777D" w:rsidP="0063777D">
            <w:pPr>
              <w:spacing w:before="100"/>
              <w:jc w:val="both"/>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Indicator 3.1.2</w:t>
            </w:r>
            <w:r w:rsidR="00214972" w:rsidRPr="001E5747">
              <w:rPr>
                <w:rFonts w:ascii="Calibri" w:eastAsia="Times New Roman" w:hAnsi="Calibri" w:cs="Calibri"/>
                <w:color w:val="000000"/>
                <w:sz w:val="19"/>
                <w:szCs w:val="19"/>
                <w:lang w:val="en-GB"/>
              </w:rPr>
              <w:t xml:space="preserve"> measures the level of citizen participation in all municipal public consultations relative to the number of inhabitants in the municipality. </w:t>
            </w:r>
            <w:r w:rsidR="00214972" w:rsidRPr="001E5747">
              <w:rPr>
                <w:rFonts w:eastAsia="Times New Roman"/>
                <w:lang w:val="en-GB"/>
              </w:rPr>
              <w:t xml:space="preserve"> </w:t>
            </w:r>
            <w:r w:rsidR="00214972" w:rsidRPr="001E5747">
              <w:rPr>
                <w:rFonts w:ascii="Calibri" w:eastAsia="Times New Roman" w:hAnsi="Calibri" w:cs="Calibri"/>
                <w:color w:val="000000"/>
                <w:sz w:val="19"/>
                <w:szCs w:val="19"/>
                <w:lang w:val="en-GB"/>
              </w:rPr>
              <w:t xml:space="preserve">The maximum participation rate for this indicator is considered 3% of the number of inhabitants of the respective municipality. Measurement of performance for this indicator takes into account for following: all public consultation activities, including public meetings, budget hearings and consultations on municipal acts. </w:t>
            </w:r>
          </w:p>
          <w:p w14:paraId="688E7548" w14:textId="77777777" w:rsidR="00214972" w:rsidRPr="001E5747" w:rsidRDefault="00214972" w:rsidP="0063777D">
            <w:pPr>
              <w:spacing w:before="100"/>
              <w:jc w:val="both"/>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Indicator 16.1.3 measures the participation of women in public consultations as a percentage of all participants in public consultation activities; This is an indicator of gender equality, derived from the general participation of citizens in public consultations.</w:t>
            </w:r>
          </w:p>
        </w:tc>
      </w:tr>
      <w:tr w:rsidR="00214972" w:rsidRPr="001E5747" w14:paraId="52B16081" w14:textId="77777777" w:rsidTr="00B739C3">
        <w:trPr>
          <w:trHeight w:val="491"/>
        </w:trPr>
        <w:tc>
          <w:tcPr>
            <w:tcW w:w="562" w:type="dxa"/>
            <w:tcBorders>
              <w:top w:val="nil"/>
              <w:left w:val="single" w:sz="4" w:space="0" w:color="auto"/>
              <w:bottom w:val="single" w:sz="4" w:space="0" w:color="auto"/>
              <w:right w:val="single" w:sz="4" w:space="0" w:color="auto"/>
            </w:tcBorders>
            <w:shd w:val="clear" w:color="000000" w:fill="C4D79B"/>
            <w:noWrap/>
            <w:vAlign w:val="center"/>
          </w:tcPr>
          <w:p w14:paraId="0A0CD910" w14:textId="77777777" w:rsidR="00214972" w:rsidRPr="001E5747" w:rsidRDefault="00214972" w:rsidP="00214972">
            <w:pPr>
              <w:contextualSpacing/>
              <w:jc w:val="center"/>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7</w:t>
            </w:r>
          </w:p>
        </w:tc>
        <w:tc>
          <w:tcPr>
            <w:tcW w:w="5828" w:type="dxa"/>
            <w:tcBorders>
              <w:top w:val="nil"/>
              <w:left w:val="nil"/>
              <w:bottom w:val="single" w:sz="4" w:space="0" w:color="auto"/>
              <w:right w:val="single" w:sz="4" w:space="0" w:color="auto"/>
            </w:tcBorders>
            <w:shd w:val="clear" w:color="000000" w:fill="C4D79B"/>
            <w:vAlign w:val="center"/>
          </w:tcPr>
          <w:p w14:paraId="29EFF33C" w14:textId="77777777" w:rsidR="00214972" w:rsidRPr="001E5747" w:rsidRDefault="00214972" w:rsidP="00214972">
            <w:pPr>
              <w:contextualSpacing/>
              <w:outlineLvl w:val="2"/>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Municipal acts and local policy documents consulted with the</w:t>
            </w:r>
          </w:p>
          <w:p w14:paraId="75531604" w14:textId="77777777" w:rsidR="00214972" w:rsidRPr="001E5747" w:rsidRDefault="00214972" w:rsidP="00214972">
            <w:pPr>
              <w:contextualSpacing/>
              <w:outlineLvl w:val="2"/>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public</w:t>
            </w:r>
          </w:p>
        </w:tc>
        <w:tc>
          <w:tcPr>
            <w:tcW w:w="6750" w:type="dxa"/>
            <w:tcBorders>
              <w:top w:val="nil"/>
              <w:left w:val="nil"/>
              <w:bottom w:val="single" w:sz="4" w:space="0" w:color="auto"/>
              <w:right w:val="single" w:sz="4" w:space="0" w:color="auto"/>
            </w:tcBorders>
            <w:shd w:val="clear" w:color="000000" w:fill="C4D79B"/>
            <w:vAlign w:val="center"/>
          </w:tcPr>
          <w:p w14:paraId="0F8093C3" w14:textId="77777777" w:rsidR="00214972" w:rsidRPr="001E5747" w:rsidRDefault="00214972" w:rsidP="0063777D">
            <w:pPr>
              <w:spacing w:before="100"/>
              <w:jc w:val="both"/>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 xml:space="preserve">Indicator measures performance with regards to the level fulfilment of the municipal assembly’s obligation in terms of public consultation after the drafting of general acts. For the purpose of this indicator, based on the stipulation in Article 8 of Administrative Instruction 01/2015), public is consulted with respect to general acts adopted by MA. Measurement of performance for this indicator is based on the evidence on the following: (i) number of general acts and policy documents passed during the year, and (i) number of general acts and policy documents passed during the year that were subject to public consultations. </w:t>
            </w:r>
          </w:p>
        </w:tc>
      </w:tr>
      <w:tr w:rsidR="00214972" w:rsidRPr="001E5747" w14:paraId="0B57FC6C" w14:textId="77777777" w:rsidTr="00B739C3">
        <w:trPr>
          <w:trHeight w:val="563"/>
        </w:trPr>
        <w:tc>
          <w:tcPr>
            <w:tcW w:w="562" w:type="dxa"/>
            <w:tcBorders>
              <w:top w:val="nil"/>
              <w:left w:val="single" w:sz="4" w:space="0" w:color="auto"/>
              <w:bottom w:val="single" w:sz="4" w:space="0" w:color="auto"/>
              <w:right w:val="single" w:sz="4" w:space="0" w:color="auto"/>
            </w:tcBorders>
            <w:shd w:val="clear" w:color="auto" w:fill="C2D69B"/>
            <w:noWrap/>
            <w:vAlign w:val="center"/>
          </w:tcPr>
          <w:p w14:paraId="79D00555" w14:textId="77777777" w:rsidR="00214972" w:rsidRPr="001E5747" w:rsidRDefault="00214972" w:rsidP="00214972">
            <w:pPr>
              <w:contextualSpacing/>
              <w:jc w:val="center"/>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8</w:t>
            </w:r>
          </w:p>
        </w:tc>
        <w:tc>
          <w:tcPr>
            <w:tcW w:w="5828" w:type="dxa"/>
            <w:tcBorders>
              <w:top w:val="nil"/>
              <w:left w:val="nil"/>
              <w:bottom w:val="single" w:sz="4" w:space="0" w:color="auto"/>
              <w:right w:val="single" w:sz="4" w:space="0" w:color="auto"/>
            </w:tcBorders>
            <w:shd w:val="clear" w:color="auto" w:fill="C2D69B"/>
            <w:vAlign w:val="center"/>
          </w:tcPr>
          <w:p w14:paraId="3C69913B" w14:textId="77777777" w:rsidR="00214972" w:rsidRPr="001E5747" w:rsidRDefault="00214972" w:rsidP="00214972">
            <w:pPr>
              <w:contextualSpacing/>
              <w:outlineLvl w:val="2"/>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Public hearing on the Medium-Term Budgetary Framework (MTBF)</w:t>
            </w:r>
          </w:p>
          <w:p w14:paraId="38F547F2" w14:textId="77777777" w:rsidR="00214972" w:rsidRPr="001E5747" w:rsidRDefault="00214972" w:rsidP="00214972">
            <w:pPr>
              <w:contextualSpacing/>
              <w:outlineLvl w:val="2"/>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MTBF and municipal budget (proportional to # of residents)</w:t>
            </w:r>
          </w:p>
        </w:tc>
        <w:tc>
          <w:tcPr>
            <w:tcW w:w="6750" w:type="dxa"/>
            <w:tcBorders>
              <w:top w:val="nil"/>
              <w:left w:val="nil"/>
              <w:bottom w:val="single" w:sz="4" w:space="0" w:color="auto"/>
              <w:right w:val="single" w:sz="4" w:space="0" w:color="auto"/>
            </w:tcBorders>
            <w:shd w:val="clear" w:color="auto" w:fill="C2D69B"/>
            <w:vAlign w:val="center"/>
          </w:tcPr>
          <w:p w14:paraId="34D5DBA4" w14:textId="77777777" w:rsidR="00214972" w:rsidRPr="001E5747" w:rsidRDefault="00214972" w:rsidP="00D246A0">
            <w:pPr>
              <w:spacing w:before="100"/>
              <w:jc w:val="both"/>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Indicator measures performance of municipal authorities to organize MTBF and budget hearings, using 10,000 inhabitants as a reference for the municipality population size, that is to put the number of hearings in the context to population size. For municipalities with 10.000 inhabitants or less, minimum number of hearings is set to 2. Legal context for this indicator is drawn from the Law on Public Financial Management and Accountability, and Administrative Instruction (MLG</w:t>
            </w:r>
            <w:r w:rsidR="00201E60">
              <w:rPr>
                <w:rFonts w:ascii="Calibri" w:eastAsia="Times New Roman" w:hAnsi="Calibri" w:cs="Calibri"/>
                <w:color w:val="000000"/>
                <w:sz w:val="19"/>
                <w:szCs w:val="19"/>
                <w:lang w:val="en-GB"/>
              </w:rPr>
              <w:t>A</w:t>
            </w:r>
            <w:r w:rsidRPr="001E5747">
              <w:rPr>
                <w:rFonts w:ascii="Calibri" w:eastAsia="Times New Roman" w:hAnsi="Calibri" w:cs="Calibri"/>
                <w:color w:val="000000"/>
                <w:sz w:val="19"/>
                <w:szCs w:val="19"/>
                <w:lang w:val="en-GB"/>
              </w:rPr>
              <w:t xml:space="preserve">) No. 06/2018 on Minimum Standards of Public Consultations in Municipalities. Measurement of </w:t>
            </w:r>
            <w:r w:rsidRPr="001E5747">
              <w:rPr>
                <w:rFonts w:ascii="Calibri" w:eastAsia="Times New Roman" w:hAnsi="Calibri" w:cs="Calibri"/>
                <w:color w:val="000000"/>
                <w:sz w:val="19"/>
                <w:szCs w:val="19"/>
                <w:lang w:val="en-GB"/>
              </w:rPr>
              <w:lastRenderedPageBreak/>
              <w:t xml:space="preserve">performance for this indicator is based on the documentary evidence for the following criteria: (ii) number of public consultations for the annual municipal budget (ii) number of public consultations on MTBF; and (iii) number of inhabitants in the municipality. </w:t>
            </w:r>
          </w:p>
        </w:tc>
      </w:tr>
      <w:tr w:rsidR="00214972" w:rsidRPr="001E5747" w14:paraId="5C49C1B0" w14:textId="77777777" w:rsidTr="00B739C3">
        <w:trPr>
          <w:trHeight w:val="313"/>
        </w:trPr>
        <w:tc>
          <w:tcPr>
            <w:tcW w:w="562" w:type="dxa"/>
            <w:tcBorders>
              <w:top w:val="nil"/>
              <w:left w:val="single" w:sz="4" w:space="0" w:color="auto"/>
              <w:bottom w:val="single" w:sz="4" w:space="0" w:color="auto"/>
              <w:right w:val="single" w:sz="4" w:space="0" w:color="auto"/>
            </w:tcBorders>
            <w:shd w:val="clear" w:color="auto" w:fill="C6D9F1"/>
            <w:noWrap/>
            <w:vAlign w:val="center"/>
          </w:tcPr>
          <w:p w14:paraId="497B668B" w14:textId="77777777" w:rsidR="00214972" w:rsidRPr="001E5747" w:rsidRDefault="00214972" w:rsidP="00214972">
            <w:pPr>
              <w:contextualSpacing/>
              <w:jc w:val="center"/>
              <w:rPr>
                <w:rFonts w:ascii="Calibri" w:eastAsia="Times New Roman" w:hAnsi="Calibri" w:cs="Calibri"/>
                <w:b/>
                <w:color w:val="000000"/>
                <w:sz w:val="19"/>
                <w:szCs w:val="19"/>
                <w:lang w:val="en-GB"/>
              </w:rPr>
            </w:pPr>
            <w:r w:rsidRPr="001E5747">
              <w:rPr>
                <w:rFonts w:ascii="Calibri" w:eastAsia="Times New Roman" w:hAnsi="Calibri" w:cs="Calibri"/>
                <w:b/>
                <w:color w:val="000000"/>
                <w:sz w:val="19"/>
                <w:szCs w:val="19"/>
                <w:lang w:val="en-GB"/>
              </w:rPr>
              <w:lastRenderedPageBreak/>
              <w:t>III</w:t>
            </w:r>
          </w:p>
        </w:tc>
        <w:tc>
          <w:tcPr>
            <w:tcW w:w="12578" w:type="dxa"/>
            <w:gridSpan w:val="2"/>
            <w:tcBorders>
              <w:top w:val="nil"/>
              <w:left w:val="nil"/>
              <w:bottom w:val="single" w:sz="4" w:space="0" w:color="auto"/>
              <w:right w:val="single" w:sz="4" w:space="0" w:color="auto"/>
            </w:tcBorders>
            <w:shd w:val="clear" w:color="auto" w:fill="C6D9F1"/>
            <w:vAlign w:val="center"/>
          </w:tcPr>
          <w:p w14:paraId="1E19BBE3" w14:textId="77777777" w:rsidR="00214972" w:rsidRPr="001E5747" w:rsidRDefault="00214972" w:rsidP="00214972">
            <w:pPr>
              <w:spacing w:before="100"/>
              <w:rPr>
                <w:rFonts w:ascii="Calibri" w:eastAsia="Times New Roman" w:hAnsi="Calibri" w:cs="Calibri"/>
                <w:b/>
                <w:color w:val="000000"/>
                <w:sz w:val="19"/>
                <w:szCs w:val="19"/>
                <w:lang w:val="en-GB"/>
              </w:rPr>
            </w:pPr>
            <w:r w:rsidRPr="001E5747">
              <w:rPr>
                <w:rFonts w:ascii="Calibri" w:eastAsia="Times New Roman" w:hAnsi="Calibri" w:cs="Calibri"/>
                <w:b/>
                <w:color w:val="000000"/>
                <w:sz w:val="19"/>
                <w:szCs w:val="19"/>
                <w:lang w:val="en-GB"/>
              </w:rPr>
              <w:t>Transparency, access to information and integrity</w:t>
            </w:r>
          </w:p>
        </w:tc>
      </w:tr>
      <w:tr w:rsidR="00214972" w:rsidRPr="001E5747" w14:paraId="478CE72F" w14:textId="77777777" w:rsidTr="00B739C3">
        <w:trPr>
          <w:trHeight w:val="311"/>
        </w:trPr>
        <w:tc>
          <w:tcPr>
            <w:tcW w:w="562" w:type="dxa"/>
            <w:tcBorders>
              <w:top w:val="nil"/>
              <w:left w:val="single" w:sz="4" w:space="0" w:color="auto"/>
              <w:bottom w:val="single" w:sz="4" w:space="0" w:color="auto"/>
              <w:right w:val="single" w:sz="4" w:space="0" w:color="auto"/>
            </w:tcBorders>
            <w:shd w:val="clear" w:color="auto" w:fill="C2D69B"/>
            <w:noWrap/>
            <w:vAlign w:val="center"/>
          </w:tcPr>
          <w:p w14:paraId="14986F0E" w14:textId="77777777" w:rsidR="00214972" w:rsidRPr="001E5747" w:rsidRDefault="00214972" w:rsidP="00214972">
            <w:pPr>
              <w:contextualSpacing/>
              <w:jc w:val="center"/>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9</w:t>
            </w:r>
          </w:p>
        </w:tc>
        <w:tc>
          <w:tcPr>
            <w:tcW w:w="5828" w:type="dxa"/>
            <w:tcBorders>
              <w:top w:val="single" w:sz="4" w:space="0" w:color="auto"/>
              <w:left w:val="nil"/>
              <w:bottom w:val="single" w:sz="4" w:space="0" w:color="auto"/>
              <w:right w:val="single" w:sz="4" w:space="0" w:color="auto"/>
            </w:tcBorders>
            <w:shd w:val="clear" w:color="auto" w:fill="C2D69B"/>
            <w:vAlign w:val="center"/>
          </w:tcPr>
          <w:p w14:paraId="36E93810" w14:textId="77777777" w:rsidR="00214972" w:rsidRPr="001E5747" w:rsidRDefault="00214972" w:rsidP="00214972">
            <w:pPr>
              <w:contextualSpacing/>
              <w:outlineLvl w:val="2"/>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Assembly meetings made public and broadcasted live</w:t>
            </w:r>
          </w:p>
        </w:tc>
        <w:tc>
          <w:tcPr>
            <w:tcW w:w="6750" w:type="dxa"/>
            <w:tcBorders>
              <w:top w:val="single" w:sz="4" w:space="0" w:color="auto"/>
              <w:left w:val="nil"/>
              <w:bottom w:val="single" w:sz="4" w:space="0" w:color="auto"/>
              <w:right w:val="single" w:sz="4" w:space="0" w:color="auto"/>
            </w:tcBorders>
            <w:shd w:val="clear" w:color="auto" w:fill="C2D69B"/>
            <w:vAlign w:val="center"/>
          </w:tcPr>
          <w:p w14:paraId="2C189EB2" w14:textId="77777777" w:rsidR="00214972" w:rsidRPr="001E5747" w:rsidRDefault="00214972" w:rsidP="00D246A0">
            <w:pPr>
              <w:spacing w:before="60"/>
              <w:jc w:val="both"/>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Indicator measures performance of the municipal authorities to timely announce MA meetings, and to provide live broadcast of MA meetings and of its committees. Online streaming is also considered a broadcast for the purposes of this indicator, stipulating that streaming is available in the official website of the municipality. Proper notification on the forthcoming MA meeting is subject to criteria that regulate publication, content, timeliness, and language. Legal basis for this indicator is given in the Administrative Instruction (MLG</w:t>
            </w:r>
            <w:r w:rsidR="00201E60">
              <w:rPr>
                <w:rFonts w:ascii="Calibri" w:eastAsia="Times New Roman" w:hAnsi="Calibri" w:cs="Calibri"/>
                <w:color w:val="000000"/>
                <w:sz w:val="19"/>
                <w:szCs w:val="19"/>
                <w:lang w:val="en-GB"/>
              </w:rPr>
              <w:t>A</w:t>
            </w:r>
            <w:r w:rsidRPr="001E5747">
              <w:rPr>
                <w:rFonts w:ascii="Calibri" w:eastAsia="Times New Roman" w:hAnsi="Calibri" w:cs="Calibri"/>
                <w:color w:val="000000"/>
                <w:sz w:val="19"/>
                <w:szCs w:val="19"/>
                <w:lang w:val="en-GB"/>
              </w:rPr>
              <w:t>) No. 04/2018 on the Transparency in Municipalities. Performance level of the indicator is based on the documentary evidence regarding the following criteria: (i) number of MA meetings; (ii) number of notifications for the MA meetings; and (iii) number of MA meetings that were broadcasted live.</w:t>
            </w:r>
          </w:p>
        </w:tc>
      </w:tr>
      <w:tr w:rsidR="00214972" w:rsidRPr="001E5747" w14:paraId="1F490FC5" w14:textId="77777777" w:rsidTr="00B739C3">
        <w:trPr>
          <w:trHeight w:val="581"/>
        </w:trPr>
        <w:tc>
          <w:tcPr>
            <w:tcW w:w="562" w:type="dxa"/>
            <w:tcBorders>
              <w:top w:val="nil"/>
              <w:left w:val="single" w:sz="4" w:space="0" w:color="auto"/>
              <w:bottom w:val="single" w:sz="4" w:space="0" w:color="auto"/>
              <w:right w:val="single" w:sz="4" w:space="0" w:color="auto"/>
            </w:tcBorders>
            <w:shd w:val="clear" w:color="auto" w:fill="C2D69B"/>
            <w:noWrap/>
            <w:vAlign w:val="center"/>
          </w:tcPr>
          <w:p w14:paraId="038DCBB9" w14:textId="77777777" w:rsidR="00214972" w:rsidRPr="001E5747" w:rsidRDefault="00214972" w:rsidP="00214972">
            <w:pPr>
              <w:contextualSpacing/>
              <w:jc w:val="center"/>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10</w:t>
            </w:r>
          </w:p>
        </w:tc>
        <w:tc>
          <w:tcPr>
            <w:tcW w:w="5828" w:type="dxa"/>
            <w:tcBorders>
              <w:top w:val="nil"/>
              <w:left w:val="nil"/>
              <w:bottom w:val="single" w:sz="4" w:space="0" w:color="auto"/>
              <w:right w:val="single" w:sz="4" w:space="0" w:color="auto"/>
            </w:tcBorders>
            <w:shd w:val="clear" w:color="auto" w:fill="C2D69B"/>
            <w:vAlign w:val="center"/>
          </w:tcPr>
          <w:p w14:paraId="71CD1CEB" w14:textId="77777777" w:rsidR="00214972" w:rsidRPr="001E5747" w:rsidRDefault="00A0644E" w:rsidP="00214972">
            <w:pPr>
              <w:contextualSpacing/>
              <w:outlineLvl w:val="2"/>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Fulfilment</w:t>
            </w:r>
            <w:r w:rsidR="00214972" w:rsidRPr="001E5747">
              <w:rPr>
                <w:rFonts w:ascii="Calibri" w:eastAsia="Times New Roman" w:hAnsi="Calibri" w:cs="Calibri"/>
                <w:color w:val="000000"/>
                <w:sz w:val="19"/>
                <w:szCs w:val="19"/>
                <w:lang w:val="en-GB"/>
              </w:rPr>
              <w:t xml:space="preserve"> of criteria on municipality’s official website</w:t>
            </w:r>
          </w:p>
          <w:p w14:paraId="64DB63B9" w14:textId="77777777" w:rsidR="00214972" w:rsidRPr="001E5747" w:rsidRDefault="00214972" w:rsidP="00214972">
            <w:pPr>
              <w:contextualSpacing/>
              <w:outlineLvl w:val="2"/>
              <w:rPr>
                <w:rFonts w:ascii="Calibri" w:eastAsia="Times New Roman" w:hAnsi="Calibri" w:cs="Calibri"/>
                <w:color w:val="000000"/>
                <w:sz w:val="19"/>
                <w:szCs w:val="19"/>
                <w:lang w:val="en-GB"/>
              </w:rPr>
            </w:pPr>
          </w:p>
        </w:tc>
        <w:tc>
          <w:tcPr>
            <w:tcW w:w="6750" w:type="dxa"/>
            <w:tcBorders>
              <w:top w:val="nil"/>
              <w:left w:val="nil"/>
              <w:bottom w:val="single" w:sz="4" w:space="0" w:color="auto"/>
              <w:right w:val="single" w:sz="4" w:space="0" w:color="auto"/>
            </w:tcBorders>
            <w:shd w:val="clear" w:color="auto" w:fill="C2D69B"/>
            <w:vAlign w:val="center"/>
          </w:tcPr>
          <w:p w14:paraId="4F8D8FE4" w14:textId="77777777" w:rsidR="00214972" w:rsidRPr="001E5747" w:rsidRDefault="00214972" w:rsidP="00D246A0">
            <w:pPr>
              <w:jc w:val="both"/>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Indicator measures the level of performance of the responsible municipal authorities to manage the website, by providing specified content and regularity of updates. Criteria for the municipal website content is given in the Administrative Instruction (MLG) No. 01/2015, specifying the necessary content (population of website) for public institution websites and in Administrative Instruction (MLG</w:t>
            </w:r>
            <w:r w:rsidR="00201E60">
              <w:rPr>
                <w:rFonts w:ascii="Calibri" w:eastAsia="Times New Roman" w:hAnsi="Calibri" w:cs="Calibri"/>
                <w:color w:val="000000"/>
                <w:sz w:val="19"/>
                <w:szCs w:val="19"/>
                <w:lang w:val="en-GB"/>
              </w:rPr>
              <w:t>A</w:t>
            </w:r>
            <w:r w:rsidRPr="001E5747">
              <w:rPr>
                <w:rFonts w:ascii="Calibri" w:eastAsia="Times New Roman" w:hAnsi="Calibri" w:cs="Calibri"/>
                <w:color w:val="000000"/>
                <w:sz w:val="19"/>
                <w:szCs w:val="19"/>
                <w:lang w:val="en-GB"/>
              </w:rPr>
              <w:t xml:space="preserve">) No. 04/2018; For the purposes of this indicator, performance measurement is subject to documentary evidence of </w:t>
            </w:r>
            <w:r w:rsidR="00D246A0" w:rsidRPr="001E5747">
              <w:rPr>
                <w:rFonts w:ascii="Calibri" w:eastAsia="Times New Roman" w:hAnsi="Calibri" w:cs="Calibri"/>
                <w:color w:val="000000"/>
                <w:sz w:val="19"/>
                <w:szCs w:val="19"/>
                <w:lang w:val="en-GB"/>
              </w:rPr>
              <w:t>fulfilment</w:t>
            </w:r>
            <w:r w:rsidRPr="001E5747">
              <w:rPr>
                <w:rFonts w:ascii="Calibri" w:eastAsia="Times New Roman" w:hAnsi="Calibri" w:cs="Calibri"/>
                <w:color w:val="000000"/>
                <w:sz w:val="19"/>
                <w:szCs w:val="19"/>
                <w:lang w:val="en-GB"/>
              </w:rPr>
              <w:t xml:space="preserve"> a stipulated list of 8 criteria.</w:t>
            </w:r>
          </w:p>
          <w:p w14:paraId="04D5F5F3" w14:textId="77777777" w:rsidR="00D246A0" w:rsidRPr="001E5747" w:rsidRDefault="00D246A0" w:rsidP="00D246A0">
            <w:pPr>
              <w:jc w:val="both"/>
              <w:rPr>
                <w:rFonts w:ascii="Calibri" w:eastAsia="Times New Roman" w:hAnsi="Calibri" w:cs="Calibri"/>
                <w:color w:val="000000"/>
                <w:sz w:val="19"/>
                <w:szCs w:val="19"/>
                <w:lang w:val="en-GB"/>
              </w:rPr>
            </w:pPr>
          </w:p>
        </w:tc>
      </w:tr>
      <w:tr w:rsidR="00214972" w:rsidRPr="001E5747" w14:paraId="4102BA34" w14:textId="77777777" w:rsidTr="00B739C3">
        <w:trPr>
          <w:trHeight w:val="266"/>
        </w:trPr>
        <w:tc>
          <w:tcPr>
            <w:tcW w:w="562" w:type="dxa"/>
            <w:tcBorders>
              <w:top w:val="nil"/>
              <w:left w:val="single" w:sz="4" w:space="0" w:color="auto"/>
              <w:bottom w:val="single" w:sz="4" w:space="0" w:color="auto"/>
              <w:right w:val="single" w:sz="4" w:space="0" w:color="auto"/>
            </w:tcBorders>
            <w:shd w:val="clear" w:color="auto" w:fill="C2D69B"/>
            <w:noWrap/>
            <w:vAlign w:val="center"/>
          </w:tcPr>
          <w:p w14:paraId="50EEBDA6" w14:textId="77777777" w:rsidR="00214972" w:rsidRPr="001E5747" w:rsidRDefault="00214972" w:rsidP="00214972">
            <w:pPr>
              <w:contextualSpacing/>
              <w:jc w:val="center"/>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11</w:t>
            </w:r>
          </w:p>
        </w:tc>
        <w:tc>
          <w:tcPr>
            <w:tcW w:w="5828" w:type="dxa"/>
            <w:tcBorders>
              <w:top w:val="nil"/>
              <w:left w:val="nil"/>
              <w:bottom w:val="single" w:sz="4" w:space="0" w:color="auto"/>
              <w:right w:val="single" w:sz="4" w:space="0" w:color="auto"/>
            </w:tcBorders>
            <w:shd w:val="clear" w:color="auto" w:fill="C2D69B"/>
            <w:vAlign w:val="center"/>
          </w:tcPr>
          <w:p w14:paraId="71EE7546" w14:textId="77777777" w:rsidR="00214972" w:rsidRPr="001E5747" w:rsidRDefault="00214972" w:rsidP="00214972">
            <w:pPr>
              <w:contextualSpacing/>
              <w:outlineLvl w:val="2"/>
              <w:rPr>
                <w:rFonts w:ascii="Calibri" w:eastAsia="Calibri" w:hAnsi="Calibri" w:cs="Calibri"/>
                <w:color w:val="000000"/>
                <w:sz w:val="19"/>
                <w:szCs w:val="19"/>
                <w:lang w:val="en-GB"/>
              </w:rPr>
            </w:pPr>
            <w:r w:rsidRPr="001E5747">
              <w:rPr>
                <w:rFonts w:ascii="Calibri" w:eastAsia="Calibri" w:hAnsi="Calibri" w:cs="Calibri"/>
                <w:color w:val="000000"/>
                <w:sz w:val="19"/>
                <w:szCs w:val="19"/>
                <w:lang w:val="en-GB"/>
              </w:rPr>
              <w:t>Publication of public procurement documents</w:t>
            </w:r>
          </w:p>
          <w:p w14:paraId="6415F4D1" w14:textId="77777777" w:rsidR="00214972" w:rsidRPr="001E5747" w:rsidRDefault="00214972" w:rsidP="00214972">
            <w:pPr>
              <w:contextualSpacing/>
              <w:outlineLvl w:val="2"/>
              <w:rPr>
                <w:rFonts w:ascii="Calibri" w:eastAsia="Times New Roman" w:hAnsi="Calibri" w:cs="Calibri"/>
                <w:color w:val="000000"/>
                <w:sz w:val="19"/>
                <w:szCs w:val="19"/>
                <w:lang w:val="en-GB"/>
              </w:rPr>
            </w:pPr>
          </w:p>
        </w:tc>
        <w:tc>
          <w:tcPr>
            <w:tcW w:w="6750" w:type="dxa"/>
            <w:tcBorders>
              <w:top w:val="nil"/>
              <w:left w:val="nil"/>
              <w:bottom w:val="single" w:sz="4" w:space="0" w:color="auto"/>
              <w:right w:val="single" w:sz="4" w:space="0" w:color="auto"/>
            </w:tcBorders>
            <w:shd w:val="clear" w:color="auto" w:fill="C2D69B"/>
            <w:vAlign w:val="center"/>
          </w:tcPr>
          <w:p w14:paraId="395DCF77" w14:textId="77777777" w:rsidR="00D246A0" w:rsidRPr="001E5747" w:rsidRDefault="00214972" w:rsidP="00D246A0">
            <w:pPr>
              <w:jc w:val="both"/>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Indicator measures the performance of municipal authorities with regards to compliance with the required regulations on publication of public procurement documents, the annual procurement plan, report on implementation of procurement plan in the foreseen period, public contracts</w:t>
            </w:r>
            <w:r w:rsidR="00D246A0" w:rsidRPr="001E5747">
              <w:rPr>
                <w:rFonts w:ascii="Calibri" w:eastAsia="Times New Roman" w:hAnsi="Calibri" w:cs="Calibri"/>
                <w:color w:val="000000"/>
                <w:sz w:val="19"/>
                <w:szCs w:val="19"/>
                <w:lang w:val="en-GB"/>
              </w:rPr>
              <w:t>;</w:t>
            </w:r>
          </w:p>
          <w:p w14:paraId="5EECE464" w14:textId="77777777" w:rsidR="00214972" w:rsidRPr="001E5747" w:rsidRDefault="00D246A0" w:rsidP="00D246A0">
            <w:pPr>
              <w:jc w:val="both"/>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 xml:space="preserve">The </w:t>
            </w:r>
            <w:r w:rsidR="00214972" w:rsidRPr="001E5747">
              <w:rPr>
                <w:rFonts w:ascii="Calibri" w:eastAsia="Times New Roman" w:hAnsi="Calibri" w:cs="Calibri"/>
                <w:color w:val="000000"/>
                <w:sz w:val="19"/>
                <w:szCs w:val="19"/>
                <w:lang w:val="en-GB"/>
              </w:rPr>
              <w:t>Indicator is calculated by awarding points for compliance</w:t>
            </w:r>
            <w:r w:rsidRPr="001E5747">
              <w:rPr>
                <w:rFonts w:ascii="Calibri" w:eastAsia="Times New Roman" w:hAnsi="Calibri" w:cs="Calibri"/>
                <w:color w:val="000000"/>
                <w:sz w:val="19"/>
                <w:szCs w:val="19"/>
                <w:lang w:val="en-GB"/>
              </w:rPr>
              <w:t xml:space="preserve"> </w:t>
            </w:r>
            <w:r w:rsidR="00214972" w:rsidRPr="001E5747">
              <w:rPr>
                <w:rFonts w:ascii="Calibri" w:eastAsia="Times New Roman" w:hAnsi="Calibri" w:cs="Calibri"/>
                <w:color w:val="000000"/>
                <w:sz w:val="19"/>
                <w:szCs w:val="19"/>
                <w:lang w:val="en-GB"/>
              </w:rPr>
              <w:t xml:space="preserve">with each of the 3 categories (publication of documents). This is an important indicator for transparency, allowing for public oversight and accountability regarding management of public funds by the municipal authorities. Performance of this indicator is based on </w:t>
            </w:r>
            <w:r w:rsidR="00214972" w:rsidRPr="001E5747">
              <w:rPr>
                <w:rFonts w:ascii="Calibri" w:eastAsia="Times New Roman" w:hAnsi="Calibri" w:cs="Calibri"/>
                <w:color w:val="000000"/>
                <w:sz w:val="19"/>
                <w:szCs w:val="19"/>
                <w:lang w:val="en-GB"/>
              </w:rPr>
              <w:lastRenderedPageBreak/>
              <w:t>the evidence available to establish compliance regarding: (i) publication of the annual public procurement plan; (ii) publication of the report on the implementation of public procurement plan; and (iii) publication of public contracts.</w:t>
            </w:r>
          </w:p>
        </w:tc>
      </w:tr>
      <w:tr w:rsidR="00214972" w:rsidRPr="001E5747" w14:paraId="1B8100CB" w14:textId="77777777" w:rsidTr="00B739C3">
        <w:trPr>
          <w:trHeight w:val="428"/>
        </w:trPr>
        <w:tc>
          <w:tcPr>
            <w:tcW w:w="562" w:type="dxa"/>
            <w:tcBorders>
              <w:top w:val="nil"/>
              <w:left w:val="single" w:sz="4" w:space="0" w:color="auto"/>
              <w:bottom w:val="single" w:sz="4" w:space="0" w:color="auto"/>
              <w:right w:val="single" w:sz="4" w:space="0" w:color="auto"/>
            </w:tcBorders>
            <w:shd w:val="clear" w:color="auto" w:fill="C2D69B"/>
            <w:noWrap/>
            <w:vAlign w:val="center"/>
          </w:tcPr>
          <w:p w14:paraId="20AE299F" w14:textId="77777777" w:rsidR="00214972" w:rsidRPr="001E5747" w:rsidRDefault="00214972" w:rsidP="00214972">
            <w:pPr>
              <w:contextualSpacing/>
              <w:jc w:val="center"/>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lastRenderedPageBreak/>
              <w:t>12</w:t>
            </w:r>
          </w:p>
        </w:tc>
        <w:tc>
          <w:tcPr>
            <w:tcW w:w="5828" w:type="dxa"/>
            <w:tcBorders>
              <w:top w:val="nil"/>
              <w:left w:val="nil"/>
              <w:bottom w:val="single" w:sz="4" w:space="0" w:color="auto"/>
              <w:right w:val="single" w:sz="4" w:space="0" w:color="auto"/>
            </w:tcBorders>
            <w:shd w:val="clear" w:color="auto" w:fill="C2D69B"/>
            <w:vAlign w:val="center"/>
          </w:tcPr>
          <w:p w14:paraId="547F6C3D" w14:textId="77777777" w:rsidR="00214972" w:rsidRPr="001E5747" w:rsidRDefault="00214972" w:rsidP="00214972">
            <w:pPr>
              <w:contextualSpacing/>
              <w:outlineLvl w:val="2"/>
              <w:rPr>
                <w:rFonts w:ascii="Calibri" w:eastAsia="Calibri" w:hAnsi="Calibri" w:cs="Calibri"/>
                <w:color w:val="000000"/>
                <w:sz w:val="19"/>
                <w:szCs w:val="19"/>
                <w:lang w:val="en-GB"/>
              </w:rPr>
            </w:pPr>
            <w:r w:rsidRPr="001E5747">
              <w:rPr>
                <w:rFonts w:ascii="Calibri" w:eastAsia="Calibri" w:hAnsi="Calibri" w:cs="Calibri"/>
                <w:color w:val="000000"/>
                <w:sz w:val="19"/>
                <w:szCs w:val="19"/>
                <w:lang w:val="en-GB"/>
              </w:rPr>
              <w:t>Publication of minutes of public consultation processes</w:t>
            </w:r>
          </w:p>
        </w:tc>
        <w:tc>
          <w:tcPr>
            <w:tcW w:w="6750" w:type="dxa"/>
            <w:tcBorders>
              <w:top w:val="nil"/>
              <w:left w:val="nil"/>
              <w:bottom w:val="single" w:sz="4" w:space="0" w:color="auto"/>
              <w:right w:val="single" w:sz="4" w:space="0" w:color="auto"/>
            </w:tcBorders>
            <w:shd w:val="clear" w:color="auto" w:fill="C2D69B"/>
            <w:vAlign w:val="center"/>
          </w:tcPr>
          <w:p w14:paraId="376831D5" w14:textId="77777777" w:rsidR="00214972" w:rsidRPr="001E5747" w:rsidRDefault="00214972" w:rsidP="00A0644E">
            <w:pPr>
              <w:jc w:val="both"/>
              <w:rPr>
                <w:rFonts w:eastAsia="Times New Roman"/>
                <w:lang w:val="en-GB"/>
              </w:rPr>
            </w:pPr>
            <w:r w:rsidRPr="001E5747">
              <w:rPr>
                <w:rFonts w:ascii="Calibri" w:eastAsia="Times New Roman" w:hAnsi="Calibri" w:cs="Calibri"/>
                <w:color w:val="000000"/>
                <w:sz w:val="19"/>
                <w:szCs w:val="19"/>
                <w:lang w:val="en-GB"/>
              </w:rPr>
              <w:t>The indicator measures</w:t>
            </w:r>
            <w:r w:rsidR="00D246A0" w:rsidRPr="001E5747">
              <w:rPr>
                <w:rFonts w:ascii="Calibri" w:eastAsia="Times New Roman" w:hAnsi="Calibri" w:cs="Calibri"/>
                <w:color w:val="000000"/>
                <w:sz w:val="19"/>
                <w:szCs w:val="19"/>
                <w:lang w:val="en-GB"/>
              </w:rPr>
              <w:t xml:space="preserve"> the </w:t>
            </w:r>
            <w:r w:rsidRPr="001E5747">
              <w:rPr>
                <w:rFonts w:ascii="Calibri" w:eastAsia="Times New Roman" w:hAnsi="Calibri" w:cs="Calibri"/>
                <w:color w:val="000000"/>
                <w:sz w:val="19"/>
                <w:szCs w:val="19"/>
                <w:lang w:val="en-GB"/>
              </w:rPr>
              <w:t xml:space="preserve">% of public consultation processes which are followed by a report within the timeframe listing the requests of citizens and interest groups as well as explanations for the rejection of their requests, according to the UA on </w:t>
            </w:r>
            <w:r w:rsidR="00D246A0" w:rsidRPr="001E5747">
              <w:rPr>
                <w:rFonts w:ascii="Calibri" w:eastAsia="Times New Roman" w:hAnsi="Calibri" w:cs="Calibri"/>
                <w:color w:val="000000"/>
                <w:sz w:val="19"/>
                <w:szCs w:val="19"/>
                <w:lang w:val="en-GB"/>
              </w:rPr>
              <w:t>minimum public</w:t>
            </w:r>
            <w:r w:rsidRPr="001E5747">
              <w:rPr>
                <w:rFonts w:ascii="Calibri" w:eastAsia="Times New Roman" w:hAnsi="Calibri" w:cs="Calibri"/>
                <w:color w:val="000000"/>
                <w:sz w:val="19"/>
                <w:szCs w:val="19"/>
                <w:lang w:val="en-GB"/>
              </w:rPr>
              <w:t xml:space="preserve"> consultation standards.</w:t>
            </w:r>
            <w:r w:rsidRPr="001E5747">
              <w:rPr>
                <w:rFonts w:eastAsia="Times New Roman"/>
                <w:lang w:val="en-GB"/>
              </w:rPr>
              <w:t xml:space="preserve"> </w:t>
            </w:r>
          </w:p>
          <w:p w14:paraId="334C91C5" w14:textId="77777777" w:rsidR="00214972" w:rsidRPr="001E5747" w:rsidRDefault="00214972" w:rsidP="00A0644E">
            <w:pPr>
              <w:jc w:val="both"/>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Indicator is important to monitor the accountability of the municipal authorities towards their constituency, allowing citizens to monitor their inputs, and keeping municipal authorities accountable. Performance of the indicator is measured on two criteria: (i) number of public consultations during the year; and (ii) number of</w:t>
            </w:r>
            <w:r w:rsidR="00A0644E" w:rsidRPr="001E5747">
              <w:rPr>
                <w:rFonts w:ascii="Calibri" w:eastAsia="Times New Roman" w:hAnsi="Calibri" w:cs="Calibri"/>
                <w:color w:val="000000"/>
                <w:sz w:val="19"/>
                <w:szCs w:val="19"/>
                <w:lang w:val="en-GB"/>
              </w:rPr>
              <w:t xml:space="preserve"> </w:t>
            </w:r>
            <w:r w:rsidRPr="001E5747">
              <w:rPr>
                <w:rFonts w:ascii="Calibri" w:eastAsia="Times New Roman" w:hAnsi="Calibri" w:cs="Calibri"/>
                <w:color w:val="000000"/>
                <w:sz w:val="19"/>
                <w:szCs w:val="19"/>
                <w:lang w:val="en-GB"/>
              </w:rPr>
              <w:t>public consultations where report has been uploaded in the municipal website within 30 days.</w:t>
            </w:r>
          </w:p>
        </w:tc>
      </w:tr>
      <w:tr w:rsidR="00214972" w:rsidRPr="001E5747" w14:paraId="7E4AE168" w14:textId="77777777" w:rsidTr="00B739C3">
        <w:trPr>
          <w:trHeight w:val="239"/>
        </w:trPr>
        <w:tc>
          <w:tcPr>
            <w:tcW w:w="562" w:type="dxa"/>
            <w:tcBorders>
              <w:top w:val="single" w:sz="4" w:space="0" w:color="auto"/>
              <w:left w:val="single" w:sz="4" w:space="0" w:color="auto"/>
              <w:right w:val="single" w:sz="4" w:space="0" w:color="auto"/>
            </w:tcBorders>
            <w:shd w:val="clear" w:color="auto" w:fill="C2D69B"/>
            <w:noWrap/>
            <w:vAlign w:val="center"/>
          </w:tcPr>
          <w:p w14:paraId="3F083780" w14:textId="77777777" w:rsidR="00214972" w:rsidRPr="001E5747" w:rsidRDefault="00214972" w:rsidP="00214972">
            <w:pPr>
              <w:contextualSpacing/>
              <w:jc w:val="center"/>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13</w:t>
            </w:r>
          </w:p>
        </w:tc>
        <w:tc>
          <w:tcPr>
            <w:tcW w:w="5828" w:type="dxa"/>
            <w:tcBorders>
              <w:top w:val="single" w:sz="4" w:space="0" w:color="auto"/>
              <w:left w:val="nil"/>
              <w:right w:val="single" w:sz="4" w:space="0" w:color="auto"/>
            </w:tcBorders>
            <w:shd w:val="clear" w:color="auto" w:fill="C2D69B"/>
            <w:vAlign w:val="center"/>
          </w:tcPr>
          <w:p w14:paraId="3945F57A" w14:textId="77777777" w:rsidR="00214972" w:rsidRPr="001E5747" w:rsidRDefault="00214972" w:rsidP="00214972">
            <w:pPr>
              <w:contextualSpacing/>
              <w:outlineLvl w:val="2"/>
              <w:rPr>
                <w:rFonts w:ascii="Calibri" w:eastAsia="Calibri" w:hAnsi="Calibri" w:cs="Calibri"/>
                <w:color w:val="000000"/>
                <w:sz w:val="19"/>
                <w:szCs w:val="19"/>
                <w:lang w:val="en-GB"/>
              </w:rPr>
            </w:pPr>
            <w:r w:rsidRPr="001E5747">
              <w:rPr>
                <w:rFonts w:ascii="Calibri" w:eastAsia="Calibri" w:hAnsi="Calibri" w:cs="Calibri"/>
                <w:color w:val="000000"/>
                <w:sz w:val="19"/>
                <w:szCs w:val="19"/>
                <w:lang w:val="en-GB"/>
              </w:rPr>
              <w:t>Reporting on the annual plan of the Integrity Plan to the Municipal Assembly</w:t>
            </w:r>
          </w:p>
        </w:tc>
        <w:tc>
          <w:tcPr>
            <w:tcW w:w="6750" w:type="dxa"/>
            <w:tcBorders>
              <w:top w:val="single" w:sz="4" w:space="0" w:color="auto"/>
              <w:left w:val="nil"/>
              <w:right w:val="single" w:sz="4" w:space="0" w:color="auto"/>
            </w:tcBorders>
            <w:shd w:val="clear" w:color="auto" w:fill="C2D69B"/>
            <w:vAlign w:val="center"/>
          </w:tcPr>
          <w:p w14:paraId="4BE72A34" w14:textId="77777777" w:rsidR="00214972" w:rsidRPr="001E5747" w:rsidRDefault="00214972" w:rsidP="00D246A0">
            <w:pPr>
              <w:spacing w:before="100"/>
              <w:jc w:val="both"/>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 xml:space="preserve">Indicator measures performance of the municipal authorities with regards to </w:t>
            </w:r>
            <w:r w:rsidR="00D246A0" w:rsidRPr="001E5747">
              <w:rPr>
                <w:rFonts w:ascii="Calibri" w:eastAsia="Times New Roman" w:hAnsi="Calibri" w:cs="Calibri"/>
                <w:color w:val="000000"/>
                <w:sz w:val="19"/>
                <w:szCs w:val="19"/>
                <w:lang w:val="en-GB"/>
              </w:rPr>
              <w:t>fulfilment</w:t>
            </w:r>
            <w:r w:rsidRPr="001E5747">
              <w:rPr>
                <w:rFonts w:ascii="Calibri" w:eastAsia="Times New Roman" w:hAnsi="Calibri" w:cs="Calibri"/>
                <w:color w:val="000000"/>
                <w:sz w:val="19"/>
                <w:szCs w:val="19"/>
                <w:lang w:val="en-GB"/>
              </w:rPr>
              <w:t xml:space="preserve"> of the obligation to report on the implementation of the integrity plan during the assessed year. Inherently ensuring transparency and accountability for anti-corruption measures foreseen by the integrity plan as a preventive instrument against corruption. Performance of this indicator is assessed based on the evidence that informs that the Annual implementation report of the Integrity Plan has been presented and discussed by the MA during the year up to December 31.</w:t>
            </w:r>
          </w:p>
        </w:tc>
      </w:tr>
      <w:tr w:rsidR="00214972" w:rsidRPr="001E5747" w14:paraId="01F9668A" w14:textId="77777777" w:rsidTr="00B739C3">
        <w:trPr>
          <w:trHeight w:val="239"/>
        </w:trPr>
        <w:tc>
          <w:tcPr>
            <w:tcW w:w="13140" w:type="dxa"/>
            <w:gridSpan w:val="3"/>
            <w:tcBorders>
              <w:top w:val="single" w:sz="4" w:space="0" w:color="auto"/>
              <w:left w:val="single" w:sz="4" w:space="0" w:color="auto"/>
              <w:right w:val="single" w:sz="4" w:space="0" w:color="auto"/>
            </w:tcBorders>
            <w:shd w:val="clear" w:color="auto" w:fill="548DD4"/>
            <w:noWrap/>
            <w:vAlign w:val="center"/>
          </w:tcPr>
          <w:p w14:paraId="19B64ECA" w14:textId="77777777" w:rsidR="00214972" w:rsidRPr="001E5747" w:rsidRDefault="00214972" w:rsidP="00214972">
            <w:pPr>
              <w:spacing w:before="100"/>
              <w:rPr>
                <w:rFonts w:ascii="Calibri" w:eastAsia="Times New Roman" w:hAnsi="Calibri" w:cs="Calibri"/>
                <w:b/>
                <w:color w:val="000000"/>
                <w:sz w:val="19"/>
                <w:szCs w:val="19"/>
                <w:lang w:val="en-GB"/>
              </w:rPr>
            </w:pPr>
            <w:r w:rsidRPr="001E5747">
              <w:rPr>
                <w:rFonts w:ascii="Calibri" w:eastAsia="Times New Roman" w:hAnsi="Calibri" w:cs="Calibri"/>
                <w:b/>
                <w:color w:val="000000"/>
                <w:sz w:val="20"/>
                <w:szCs w:val="19"/>
                <w:lang w:val="en-GB"/>
              </w:rPr>
              <w:t>II. MUNICIPAL MANAGEMENT</w:t>
            </w:r>
          </w:p>
        </w:tc>
      </w:tr>
      <w:tr w:rsidR="00214972" w:rsidRPr="001E5747" w14:paraId="072EBCFA" w14:textId="77777777" w:rsidTr="00B739C3">
        <w:trPr>
          <w:trHeight w:val="239"/>
        </w:trPr>
        <w:tc>
          <w:tcPr>
            <w:tcW w:w="562" w:type="dxa"/>
            <w:tcBorders>
              <w:top w:val="single" w:sz="4" w:space="0" w:color="auto"/>
              <w:left w:val="single" w:sz="4" w:space="0" w:color="auto"/>
              <w:right w:val="single" w:sz="4" w:space="0" w:color="auto"/>
            </w:tcBorders>
            <w:shd w:val="clear" w:color="auto" w:fill="C6D9F1"/>
            <w:noWrap/>
            <w:vAlign w:val="center"/>
          </w:tcPr>
          <w:p w14:paraId="57DF76BA" w14:textId="77777777" w:rsidR="00214972" w:rsidRPr="001E5747" w:rsidRDefault="00214972" w:rsidP="00214972">
            <w:pPr>
              <w:contextualSpacing/>
              <w:jc w:val="center"/>
              <w:rPr>
                <w:rFonts w:ascii="Calibri" w:eastAsia="Times New Roman" w:hAnsi="Calibri" w:cs="Calibri"/>
                <w:b/>
                <w:color w:val="000000"/>
                <w:sz w:val="19"/>
                <w:szCs w:val="19"/>
                <w:lang w:val="en-GB"/>
              </w:rPr>
            </w:pPr>
            <w:r w:rsidRPr="001E5747">
              <w:rPr>
                <w:rFonts w:ascii="Calibri" w:eastAsia="Times New Roman" w:hAnsi="Calibri" w:cs="Calibri"/>
                <w:b/>
                <w:color w:val="000000"/>
                <w:sz w:val="19"/>
                <w:szCs w:val="19"/>
                <w:lang w:val="en-GB"/>
              </w:rPr>
              <w:t>IV</w:t>
            </w:r>
          </w:p>
        </w:tc>
        <w:tc>
          <w:tcPr>
            <w:tcW w:w="12578" w:type="dxa"/>
            <w:gridSpan w:val="2"/>
            <w:tcBorders>
              <w:top w:val="single" w:sz="4" w:space="0" w:color="auto"/>
              <w:left w:val="nil"/>
              <w:right w:val="single" w:sz="4" w:space="0" w:color="auto"/>
            </w:tcBorders>
            <w:shd w:val="clear" w:color="auto" w:fill="C6D9F1"/>
            <w:vAlign w:val="center"/>
          </w:tcPr>
          <w:p w14:paraId="32DA9910" w14:textId="77777777" w:rsidR="00214972" w:rsidRPr="001E5747" w:rsidRDefault="00214972" w:rsidP="00214972">
            <w:pPr>
              <w:spacing w:before="100"/>
              <w:rPr>
                <w:rFonts w:ascii="Calibri" w:eastAsia="Times New Roman" w:hAnsi="Calibri" w:cs="Calibri"/>
                <w:b/>
                <w:color w:val="000000"/>
                <w:sz w:val="19"/>
                <w:szCs w:val="19"/>
                <w:lang w:val="en-GB"/>
              </w:rPr>
            </w:pPr>
            <w:r w:rsidRPr="001E5747">
              <w:rPr>
                <w:rFonts w:ascii="Calibri" w:eastAsia="Times New Roman" w:hAnsi="Calibri" w:cs="Calibri"/>
                <w:b/>
                <w:color w:val="000000"/>
                <w:sz w:val="19"/>
                <w:szCs w:val="19"/>
                <w:lang w:val="en-GB"/>
              </w:rPr>
              <w:t>Financial management</w:t>
            </w:r>
          </w:p>
        </w:tc>
      </w:tr>
      <w:tr w:rsidR="00214972" w:rsidRPr="001E5747" w14:paraId="36F54370" w14:textId="77777777" w:rsidTr="00B739C3">
        <w:trPr>
          <w:trHeight w:val="473"/>
        </w:trPr>
        <w:tc>
          <w:tcPr>
            <w:tcW w:w="562" w:type="dxa"/>
            <w:tcBorders>
              <w:top w:val="single" w:sz="4" w:space="0" w:color="auto"/>
              <w:left w:val="single" w:sz="4" w:space="0" w:color="auto"/>
              <w:bottom w:val="single" w:sz="4" w:space="0" w:color="auto"/>
              <w:right w:val="single" w:sz="4" w:space="0" w:color="auto"/>
            </w:tcBorders>
            <w:shd w:val="clear" w:color="000000" w:fill="C2D69B"/>
            <w:noWrap/>
            <w:vAlign w:val="center"/>
          </w:tcPr>
          <w:p w14:paraId="27148535" w14:textId="77777777" w:rsidR="00214972" w:rsidRPr="001E5747" w:rsidRDefault="00214972" w:rsidP="00214972">
            <w:pPr>
              <w:contextualSpacing/>
              <w:jc w:val="center"/>
              <w:rPr>
                <w:rFonts w:ascii="Calibri" w:eastAsia="Times New Roman" w:hAnsi="Calibri" w:cs="Calibri"/>
                <w:color w:val="000000"/>
                <w:sz w:val="19"/>
                <w:szCs w:val="19"/>
                <w:highlight w:val="yellow"/>
                <w:lang w:val="en-GB"/>
              </w:rPr>
            </w:pPr>
            <w:r w:rsidRPr="001E5747">
              <w:rPr>
                <w:rFonts w:ascii="Calibri" w:eastAsia="Times New Roman" w:hAnsi="Calibri" w:cs="Calibri"/>
                <w:color w:val="000000"/>
                <w:sz w:val="19"/>
                <w:szCs w:val="19"/>
                <w:lang w:val="en-GB"/>
              </w:rPr>
              <w:t>14</w:t>
            </w:r>
          </w:p>
        </w:tc>
        <w:tc>
          <w:tcPr>
            <w:tcW w:w="5828" w:type="dxa"/>
            <w:tcBorders>
              <w:top w:val="single" w:sz="4" w:space="0" w:color="auto"/>
              <w:left w:val="nil"/>
              <w:bottom w:val="single" w:sz="4" w:space="0" w:color="auto"/>
              <w:right w:val="single" w:sz="4" w:space="0" w:color="auto"/>
            </w:tcBorders>
            <w:shd w:val="clear" w:color="000000" w:fill="C2D69B"/>
            <w:vAlign w:val="center"/>
          </w:tcPr>
          <w:p w14:paraId="5947198B" w14:textId="77777777" w:rsidR="00214972" w:rsidRPr="001E5747" w:rsidRDefault="00214972" w:rsidP="00214972">
            <w:pPr>
              <w:contextualSpacing/>
              <w:outlineLvl w:val="2"/>
              <w:rPr>
                <w:rFonts w:ascii="Calibri" w:eastAsia="Times New Roman" w:hAnsi="Calibri" w:cs="Calibri"/>
                <w:color w:val="000000"/>
                <w:sz w:val="19"/>
                <w:szCs w:val="19"/>
                <w:highlight w:val="yellow"/>
                <w:lang w:val="en-GB"/>
              </w:rPr>
            </w:pPr>
            <w:r w:rsidRPr="001E5747">
              <w:rPr>
                <w:rFonts w:ascii="Calibri" w:eastAsia="Times New Roman" w:hAnsi="Calibri" w:cs="Calibri"/>
                <w:color w:val="000000"/>
                <w:sz w:val="19"/>
                <w:szCs w:val="19"/>
                <w:lang w:val="en-GB"/>
              </w:rPr>
              <w:t>Update of property tax register</w:t>
            </w:r>
          </w:p>
        </w:tc>
        <w:tc>
          <w:tcPr>
            <w:tcW w:w="6750" w:type="dxa"/>
            <w:tcBorders>
              <w:top w:val="single" w:sz="4" w:space="0" w:color="auto"/>
              <w:left w:val="nil"/>
              <w:bottom w:val="single" w:sz="4" w:space="0" w:color="auto"/>
              <w:right w:val="single" w:sz="4" w:space="0" w:color="auto"/>
            </w:tcBorders>
            <w:shd w:val="clear" w:color="000000" w:fill="C2D69B"/>
            <w:vAlign w:val="center"/>
          </w:tcPr>
          <w:p w14:paraId="17ABDACA" w14:textId="77777777" w:rsidR="00214972" w:rsidRPr="001E5747" w:rsidRDefault="00214972" w:rsidP="00D246A0">
            <w:pPr>
              <w:spacing w:before="100"/>
              <w:jc w:val="both"/>
              <w:rPr>
                <w:rFonts w:ascii="Calibri" w:eastAsia="Times New Roman" w:hAnsi="Calibri" w:cs="Calibri"/>
                <w:color w:val="000000"/>
                <w:sz w:val="19"/>
                <w:szCs w:val="19"/>
                <w:highlight w:val="yellow"/>
                <w:lang w:val="en-GB"/>
              </w:rPr>
            </w:pPr>
            <w:r w:rsidRPr="001E5747">
              <w:rPr>
                <w:rFonts w:ascii="Calibri" w:eastAsia="Times New Roman" w:hAnsi="Calibri" w:cs="Calibri"/>
                <w:color w:val="000000"/>
                <w:sz w:val="19"/>
                <w:szCs w:val="19"/>
                <w:lang w:val="en-GB"/>
              </w:rPr>
              <w:t xml:space="preserve">Indicator measures </w:t>
            </w:r>
            <w:r w:rsidR="00D246A0" w:rsidRPr="001E5747">
              <w:rPr>
                <w:rFonts w:ascii="Calibri" w:eastAsia="Times New Roman" w:hAnsi="Calibri" w:cs="Calibri"/>
                <w:color w:val="000000"/>
                <w:sz w:val="19"/>
                <w:szCs w:val="19"/>
                <w:lang w:val="en-GB"/>
              </w:rPr>
              <w:t xml:space="preserve">the </w:t>
            </w:r>
            <w:r w:rsidRPr="001E5747">
              <w:rPr>
                <w:rFonts w:ascii="Calibri" w:eastAsia="Times New Roman" w:hAnsi="Calibri" w:cs="Calibri"/>
                <w:color w:val="000000"/>
                <w:sz w:val="19"/>
                <w:szCs w:val="19"/>
                <w:lang w:val="en-GB"/>
              </w:rPr>
              <w:t>performance of the municipal authorities regarding the implementation of obligation related to the r</w:t>
            </w:r>
            <w:r w:rsidR="009767E2">
              <w:rPr>
                <w:rFonts w:ascii="Calibri" w:eastAsia="Times New Roman" w:hAnsi="Calibri" w:cs="Calibri"/>
                <w:color w:val="000000"/>
                <w:sz w:val="19"/>
                <w:szCs w:val="19"/>
                <w:lang w:val="en-GB"/>
              </w:rPr>
              <w:t>assessment</w:t>
            </w:r>
            <w:r w:rsidRPr="001E5747">
              <w:rPr>
                <w:rFonts w:ascii="Calibri" w:eastAsia="Times New Roman" w:hAnsi="Calibri" w:cs="Calibri"/>
                <w:color w:val="000000"/>
                <w:sz w:val="19"/>
                <w:szCs w:val="19"/>
                <w:lang w:val="en-GB"/>
              </w:rPr>
              <w:t xml:space="preserve"> of buildings for property tax purposes within the calendar year. The r</w:t>
            </w:r>
            <w:r w:rsidR="009767E2">
              <w:rPr>
                <w:rFonts w:ascii="Calibri" w:eastAsia="Times New Roman" w:hAnsi="Calibri" w:cs="Calibri"/>
                <w:color w:val="000000"/>
                <w:sz w:val="19"/>
                <w:szCs w:val="19"/>
                <w:lang w:val="en-GB"/>
              </w:rPr>
              <w:t>assessment</w:t>
            </w:r>
            <w:r w:rsidRPr="001E5747">
              <w:rPr>
                <w:rFonts w:ascii="Calibri" w:eastAsia="Times New Roman" w:hAnsi="Calibri" w:cs="Calibri"/>
                <w:color w:val="000000"/>
                <w:sz w:val="19"/>
                <w:szCs w:val="19"/>
                <w:lang w:val="en-GB"/>
              </w:rPr>
              <w:t xml:space="preserve"> of buildings for property tax purposes refers to the obligation to identify and record changes to the existing buildings, in order to enable property tax billing as required by law, and it must be performed on annual basis. Law stipulates that 20% of properties (buildings) must be re-visited for verification purposes, to ensure consistency between registration and actual state of the property.</w:t>
            </w:r>
            <w:r w:rsidR="00D246A0" w:rsidRPr="001E5747">
              <w:rPr>
                <w:rFonts w:ascii="Calibri" w:eastAsia="Times New Roman" w:hAnsi="Calibri" w:cs="Calibri"/>
                <w:color w:val="000000"/>
                <w:sz w:val="19"/>
                <w:szCs w:val="19"/>
                <w:lang w:val="en-GB"/>
              </w:rPr>
              <w:t xml:space="preserve"> </w:t>
            </w:r>
            <w:r w:rsidRPr="001E5747">
              <w:rPr>
                <w:rFonts w:ascii="Calibri" w:eastAsia="Times New Roman" w:hAnsi="Calibri" w:cs="Calibri"/>
                <w:color w:val="000000"/>
                <w:sz w:val="19"/>
                <w:szCs w:val="19"/>
                <w:lang w:val="en-GB"/>
              </w:rPr>
              <w:t xml:space="preserve">Legal basis for this indicator is the Law No. 06/L-005 on </w:t>
            </w:r>
            <w:r w:rsidRPr="001E5747">
              <w:rPr>
                <w:rFonts w:ascii="Calibri" w:eastAsia="Times New Roman" w:hAnsi="Calibri" w:cs="Calibri"/>
                <w:color w:val="000000"/>
                <w:sz w:val="19"/>
                <w:szCs w:val="19"/>
                <w:lang w:val="en-GB"/>
              </w:rPr>
              <w:lastRenderedPageBreak/>
              <w:t>Property Tax. Performance of the indicator is calculated based on the obtained information regarding: (i) number of properties (buildings) in the municipality; and (ii) number of properties (buildings) in the municipality that have been verified.</w:t>
            </w:r>
          </w:p>
        </w:tc>
      </w:tr>
      <w:tr w:rsidR="00214972" w:rsidRPr="001E5747" w14:paraId="78A255E0" w14:textId="77777777" w:rsidTr="00B739C3">
        <w:trPr>
          <w:trHeight w:val="807"/>
        </w:trPr>
        <w:tc>
          <w:tcPr>
            <w:tcW w:w="562" w:type="dxa"/>
            <w:tcBorders>
              <w:top w:val="single" w:sz="4" w:space="0" w:color="auto"/>
              <w:left w:val="single" w:sz="4" w:space="0" w:color="auto"/>
              <w:bottom w:val="single" w:sz="4" w:space="0" w:color="auto"/>
              <w:right w:val="single" w:sz="4" w:space="0" w:color="auto"/>
            </w:tcBorders>
            <w:shd w:val="clear" w:color="000000" w:fill="C2D69B"/>
            <w:noWrap/>
            <w:vAlign w:val="center"/>
          </w:tcPr>
          <w:p w14:paraId="7A28E12C" w14:textId="77777777" w:rsidR="00214972" w:rsidRPr="001E5747" w:rsidRDefault="00214972" w:rsidP="00214972">
            <w:pPr>
              <w:contextualSpacing/>
              <w:jc w:val="center"/>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lastRenderedPageBreak/>
              <w:t>15</w:t>
            </w:r>
          </w:p>
        </w:tc>
        <w:tc>
          <w:tcPr>
            <w:tcW w:w="5828" w:type="dxa"/>
            <w:tcBorders>
              <w:top w:val="single" w:sz="4" w:space="0" w:color="auto"/>
              <w:left w:val="nil"/>
              <w:bottom w:val="single" w:sz="4" w:space="0" w:color="auto"/>
              <w:right w:val="single" w:sz="4" w:space="0" w:color="auto"/>
            </w:tcBorders>
            <w:shd w:val="clear" w:color="000000" w:fill="C2D69B"/>
            <w:vAlign w:val="center"/>
          </w:tcPr>
          <w:p w14:paraId="0D534BC0" w14:textId="77777777" w:rsidR="00214972" w:rsidRPr="001E5747" w:rsidRDefault="00214972" w:rsidP="00214972">
            <w:pPr>
              <w:contextualSpacing/>
              <w:outlineLvl w:val="2"/>
              <w:rPr>
                <w:rFonts w:ascii="Calibri" w:eastAsia="Times New Roman" w:hAnsi="Calibri" w:cs="Calibri"/>
                <w:color w:val="000000"/>
                <w:sz w:val="19"/>
                <w:szCs w:val="19"/>
                <w:lang w:val="en-GB"/>
              </w:rPr>
            </w:pPr>
            <w:r w:rsidRPr="001E5747">
              <w:rPr>
                <w:rFonts w:ascii="Calibri" w:eastAsia="Calibri" w:hAnsi="Calibri" w:cs="Calibri"/>
                <w:color w:val="000000"/>
                <w:sz w:val="19"/>
                <w:szCs w:val="19"/>
                <w:lang w:val="en-GB"/>
              </w:rPr>
              <w:t>Level of property tax collection (no debt, interest, penalties)</w:t>
            </w:r>
          </w:p>
        </w:tc>
        <w:tc>
          <w:tcPr>
            <w:tcW w:w="6750" w:type="dxa"/>
            <w:tcBorders>
              <w:top w:val="single" w:sz="4" w:space="0" w:color="auto"/>
              <w:left w:val="nil"/>
              <w:bottom w:val="single" w:sz="4" w:space="0" w:color="auto"/>
              <w:right w:val="single" w:sz="4" w:space="0" w:color="auto"/>
            </w:tcBorders>
            <w:shd w:val="clear" w:color="000000" w:fill="C2D69B"/>
            <w:vAlign w:val="center"/>
          </w:tcPr>
          <w:p w14:paraId="4F8DB47B" w14:textId="77777777" w:rsidR="00214972" w:rsidRPr="001E5747" w:rsidRDefault="00214972" w:rsidP="00A0644E">
            <w:pPr>
              <w:contextualSpacing/>
              <w:jc w:val="both"/>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Indicator measures the performance of municipal authorities in enforcing their legal obligation regarding the collection of property tax, expressed as a percentage of the total invoiced property tax within one year. It calculates the rate of collection in one year, excluding debts from last year’s bills, interest payments and penalties. The measurement of the level of property tax collection refers to the evaluated year. This indicator assesses municipal authorities by measuring the level of property tax collection compared to the tax invoiced during the evaluated year. Legal</w:t>
            </w:r>
            <w:r w:rsidR="00A0644E" w:rsidRPr="001E5747">
              <w:rPr>
                <w:rFonts w:ascii="Calibri" w:eastAsia="Times New Roman" w:hAnsi="Calibri" w:cs="Calibri"/>
                <w:color w:val="000000"/>
                <w:sz w:val="19"/>
                <w:szCs w:val="19"/>
                <w:lang w:val="en-GB"/>
              </w:rPr>
              <w:t xml:space="preserve"> </w:t>
            </w:r>
            <w:r w:rsidRPr="001E5747">
              <w:rPr>
                <w:rFonts w:ascii="Calibri" w:eastAsia="Times New Roman" w:hAnsi="Calibri" w:cs="Calibri"/>
                <w:color w:val="000000"/>
                <w:sz w:val="19"/>
                <w:szCs w:val="19"/>
                <w:lang w:val="en-GB"/>
              </w:rPr>
              <w:t>basis for this indicator is the Law No. 06/L-005 on Property Tax.</w:t>
            </w:r>
          </w:p>
          <w:p w14:paraId="0A51A136" w14:textId="77777777" w:rsidR="00214972" w:rsidRPr="001E5747" w:rsidRDefault="00214972" w:rsidP="00A0644E">
            <w:pPr>
              <w:contextualSpacing/>
              <w:jc w:val="both"/>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Performance of the indicator is calculated based on the obtained information regarding: (i) invoiced sum for property tax total for the year; and (ii) collected sum for invoiced property tax total for the year. Indicator does not measure</w:t>
            </w:r>
            <w:r w:rsidR="00A0644E" w:rsidRPr="001E5747">
              <w:rPr>
                <w:rFonts w:ascii="Calibri" w:eastAsia="Times New Roman" w:hAnsi="Calibri" w:cs="Calibri"/>
                <w:color w:val="000000"/>
                <w:sz w:val="19"/>
                <w:szCs w:val="19"/>
                <w:lang w:val="en-GB"/>
              </w:rPr>
              <w:t xml:space="preserve"> </w:t>
            </w:r>
            <w:r w:rsidRPr="001E5747">
              <w:rPr>
                <w:rFonts w:ascii="Calibri" w:eastAsia="Times New Roman" w:hAnsi="Calibri" w:cs="Calibri"/>
                <w:color w:val="000000"/>
                <w:sz w:val="19"/>
                <w:szCs w:val="19"/>
                <w:lang w:val="en-GB"/>
              </w:rPr>
              <w:t>the total property tax collected value, as the total amount may also include older debts carried over from previous years, interest payments and penalties; specifically it only measures the level of tax collected during the reporting year.</w:t>
            </w:r>
          </w:p>
        </w:tc>
      </w:tr>
      <w:tr w:rsidR="00214972" w:rsidRPr="001E5747" w14:paraId="60F30A6A" w14:textId="77777777" w:rsidTr="00B739C3">
        <w:trPr>
          <w:trHeight w:val="807"/>
        </w:trPr>
        <w:tc>
          <w:tcPr>
            <w:tcW w:w="562" w:type="dxa"/>
            <w:tcBorders>
              <w:top w:val="single" w:sz="4" w:space="0" w:color="auto"/>
              <w:left w:val="single" w:sz="4" w:space="0" w:color="auto"/>
              <w:bottom w:val="single" w:sz="4" w:space="0" w:color="auto"/>
              <w:right w:val="single" w:sz="4" w:space="0" w:color="auto"/>
            </w:tcBorders>
            <w:shd w:val="clear" w:color="000000" w:fill="C2D69B"/>
            <w:noWrap/>
            <w:vAlign w:val="center"/>
          </w:tcPr>
          <w:p w14:paraId="06C57A99" w14:textId="77777777" w:rsidR="00214972" w:rsidRPr="001E5747" w:rsidRDefault="00214972" w:rsidP="00214972">
            <w:pPr>
              <w:contextualSpacing/>
              <w:jc w:val="center"/>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16</w:t>
            </w:r>
          </w:p>
        </w:tc>
        <w:tc>
          <w:tcPr>
            <w:tcW w:w="5828" w:type="dxa"/>
            <w:tcBorders>
              <w:top w:val="single" w:sz="4" w:space="0" w:color="auto"/>
              <w:left w:val="nil"/>
              <w:bottom w:val="single" w:sz="4" w:space="0" w:color="auto"/>
              <w:right w:val="single" w:sz="4" w:space="0" w:color="auto"/>
            </w:tcBorders>
            <w:shd w:val="clear" w:color="000000" w:fill="C2D69B"/>
            <w:vAlign w:val="center"/>
          </w:tcPr>
          <w:p w14:paraId="60FCFBBF" w14:textId="77777777" w:rsidR="00214972" w:rsidRPr="001E5747" w:rsidRDefault="00214972" w:rsidP="00214972">
            <w:pPr>
              <w:contextualSpacing/>
              <w:outlineLvl w:val="2"/>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Level of addressing of recommendations of the National Audit Office</w:t>
            </w:r>
          </w:p>
          <w:p w14:paraId="6452C91E" w14:textId="77777777" w:rsidR="00214972" w:rsidRPr="001E5747" w:rsidRDefault="00214972" w:rsidP="00214972">
            <w:pPr>
              <w:contextualSpacing/>
              <w:outlineLvl w:val="2"/>
              <w:rPr>
                <w:rFonts w:ascii="Calibri" w:eastAsia="Times New Roman" w:hAnsi="Calibri" w:cs="Calibri"/>
                <w:color w:val="000000"/>
                <w:sz w:val="19"/>
                <w:szCs w:val="19"/>
                <w:lang w:val="en-GB"/>
              </w:rPr>
            </w:pPr>
          </w:p>
        </w:tc>
        <w:tc>
          <w:tcPr>
            <w:tcW w:w="6750" w:type="dxa"/>
            <w:tcBorders>
              <w:top w:val="single" w:sz="4" w:space="0" w:color="auto"/>
              <w:left w:val="nil"/>
              <w:bottom w:val="single" w:sz="4" w:space="0" w:color="auto"/>
              <w:right w:val="single" w:sz="4" w:space="0" w:color="auto"/>
            </w:tcBorders>
            <w:shd w:val="clear" w:color="000000" w:fill="C2D69B"/>
            <w:vAlign w:val="center"/>
          </w:tcPr>
          <w:p w14:paraId="56FA71F8" w14:textId="77777777" w:rsidR="00214972" w:rsidRPr="001E5747" w:rsidRDefault="00214972" w:rsidP="00A0644E">
            <w:pPr>
              <w:contextualSpacing/>
              <w:jc w:val="both"/>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Indicator measures performance of the municipal authorities with regard to full implementation and addressing of the high and medium level recommendations, explicitly presented in the NAO audit report. In the NAO audit report (n-2), which refers to the fiscal year (n-3), are presented recommendations for implementation or addressing, which should be fully implemented and addressed in the year (n-1). Indicator is an important measure of the responsiveness of the municipal authorities with regards to recommendations given by the NAO. Indicator performance is assessed based on the evidence of addressing of the listed recommendations, as a percentage of addressed recommendations with respect to listed recommendations.</w:t>
            </w:r>
          </w:p>
        </w:tc>
      </w:tr>
      <w:tr w:rsidR="00214972" w:rsidRPr="001E5747" w14:paraId="2A3506A1" w14:textId="77777777" w:rsidTr="00B739C3">
        <w:trPr>
          <w:trHeight w:val="460"/>
        </w:trPr>
        <w:tc>
          <w:tcPr>
            <w:tcW w:w="562" w:type="dxa"/>
            <w:tcBorders>
              <w:top w:val="single" w:sz="4" w:space="0" w:color="auto"/>
              <w:left w:val="single" w:sz="4" w:space="0" w:color="auto"/>
              <w:bottom w:val="single" w:sz="4" w:space="0" w:color="auto"/>
              <w:right w:val="single" w:sz="4" w:space="0" w:color="auto"/>
            </w:tcBorders>
            <w:shd w:val="clear" w:color="auto" w:fill="C6D9F1"/>
            <w:noWrap/>
            <w:vAlign w:val="center"/>
          </w:tcPr>
          <w:p w14:paraId="66E35DBF" w14:textId="77777777" w:rsidR="00214972" w:rsidRPr="001E5747" w:rsidRDefault="00214972" w:rsidP="00214972">
            <w:pPr>
              <w:contextualSpacing/>
              <w:jc w:val="center"/>
              <w:rPr>
                <w:rFonts w:ascii="Calibri" w:eastAsia="Times New Roman" w:hAnsi="Calibri" w:cs="Calibri"/>
                <w:b/>
                <w:color w:val="000000"/>
                <w:sz w:val="19"/>
                <w:szCs w:val="19"/>
                <w:lang w:val="en-GB"/>
              </w:rPr>
            </w:pPr>
            <w:r w:rsidRPr="001E5747">
              <w:rPr>
                <w:rFonts w:ascii="Calibri" w:eastAsia="Times New Roman" w:hAnsi="Calibri" w:cs="Calibri"/>
                <w:b/>
                <w:color w:val="000000"/>
                <w:sz w:val="19"/>
                <w:szCs w:val="19"/>
                <w:lang w:val="en-GB"/>
              </w:rPr>
              <w:t>V</w:t>
            </w:r>
          </w:p>
        </w:tc>
        <w:tc>
          <w:tcPr>
            <w:tcW w:w="12578" w:type="dxa"/>
            <w:gridSpan w:val="2"/>
            <w:tcBorders>
              <w:top w:val="single" w:sz="4" w:space="0" w:color="auto"/>
              <w:left w:val="nil"/>
              <w:bottom w:val="single" w:sz="4" w:space="0" w:color="auto"/>
              <w:right w:val="single" w:sz="4" w:space="0" w:color="auto"/>
            </w:tcBorders>
            <w:shd w:val="clear" w:color="auto" w:fill="C6D9F1"/>
            <w:vAlign w:val="center"/>
          </w:tcPr>
          <w:p w14:paraId="3B904F0A" w14:textId="77777777" w:rsidR="00214972" w:rsidRPr="001E5747" w:rsidRDefault="00214972" w:rsidP="00214972">
            <w:pPr>
              <w:contextualSpacing/>
              <w:rPr>
                <w:rFonts w:ascii="Calibri" w:eastAsia="Times New Roman" w:hAnsi="Calibri" w:cs="Calibri"/>
                <w:b/>
                <w:color w:val="000000"/>
                <w:sz w:val="19"/>
                <w:szCs w:val="19"/>
                <w:lang w:val="en-GB"/>
              </w:rPr>
            </w:pPr>
            <w:r w:rsidRPr="001E5747">
              <w:rPr>
                <w:rFonts w:ascii="Calibri" w:eastAsia="Times New Roman" w:hAnsi="Calibri" w:cs="Calibri"/>
                <w:b/>
                <w:color w:val="000000"/>
                <w:sz w:val="19"/>
                <w:szCs w:val="19"/>
                <w:lang w:val="en-GB"/>
              </w:rPr>
              <w:t>Contract management</w:t>
            </w:r>
          </w:p>
        </w:tc>
      </w:tr>
      <w:tr w:rsidR="00214972" w:rsidRPr="001E5747" w14:paraId="0C468DB4" w14:textId="77777777" w:rsidTr="00B739C3">
        <w:trPr>
          <w:trHeight w:val="494"/>
        </w:trPr>
        <w:tc>
          <w:tcPr>
            <w:tcW w:w="562" w:type="dxa"/>
            <w:tcBorders>
              <w:top w:val="single" w:sz="4" w:space="0" w:color="auto"/>
              <w:left w:val="single" w:sz="4" w:space="0" w:color="auto"/>
              <w:bottom w:val="single" w:sz="4" w:space="0" w:color="auto"/>
              <w:right w:val="single" w:sz="4" w:space="0" w:color="auto"/>
            </w:tcBorders>
            <w:shd w:val="clear" w:color="000000" w:fill="C2D69B"/>
            <w:noWrap/>
            <w:vAlign w:val="center"/>
          </w:tcPr>
          <w:p w14:paraId="4F4C19B7" w14:textId="77777777" w:rsidR="00214972" w:rsidRPr="001E5747" w:rsidRDefault="00214972" w:rsidP="00214972">
            <w:pPr>
              <w:contextualSpacing/>
              <w:jc w:val="center"/>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17</w:t>
            </w:r>
          </w:p>
        </w:tc>
        <w:tc>
          <w:tcPr>
            <w:tcW w:w="5828" w:type="dxa"/>
            <w:tcBorders>
              <w:top w:val="single" w:sz="4" w:space="0" w:color="auto"/>
              <w:left w:val="nil"/>
              <w:bottom w:val="single" w:sz="4" w:space="0" w:color="auto"/>
              <w:right w:val="single" w:sz="4" w:space="0" w:color="auto"/>
            </w:tcBorders>
            <w:shd w:val="clear" w:color="000000" w:fill="C2D69B"/>
            <w:vAlign w:val="center"/>
          </w:tcPr>
          <w:p w14:paraId="35836968" w14:textId="77777777" w:rsidR="00214972" w:rsidRPr="001E5747" w:rsidRDefault="00214972" w:rsidP="00214972">
            <w:pPr>
              <w:contextualSpacing/>
              <w:outlineLvl w:val="2"/>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eastAsia="af-ZA"/>
              </w:rPr>
              <w:t>Level of the procurement plan implementation</w:t>
            </w:r>
          </w:p>
        </w:tc>
        <w:tc>
          <w:tcPr>
            <w:tcW w:w="6750" w:type="dxa"/>
            <w:tcBorders>
              <w:top w:val="single" w:sz="4" w:space="0" w:color="auto"/>
              <w:left w:val="nil"/>
              <w:bottom w:val="single" w:sz="4" w:space="0" w:color="auto"/>
              <w:right w:val="single" w:sz="4" w:space="0" w:color="auto"/>
            </w:tcBorders>
            <w:shd w:val="clear" w:color="000000" w:fill="C2D69B"/>
            <w:vAlign w:val="center"/>
          </w:tcPr>
          <w:p w14:paraId="0D6F9227" w14:textId="77777777" w:rsidR="00214972" w:rsidRPr="001E5747" w:rsidRDefault="00214972" w:rsidP="00A0644E">
            <w:pPr>
              <w:contextualSpacing/>
              <w:jc w:val="both"/>
              <w:rPr>
                <w:rFonts w:ascii="Calibri" w:eastAsia="Times New Roman" w:hAnsi="Calibri" w:cs="Calibri"/>
                <w:color w:val="000000"/>
                <w:sz w:val="19"/>
                <w:szCs w:val="19"/>
                <w:highlight w:val="yellow"/>
                <w:lang w:val="en-GB"/>
              </w:rPr>
            </w:pPr>
            <w:r w:rsidRPr="001E5747">
              <w:rPr>
                <w:rFonts w:ascii="Calibri" w:eastAsia="Times New Roman" w:hAnsi="Calibri" w:cs="Calibri"/>
                <w:color w:val="000000"/>
                <w:sz w:val="19"/>
                <w:szCs w:val="19"/>
                <w:lang w:val="en-GB"/>
              </w:rPr>
              <w:t>Indicator measures performance of the municipal authorities with respect to implementation of the annual municipal procurement plan, assessing performance based on the level of spending of the planned budget via procurement</w:t>
            </w:r>
            <w:r w:rsidR="00A0644E" w:rsidRPr="001E5747">
              <w:rPr>
                <w:rFonts w:ascii="Calibri" w:eastAsia="Times New Roman" w:hAnsi="Calibri" w:cs="Calibri"/>
                <w:color w:val="000000"/>
                <w:sz w:val="19"/>
                <w:szCs w:val="19"/>
                <w:lang w:val="en-GB"/>
              </w:rPr>
              <w:t xml:space="preserve"> </w:t>
            </w:r>
            <w:r w:rsidRPr="001E5747">
              <w:rPr>
                <w:rFonts w:ascii="Calibri" w:eastAsia="Times New Roman" w:hAnsi="Calibri" w:cs="Calibri"/>
                <w:color w:val="000000"/>
                <w:sz w:val="19"/>
                <w:szCs w:val="19"/>
                <w:lang w:val="en-GB"/>
              </w:rPr>
              <w:t xml:space="preserve">activities. Specifically, indicator uses financial information to assess performance between the </w:t>
            </w:r>
            <w:r w:rsidRPr="001E5747">
              <w:rPr>
                <w:rFonts w:ascii="Calibri" w:eastAsia="Times New Roman" w:hAnsi="Calibri" w:cs="Calibri"/>
                <w:color w:val="000000"/>
                <w:sz w:val="19"/>
                <w:szCs w:val="19"/>
                <w:lang w:val="en-GB"/>
              </w:rPr>
              <w:lastRenderedPageBreak/>
              <w:t>planned, and executed budget via procurement. Indicator is an important measure of effectiveness and efficiency of municipal authorities to plan and execute budget via the public procurement unit, ensuring compliance with the procurement laws, rules and regulations. Performance of the indicator is assessed based on the available documentary evidence on the following: (i) total budget spent via procurement; and (ii) total budget planned for procurement activities.</w:t>
            </w:r>
          </w:p>
        </w:tc>
      </w:tr>
      <w:tr w:rsidR="00214972" w:rsidRPr="001E5747" w14:paraId="3167F6C1" w14:textId="77777777" w:rsidTr="00B739C3">
        <w:trPr>
          <w:trHeight w:val="494"/>
        </w:trPr>
        <w:tc>
          <w:tcPr>
            <w:tcW w:w="562" w:type="dxa"/>
            <w:tcBorders>
              <w:top w:val="single" w:sz="4" w:space="0" w:color="auto"/>
              <w:left w:val="single" w:sz="4" w:space="0" w:color="auto"/>
              <w:bottom w:val="single" w:sz="4" w:space="0" w:color="auto"/>
              <w:right w:val="single" w:sz="4" w:space="0" w:color="auto"/>
            </w:tcBorders>
            <w:shd w:val="clear" w:color="000000" w:fill="C2D69B"/>
            <w:noWrap/>
            <w:vAlign w:val="center"/>
          </w:tcPr>
          <w:p w14:paraId="09B6FA53" w14:textId="77777777" w:rsidR="00214972" w:rsidRPr="001E5747" w:rsidRDefault="00214972" w:rsidP="00214972">
            <w:pPr>
              <w:contextualSpacing/>
              <w:jc w:val="center"/>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lastRenderedPageBreak/>
              <w:t>18</w:t>
            </w:r>
          </w:p>
        </w:tc>
        <w:tc>
          <w:tcPr>
            <w:tcW w:w="5828" w:type="dxa"/>
            <w:tcBorders>
              <w:top w:val="single" w:sz="4" w:space="0" w:color="auto"/>
              <w:left w:val="nil"/>
              <w:bottom w:val="single" w:sz="4" w:space="0" w:color="auto"/>
              <w:right w:val="single" w:sz="4" w:space="0" w:color="auto"/>
            </w:tcBorders>
            <w:shd w:val="clear" w:color="000000" w:fill="C2D69B"/>
            <w:vAlign w:val="center"/>
          </w:tcPr>
          <w:p w14:paraId="4BAE0404" w14:textId="77777777" w:rsidR="00214972" w:rsidRPr="001E5747" w:rsidRDefault="00214972" w:rsidP="00214972">
            <w:pPr>
              <w:contextualSpacing/>
              <w:outlineLvl w:val="2"/>
              <w:rPr>
                <w:rFonts w:ascii="Calibri" w:eastAsia="Times New Roman" w:hAnsi="Calibri" w:cs="Calibri"/>
                <w:color w:val="000000"/>
                <w:sz w:val="19"/>
                <w:szCs w:val="19"/>
                <w:lang w:val="en-GB" w:eastAsia="af-ZA"/>
              </w:rPr>
            </w:pPr>
            <w:r w:rsidRPr="001E5747">
              <w:rPr>
                <w:rFonts w:ascii="Calibri" w:eastAsia="Times New Roman" w:hAnsi="Calibri" w:cs="Calibri"/>
                <w:color w:val="000000"/>
                <w:sz w:val="19"/>
                <w:szCs w:val="19"/>
                <w:lang w:val="en-GB" w:eastAsia="af-ZA"/>
              </w:rPr>
              <w:t>Compilation and publication of the list of</w:t>
            </w:r>
          </w:p>
          <w:p w14:paraId="6DDCDA54" w14:textId="77777777" w:rsidR="00214972" w:rsidRPr="001E5747" w:rsidRDefault="00214972" w:rsidP="00214972">
            <w:pPr>
              <w:contextualSpacing/>
              <w:outlineLvl w:val="2"/>
              <w:rPr>
                <w:rFonts w:ascii="Calibri" w:eastAsia="Times New Roman" w:hAnsi="Calibri" w:cs="Calibri"/>
                <w:color w:val="000000"/>
                <w:sz w:val="19"/>
                <w:szCs w:val="19"/>
                <w:lang w:val="en-GB" w:eastAsia="af-ZA"/>
              </w:rPr>
            </w:pPr>
            <w:r w:rsidRPr="001E5747">
              <w:rPr>
                <w:rFonts w:ascii="Calibri" w:eastAsia="Times New Roman" w:hAnsi="Calibri" w:cs="Calibri"/>
                <w:color w:val="000000"/>
                <w:sz w:val="19"/>
                <w:szCs w:val="19"/>
                <w:lang w:val="en-GB" w:eastAsia="af-ZA"/>
              </w:rPr>
              <w:t>municipal properties planned to be allocated for use</w:t>
            </w:r>
          </w:p>
        </w:tc>
        <w:tc>
          <w:tcPr>
            <w:tcW w:w="6750" w:type="dxa"/>
            <w:tcBorders>
              <w:top w:val="single" w:sz="4" w:space="0" w:color="auto"/>
              <w:left w:val="nil"/>
              <w:bottom w:val="single" w:sz="4" w:space="0" w:color="auto"/>
              <w:right w:val="single" w:sz="4" w:space="0" w:color="auto"/>
            </w:tcBorders>
            <w:shd w:val="clear" w:color="000000" w:fill="C2D69B"/>
            <w:vAlign w:val="center"/>
          </w:tcPr>
          <w:p w14:paraId="4CB0B04A" w14:textId="77777777" w:rsidR="00214972" w:rsidRPr="001E5747" w:rsidRDefault="00214972" w:rsidP="00A0644E">
            <w:pPr>
              <w:contextualSpacing/>
              <w:jc w:val="both"/>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Indicator measures performance of the municipal authorities in discharging their obligations in the domain of local economic development, specifically to prepare and publish the list of properties planned to be allocated for use to interested</w:t>
            </w:r>
            <w:r w:rsidR="00A0644E" w:rsidRPr="001E5747">
              <w:rPr>
                <w:rFonts w:ascii="Calibri" w:eastAsia="Times New Roman" w:hAnsi="Calibri" w:cs="Calibri"/>
                <w:color w:val="000000"/>
                <w:sz w:val="19"/>
                <w:szCs w:val="19"/>
                <w:lang w:val="en-GB"/>
              </w:rPr>
              <w:t xml:space="preserve"> </w:t>
            </w:r>
            <w:r w:rsidRPr="001E5747">
              <w:rPr>
                <w:rFonts w:ascii="Calibri" w:eastAsia="Times New Roman" w:hAnsi="Calibri" w:cs="Calibri"/>
                <w:color w:val="000000"/>
                <w:sz w:val="19"/>
                <w:szCs w:val="19"/>
                <w:lang w:val="en-GB"/>
              </w:rPr>
              <w:t>parties in accordance with the Law on Allocation for Use and Exchange of Municipal Immovable Property. Performance of the indicator is based on the evidence that inform the following criteria: (i) prepared and updated list with municipal assets planned to be allocated for use; and (ii) publication of the updated list of municipal properties planned to be allocated for use.</w:t>
            </w:r>
          </w:p>
        </w:tc>
      </w:tr>
      <w:tr w:rsidR="00214972" w:rsidRPr="001E5747" w14:paraId="22E442E7" w14:textId="77777777" w:rsidTr="00B739C3">
        <w:trPr>
          <w:trHeight w:val="494"/>
        </w:trPr>
        <w:tc>
          <w:tcPr>
            <w:tcW w:w="562" w:type="dxa"/>
            <w:tcBorders>
              <w:top w:val="single" w:sz="4" w:space="0" w:color="auto"/>
              <w:left w:val="single" w:sz="4" w:space="0" w:color="auto"/>
              <w:bottom w:val="single" w:sz="4" w:space="0" w:color="auto"/>
              <w:right w:val="single" w:sz="4" w:space="0" w:color="auto"/>
            </w:tcBorders>
            <w:shd w:val="clear" w:color="auto" w:fill="C6D9F1"/>
            <w:noWrap/>
            <w:vAlign w:val="center"/>
          </w:tcPr>
          <w:p w14:paraId="7C7204DB" w14:textId="77777777" w:rsidR="00214972" w:rsidRPr="001E5747" w:rsidRDefault="00214972" w:rsidP="00214972">
            <w:pPr>
              <w:contextualSpacing/>
              <w:jc w:val="center"/>
              <w:rPr>
                <w:rFonts w:ascii="Calibri" w:eastAsia="Times New Roman" w:hAnsi="Calibri" w:cs="Calibri"/>
                <w:color w:val="000000"/>
                <w:sz w:val="19"/>
                <w:szCs w:val="19"/>
                <w:lang w:val="en-GB"/>
              </w:rPr>
            </w:pPr>
            <w:r w:rsidRPr="001E5747">
              <w:rPr>
                <w:rFonts w:ascii="Calibri" w:eastAsia="Times New Roman" w:hAnsi="Calibri" w:cs="Calibri"/>
                <w:b/>
                <w:color w:val="000000"/>
                <w:sz w:val="19"/>
                <w:szCs w:val="19"/>
                <w:lang w:val="en-GB"/>
              </w:rPr>
              <w:t>VI</w:t>
            </w:r>
          </w:p>
        </w:tc>
        <w:tc>
          <w:tcPr>
            <w:tcW w:w="12578" w:type="dxa"/>
            <w:gridSpan w:val="2"/>
            <w:tcBorders>
              <w:top w:val="single" w:sz="4" w:space="0" w:color="auto"/>
              <w:left w:val="nil"/>
              <w:bottom w:val="single" w:sz="4" w:space="0" w:color="auto"/>
              <w:right w:val="single" w:sz="4" w:space="0" w:color="auto"/>
            </w:tcBorders>
            <w:shd w:val="clear" w:color="auto" w:fill="C6D9F1"/>
            <w:vAlign w:val="center"/>
          </w:tcPr>
          <w:p w14:paraId="3D312EFC" w14:textId="77777777" w:rsidR="00214972" w:rsidRPr="001E5747" w:rsidRDefault="00214972" w:rsidP="00214972">
            <w:pPr>
              <w:contextualSpacing/>
              <w:rPr>
                <w:rFonts w:ascii="Calibri" w:eastAsia="Times New Roman" w:hAnsi="Calibri" w:cs="Calibri"/>
                <w:color w:val="000000"/>
                <w:sz w:val="19"/>
                <w:szCs w:val="19"/>
                <w:lang w:val="en-GB"/>
              </w:rPr>
            </w:pPr>
            <w:r w:rsidRPr="001E5747">
              <w:rPr>
                <w:rFonts w:ascii="Calibri" w:eastAsia="Times New Roman" w:hAnsi="Calibri" w:cs="Calibri"/>
                <w:b/>
                <w:color w:val="000000"/>
                <w:sz w:val="19"/>
                <w:szCs w:val="19"/>
                <w:lang w:val="en-GB" w:eastAsia="af-ZA"/>
              </w:rPr>
              <w:t>Human resources management</w:t>
            </w:r>
          </w:p>
        </w:tc>
      </w:tr>
      <w:tr w:rsidR="00214972" w:rsidRPr="001E5747" w14:paraId="2DF02258" w14:textId="77777777" w:rsidTr="00E77FB0">
        <w:trPr>
          <w:trHeight w:val="401"/>
        </w:trPr>
        <w:tc>
          <w:tcPr>
            <w:tcW w:w="562"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29E76B17" w14:textId="77777777" w:rsidR="00214972" w:rsidRPr="001E5747" w:rsidRDefault="00214972" w:rsidP="00214972">
            <w:pPr>
              <w:contextualSpacing/>
              <w:jc w:val="center"/>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19</w:t>
            </w:r>
          </w:p>
        </w:tc>
        <w:tc>
          <w:tcPr>
            <w:tcW w:w="5828" w:type="dxa"/>
            <w:tcBorders>
              <w:top w:val="single" w:sz="4" w:space="0" w:color="auto"/>
              <w:left w:val="nil"/>
              <w:bottom w:val="single" w:sz="4" w:space="0" w:color="auto"/>
              <w:right w:val="single" w:sz="4" w:space="0" w:color="auto"/>
            </w:tcBorders>
            <w:shd w:val="clear" w:color="auto" w:fill="FFC000"/>
            <w:vAlign w:val="center"/>
          </w:tcPr>
          <w:p w14:paraId="2E041CA9" w14:textId="77777777" w:rsidR="00214972" w:rsidRPr="001E5747" w:rsidRDefault="00214972" w:rsidP="00214972">
            <w:pPr>
              <w:contextualSpacing/>
              <w:outlineLvl w:val="2"/>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eastAsia="af-ZA"/>
              </w:rPr>
              <w:t>Vacancies processed through the HRMIS</w:t>
            </w:r>
          </w:p>
        </w:tc>
        <w:tc>
          <w:tcPr>
            <w:tcW w:w="6750" w:type="dxa"/>
            <w:tcBorders>
              <w:top w:val="single" w:sz="4" w:space="0" w:color="auto"/>
              <w:left w:val="nil"/>
              <w:bottom w:val="single" w:sz="4" w:space="0" w:color="auto"/>
              <w:right w:val="single" w:sz="4" w:space="0" w:color="auto"/>
            </w:tcBorders>
            <w:shd w:val="clear" w:color="auto" w:fill="FFC000"/>
            <w:vAlign w:val="bottom"/>
          </w:tcPr>
          <w:p w14:paraId="6ECC47EC" w14:textId="77777777" w:rsidR="00214972" w:rsidRPr="001E5747" w:rsidRDefault="00214972" w:rsidP="00A0644E">
            <w:pPr>
              <w:spacing w:before="100"/>
              <w:jc w:val="both"/>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 xml:space="preserve">Indicator measures performance of the municipal authorities to ensure compliance with the management of human resources in the municipality, ensuring that all employment vacancies are processed via the electronic system HRMIS (human resources management information system). Performance of the indicator is assessed based on the provided information </w:t>
            </w:r>
            <w:r w:rsidR="00A0644E" w:rsidRPr="001E5747">
              <w:rPr>
                <w:rFonts w:ascii="Calibri" w:eastAsia="Times New Roman" w:hAnsi="Calibri" w:cs="Calibri"/>
                <w:color w:val="000000"/>
                <w:sz w:val="19"/>
                <w:szCs w:val="19"/>
                <w:lang w:val="en-GB"/>
              </w:rPr>
              <w:t>for:</w:t>
            </w:r>
            <w:r w:rsidRPr="001E5747">
              <w:rPr>
                <w:rFonts w:ascii="Calibri" w:eastAsia="Times New Roman" w:hAnsi="Calibri" w:cs="Calibri"/>
                <w:color w:val="000000"/>
                <w:sz w:val="19"/>
                <w:szCs w:val="19"/>
                <w:lang w:val="en-GB"/>
              </w:rPr>
              <w:t xml:space="preserve"> (i) total number of new employments of civil servants during the year in municipality and its subordinate institutions; and (ii) total number of new employments of civil servants during the year in municipality and its subordinate institutions processed via the HRMIS.</w:t>
            </w:r>
          </w:p>
        </w:tc>
      </w:tr>
      <w:tr w:rsidR="00214972" w:rsidRPr="001E5747" w14:paraId="13E6521C" w14:textId="77777777" w:rsidTr="00B739C3">
        <w:trPr>
          <w:trHeight w:val="401"/>
        </w:trPr>
        <w:tc>
          <w:tcPr>
            <w:tcW w:w="562" w:type="dxa"/>
            <w:tcBorders>
              <w:top w:val="single" w:sz="4" w:space="0" w:color="auto"/>
              <w:left w:val="single" w:sz="4" w:space="0" w:color="auto"/>
              <w:bottom w:val="single" w:sz="4" w:space="0" w:color="auto"/>
              <w:right w:val="single" w:sz="4" w:space="0" w:color="auto"/>
            </w:tcBorders>
            <w:shd w:val="clear" w:color="000000" w:fill="C2D69B"/>
            <w:noWrap/>
            <w:vAlign w:val="center"/>
          </w:tcPr>
          <w:p w14:paraId="70625C50" w14:textId="77777777" w:rsidR="00214972" w:rsidRPr="001E5747" w:rsidRDefault="00214972" w:rsidP="00214972">
            <w:pPr>
              <w:contextualSpacing/>
              <w:jc w:val="center"/>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20</w:t>
            </w:r>
          </w:p>
        </w:tc>
        <w:tc>
          <w:tcPr>
            <w:tcW w:w="5828" w:type="dxa"/>
            <w:tcBorders>
              <w:top w:val="single" w:sz="4" w:space="0" w:color="auto"/>
              <w:left w:val="nil"/>
              <w:bottom w:val="single" w:sz="4" w:space="0" w:color="auto"/>
              <w:right w:val="single" w:sz="4" w:space="0" w:color="auto"/>
            </w:tcBorders>
            <w:shd w:val="clear" w:color="000000" w:fill="C2D69B"/>
            <w:vAlign w:val="center"/>
          </w:tcPr>
          <w:p w14:paraId="087C5ACF" w14:textId="77777777" w:rsidR="00214972" w:rsidRPr="001E5747" w:rsidRDefault="00214972" w:rsidP="00214972">
            <w:pPr>
              <w:contextualSpacing/>
              <w:outlineLvl w:val="2"/>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Women in leadership positions in education, health and culture institutions</w:t>
            </w:r>
          </w:p>
        </w:tc>
        <w:tc>
          <w:tcPr>
            <w:tcW w:w="6750" w:type="dxa"/>
            <w:tcBorders>
              <w:top w:val="single" w:sz="4" w:space="0" w:color="auto"/>
              <w:left w:val="nil"/>
              <w:bottom w:val="single" w:sz="4" w:space="0" w:color="auto"/>
              <w:right w:val="single" w:sz="4" w:space="0" w:color="auto"/>
            </w:tcBorders>
            <w:shd w:val="clear" w:color="000000" w:fill="C2D69B"/>
            <w:vAlign w:val="bottom"/>
          </w:tcPr>
          <w:p w14:paraId="25B4607D" w14:textId="77777777" w:rsidR="00214972" w:rsidRPr="001E5747" w:rsidRDefault="00214972" w:rsidP="00A0644E">
            <w:pPr>
              <w:spacing w:before="100"/>
              <w:jc w:val="both"/>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 xml:space="preserve">Indicator measures the level of performance of municipal authorities with regards to achieved levels of gender equality in leadership positions in the subordinated intuitions of the municipality in the areas of education, healthcare, culture, and sports. Indicator measures the percentage of compliance with the gender equality target, measuring the percentage of women in high management position in municipal bodies and subordinate institutions. The legal basis for this indicator is Law No. 05/L -020 on Gender Equality and the Kosovo Gender Equality Program. </w:t>
            </w:r>
            <w:r w:rsidRPr="001E5747">
              <w:rPr>
                <w:rFonts w:ascii="Calibri" w:eastAsia="Times New Roman" w:hAnsi="Calibri" w:cs="Calibri"/>
                <w:color w:val="000000"/>
                <w:sz w:val="19"/>
                <w:szCs w:val="19"/>
                <w:lang w:val="en-GB"/>
              </w:rPr>
              <w:lastRenderedPageBreak/>
              <w:t>Performance of the indicator is established based on evidence on: (i) total employees in higher management positions in municipal bodies and subordinate institutions, and (ii) number of women in high management positions in municipal bodies and subordinate institutions.</w:t>
            </w:r>
          </w:p>
        </w:tc>
      </w:tr>
      <w:tr w:rsidR="00214972" w:rsidRPr="001E5747" w14:paraId="55F8EE22" w14:textId="77777777" w:rsidTr="00B739C3">
        <w:trPr>
          <w:trHeight w:val="401"/>
        </w:trPr>
        <w:tc>
          <w:tcPr>
            <w:tcW w:w="562" w:type="dxa"/>
            <w:tcBorders>
              <w:top w:val="single" w:sz="4" w:space="0" w:color="auto"/>
              <w:left w:val="single" w:sz="4" w:space="0" w:color="auto"/>
              <w:bottom w:val="single" w:sz="4" w:space="0" w:color="auto"/>
              <w:right w:val="single" w:sz="4" w:space="0" w:color="auto"/>
            </w:tcBorders>
            <w:shd w:val="clear" w:color="000000" w:fill="C2D69B"/>
            <w:noWrap/>
            <w:vAlign w:val="center"/>
          </w:tcPr>
          <w:p w14:paraId="05E8C694" w14:textId="77777777" w:rsidR="00214972" w:rsidRPr="001E5747" w:rsidRDefault="00214972" w:rsidP="00214972">
            <w:pPr>
              <w:contextualSpacing/>
              <w:jc w:val="center"/>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lastRenderedPageBreak/>
              <w:t>21</w:t>
            </w:r>
          </w:p>
        </w:tc>
        <w:tc>
          <w:tcPr>
            <w:tcW w:w="5828" w:type="dxa"/>
            <w:tcBorders>
              <w:top w:val="single" w:sz="4" w:space="0" w:color="auto"/>
              <w:left w:val="nil"/>
              <w:bottom w:val="single" w:sz="4" w:space="0" w:color="auto"/>
              <w:right w:val="single" w:sz="4" w:space="0" w:color="auto"/>
            </w:tcBorders>
            <w:shd w:val="clear" w:color="000000" w:fill="C2D69B"/>
            <w:vAlign w:val="center"/>
          </w:tcPr>
          <w:p w14:paraId="4E16DD67" w14:textId="77777777" w:rsidR="00214972" w:rsidRPr="001E5747" w:rsidRDefault="00214972" w:rsidP="00214972">
            <w:pPr>
              <w:contextualSpacing/>
              <w:outlineLvl w:val="2"/>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Women appointed in political positions in the municipality</w:t>
            </w:r>
          </w:p>
        </w:tc>
        <w:tc>
          <w:tcPr>
            <w:tcW w:w="6750" w:type="dxa"/>
            <w:tcBorders>
              <w:top w:val="single" w:sz="4" w:space="0" w:color="auto"/>
              <w:left w:val="nil"/>
              <w:bottom w:val="single" w:sz="4" w:space="0" w:color="auto"/>
              <w:right w:val="single" w:sz="4" w:space="0" w:color="auto"/>
            </w:tcBorders>
            <w:shd w:val="clear" w:color="000000" w:fill="C2D69B"/>
            <w:vAlign w:val="bottom"/>
          </w:tcPr>
          <w:p w14:paraId="5E3896C0" w14:textId="77777777" w:rsidR="00214972" w:rsidRPr="001E5747" w:rsidRDefault="00214972" w:rsidP="00A0644E">
            <w:pPr>
              <w:spacing w:before="100"/>
              <w:jc w:val="both"/>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Indicator measures the level of performance of municipal authorities with regards to achieved levels of gender equality in the politically nominated positions in the municipality structures. Indicator measures percentage of compliance with the gender equality target, measuring the percentage of women in politically nominated positions in the municipal authorities. Indicator measures the appointments in political positions such as the position of deputy mayor, municipal director, political advisor and other politically mandated positions. The legal basis for this indicator is the Law No. 05/L -020 on Gender Equality and the Kosovo Gender Equality Program. Performance of the indicator is established based on evidence on: (i) total persons in politically nominated positions in the municipality; and (ii) number of women in politically nominated positions in the municipality.</w:t>
            </w:r>
          </w:p>
          <w:p w14:paraId="3BFC37E4" w14:textId="77777777" w:rsidR="00214972" w:rsidRPr="001E5747" w:rsidRDefault="00214972" w:rsidP="00214972">
            <w:pPr>
              <w:spacing w:before="100"/>
              <w:rPr>
                <w:rFonts w:ascii="Calibri" w:eastAsia="Times New Roman" w:hAnsi="Calibri" w:cs="Calibri"/>
                <w:color w:val="000000"/>
                <w:sz w:val="19"/>
                <w:szCs w:val="19"/>
                <w:lang w:val="en-GB"/>
              </w:rPr>
            </w:pPr>
          </w:p>
        </w:tc>
      </w:tr>
      <w:tr w:rsidR="00214972" w:rsidRPr="001E5747" w14:paraId="764EBEB8" w14:textId="77777777" w:rsidTr="00B739C3">
        <w:trPr>
          <w:trHeight w:val="401"/>
        </w:trPr>
        <w:tc>
          <w:tcPr>
            <w:tcW w:w="13140" w:type="dxa"/>
            <w:gridSpan w:val="3"/>
            <w:tcBorders>
              <w:top w:val="single" w:sz="4" w:space="0" w:color="auto"/>
              <w:left w:val="single" w:sz="4" w:space="0" w:color="auto"/>
              <w:bottom w:val="single" w:sz="4" w:space="0" w:color="auto"/>
              <w:right w:val="single" w:sz="4" w:space="0" w:color="auto"/>
            </w:tcBorders>
            <w:shd w:val="clear" w:color="auto" w:fill="8DB3E2"/>
            <w:noWrap/>
            <w:vAlign w:val="center"/>
          </w:tcPr>
          <w:p w14:paraId="49D4730E" w14:textId="77777777" w:rsidR="00214972" w:rsidRPr="001E5747" w:rsidRDefault="00214972" w:rsidP="00214972">
            <w:pPr>
              <w:spacing w:before="100"/>
              <w:rPr>
                <w:rFonts w:ascii="Calibri" w:eastAsia="Times New Roman" w:hAnsi="Calibri" w:cs="Calibri"/>
                <w:b/>
                <w:color w:val="000000"/>
                <w:sz w:val="19"/>
                <w:szCs w:val="19"/>
                <w:lang w:val="en-GB"/>
              </w:rPr>
            </w:pPr>
            <w:r w:rsidRPr="001E5747">
              <w:rPr>
                <w:rFonts w:ascii="Calibri" w:eastAsia="Times New Roman" w:hAnsi="Calibri" w:cs="Calibri"/>
                <w:b/>
                <w:color w:val="000000"/>
                <w:sz w:val="19"/>
                <w:szCs w:val="19"/>
                <w:lang w:val="en-GB"/>
              </w:rPr>
              <w:t>III. DELIVERY OF SERVICES</w:t>
            </w:r>
          </w:p>
        </w:tc>
      </w:tr>
      <w:tr w:rsidR="00214972" w:rsidRPr="001E5747" w14:paraId="5468D1F2" w14:textId="77777777" w:rsidTr="00B739C3">
        <w:trPr>
          <w:trHeight w:val="401"/>
        </w:trPr>
        <w:tc>
          <w:tcPr>
            <w:tcW w:w="562" w:type="dxa"/>
            <w:tcBorders>
              <w:top w:val="single" w:sz="4" w:space="0" w:color="auto"/>
              <w:left w:val="single" w:sz="4" w:space="0" w:color="auto"/>
              <w:bottom w:val="single" w:sz="4" w:space="0" w:color="auto"/>
              <w:right w:val="single" w:sz="4" w:space="0" w:color="auto"/>
            </w:tcBorders>
            <w:shd w:val="clear" w:color="auto" w:fill="C6D9F1"/>
            <w:noWrap/>
            <w:vAlign w:val="center"/>
          </w:tcPr>
          <w:p w14:paraId="45F7827E" w14:textId="77777777" w:rsidR="00214972" w:rsidRPr="001E5747" w:rsidRDefault="00214972" w:rsidP="00214972">
            <w:pPr>
              <w:contextualSpacing/>
              <w:jc w:val="center"/>
              <w:rPr>
                <w:rFonts w:ascii="Calibri" w:eastAsia="Times New Roman" w:hAnsi="Calibri" w:cs="Calibri"/>
                <w:color w:val="000000"/>
                <w:sz w:val="19"/>
                <w:szCs w:val="19"/>
                <w:lang w:val="en-GB"/>
              </w:rPr>
            </w:pPr>
            <w:r w:rsidRPr="001E5747">
              <w:rPr>
                <w:rFonts w:ascii="Calibri" w:eastAsia="Times New Roman" w:hAnsi="Calibri" w:cs="Calibri"/>
                <w:b/>
                <w:bCs/>
                <w:color w:val="000000"/>
                <w:sz w:val="19"/>
                <w:szCs w:val="19"/>
                <w:lang w:val="en-GB"/>
              </w:rPr>
              <w:t>VII</w:t>
            </w:r>
          </w:p>
        </w:tc>
        <w:tc>
          <w:tcPr>
            <w:tcW w:w="12578" w:type="dxa"/>
            <w:gridSpan w:val="2"/>
            <w:tcBorders>
              <w:top w:val="single" w:sz="4" w:space="0" w:color="auto"/>
              <w:left w:val="nil"/>
              <w:right w:val="single" w:sz="4" w:space="0" w:color="auto"/>
            </w:tcBorders>
            <w:shd w:val="clear" w:color="auto" w:fill="C6D9F1"/>
            <w:vAlign w:val="center"/>
          </w:tcPr>
          <w:p w14:paraId="4355FA1C" w14:textId="77777777" w:rsidR="00214972" w:rsidRPr="001E5747" w:rsidRDefault="00214972" w:rsidP="00214972">
            <w:pPr>
              <w:spacing w:before="100"/>
              <w:rPr>
                <w:rFonts w:ascii="Calibri" w:eastAsia="Times New Roman" w:hAnsi="Calibri" w:cs="Calibri"/>
                <w:b/>
                <w:color w:val="000000"/>
                <w:sz w:val="19"/>
                <w:szCs w:val="19"/>
                <w:lang w:val="en-GB"/>
              </w:rPr>
            </w:pPr>
            <w:r w:rsidRPr="001E5747">
              <w:rPr>
                <w:rFonts w:ascii="Calibri" w:eastAsia="Times New Roman" w:hAnsi="Calibri" w:cs="Calibri"/>
                <w:b/>
                <w:color w:val="000000"/>
                <w:sz w:val="19"/>
                <w:szCs w:val="19"/>
                <w:lang w:val="en-GB"/>
              </w:rPr>
              <w:t>Administrative services</w:t>
            </w:r>
          </w:p>
        </w:tc>
      </w:tr>
      <w:tr w:rsidR="00214972" w:rsidRPr="001E5747" w14:paraId="19FD51BE" w14:textId="77777777" w:rsidTr="00B739C3">
        <w:trPr>
          <w:trHeight w:val="330"/>
        </w:trPr>
        <w:tc>
          <w:tcPr>
            <w:tcW w:w="562" w:type="dxa"/>
            <w:tcBorders>
              <w:top w:val="single" w:sz="4" w:space="0" w:color="auto"/>
              <w:left w:val="single" w:sz="4" w:space="0" w:color="auto"/>
              <w:bottom w:val="single" w:sz="4" w:space="0" w:color="auto"/>
              <w:right w:val="single" w:sz="4" w:space="0" w:color="auto"/>
            </w:tcBorders>
            <w:shd w:val="clear" w:color="auto" w:fill="C2D69B"/>
            <w:noWrap/>
            <w:vAlign w:val="center"/>
          </w:tcPr>
          <w:p w14:paraId="544B1F95" w14:textId="77777777" w:rsidR="00214972" w:rsidRPr="001E5747" w:rsidRDefault="00214972" w:rsidP="00214972">
            <w:pPr>
              <w:contextualSpacing/>
              <w:jc w:val="center"/>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22</w:t>
            </w:r>
          </w:p>
        </w:tc>
        <w:tc>
          <w:tcPr>
            <w:tcW w:w="5828" w:type="dxa"/>
            <w:tcBorders>
              <w:top w:val="single" w:sz="4" w:space="0" w:color="auto"/>
              <w:left w:val="nil"/>
              <w:bottom w:val="single" w:sz="4" w:space="0" w:color="auto"/>
              <w:right w:val="single" w:sz="4" w:space="0" w:color="auto"/>
            </w:tcBorders>
            <w:shd w:val="clear" w:color="auto" w:fill="C2D69B"/>
            <w:vAlign w:val="center"/>
          </w:tcPr>
          <w:p w14:paraId="61077BD5" w14:textId="77777777" w:rsidR="00214972" w:rsidRPr="001E5747" w:rsidRDefault="00214972" w:rsidP="00214972">
            <w:pPr>
              <w:contextualSpacing/>
              <w:outlineLvl w:val="2"/>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Cases of administrative requests reviewed within legal deadlines</w:t>
            </w:r>
          </w:p>
        </w:tc>
        <w:tc>
          <w:tcPr>
            <w:tcW w:w="6750" w:type="dxa"/>
            <w:tcBorders>
              <w:top w:val="single" w:sz="4" w:space="0" w:color="auto"/>
              <w:left w:val="nil"/>
              <w:bottom w:val="single" w:sz="4" w:space="0" w:color="auto"/>
              <w:right w:val="single" w:sz="4" w:space="0" w:color="auto"/>
            </w:tcBorders>
            <w:shd w:val="clear" w:color="auto" w:fill="C2D69B"/>
            <w:vAlign w:val="center"/>
          </w:tcPr>
          <w:p w14:paraId="77267903" w14:textId="77777777" w:rsidR="00214972" w:rsidRPr="001E5747" w:rsidRDefault="00214972" w:rsidP="00C149DB">
            <w:pPr>
              <w:spacing w:before="100"/>
              <w:jc w:val="both"/>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 xml:space="preserve">Indicator measures the effectiveness of the municipal authorities in reviewing requests submitted by citizens and organizations in the course of the evaluated year. Accordingly, municipal authorities are obliged to review all citizens’ applications within specific deadlines, depending on the nature/domain of the request. Only cases registered (submitted) via the Municipal Citizen Centre are considered and accounted for measurement purposes. Indicator measures the percentage of cases reviewed with respect to overall cases managed by the municipal system. Legal basis for the indicator is Law No. 05/L-031 on the General Administrative Procedure and a broad set of laws and bylaws that regulate specific durations of procedures. Performance of the indicator is assessed by obtaining information on: (i) number of cases reviewed </w:t>
            </w:r>
            <w:r w:rsidRPr="001E5747">
              <w:rPr>
                <w:rFonts w:ascii="Calibri" w:eastAsia="Times New Roman" w:hAnsi="Calibri" w:cs="Calibri"/>
                <w:color w:val="000000"/>
                <w:sz w:val="19"/>
                <w:szCs w:val="19"/>
                <w:lang w:val="en-GB"/>
              </w:rPr>
              <w:lastRenderedPageBreak/>
              <w:t>by the municipality during the year; and (ii) number of cases reviewed by the municipality within legal time limits.</w:t>
            </w:r>
          </w:p>
        </w:tc>
      </w:tr>
      <w:tr w:rsidR="00214972" w:rsidRPr="001E5747" w14:paraId="3F880757" w14:textId="77777777" w:rsidTr="00B739C3">
        <w:trPr>
          <w:trHeight w:val="381"/>
        </w:trPr>
        <w:tc>
          <w:tcPr>
            <w:tcW w:w="562" w:type="dxa"/>
            <w:tcBorders>
              <w:top w:val="nil"/>
              <w:left w:val="single" w:sz="4" w:space="0" w:color="auto"/>
              <w:bottom w:val="single" w:sz="4" w:space="0" w:color="auto"/>
              <w:right w:val="single" w:sz="4" w:space="0" w:color="auto"/>
            </w:tcBorders>
            <w:shd w:val="clear" w:color="auto" w:fill="C2D69B"/>
            <w:noWrap/>
            <w:vAlign w:val="center"/>
          </w:tcPr>
          <w:p w14:paraId="26359DFF" w14:textId="77777777" w:rsidR="00214972" w:rsidRPr="001E5747" w:rsidRDefault="00214972" w:rsidP="00214972">
            <w:pPr>
              <w:contextualSpacing/>
              <w:jc w:val="center"/>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lastRenderedPageBreak/>
              <w:t>23</w:t>
            </w:r>
          </w:p>
        </w:tc>
        <w:tc>
          <w:tcPr>
            <w:tcW w:w="5828" w:type="dxa"/>
            <w:tcBorders>
              <w:top w:val="nil"/>
              <w:left w:val="nil"/>
              <w:bottom w:val="single" w:sz="4" w:space="0" w:color="auto"/>
              <w:right w:val="single" w:sz="4" w:space="0" w:color="auto"/>
            </w:tcBorders>
            <w:shd w:val="clear" w:color="auto" w:fill="C2D69B"/>
            <w:vAlign w:val="center"/>
          </w:tcPr>
          <w:p w14:paraId="71FB0D69" w14:textId="77777777" w:rsidR="00214972" w:rsidRPr="001E5747" w:rsidRDefault="00214972" w:rsidP="00214972">
            <w:pPr>
              <w:contextualSpacing/>
              <w:outlineLvl w:val="2"/>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Reviewed requests for building permits</w:t>
            </w:r>
          </w:p>
        </w:tc>
        <w:tc>
          <w:tcPr>
            <w:tcW w:w="6750" w:type="dxa"/>
            <w:tcBorders>
              <w:top w:val="nil"/>
              <w:left w:val="nil"/>
              <w:bottom w:val="single" w:sz="4" w:space="0" w:color="auto"/>
              <w:right w:val="single" w:sz="4" w:space="0" w:color="auto"/>
            </w:tcBorders>
            <w:shd w:val="clear" w:color="auto" w:fill="C2D69B"/>
            <w:vAlign w:val="center"/>
          </w:tcPr>
          <w:p w14:paraId="473E63D0" w14:textId="77777777" w:rsidR="00214972" w:rsidRPr="001E5747" w:rsidRDefault="00214972" w:rsidP="00C149DB">
            <w:pPr>
              <w:spacing w:before="100"/>
              <w:jc w:val="both"/>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Indicator measures performance of municipal authorities with regards to the effectiveness of reviewing requests for building permits. Specifically, this indicator measures the percentage of reviewed applications, without prejudicing positive or negative outcomes of the building permit application, since eligibility or compliance of each or any of the applications for building permit may not be prejudiced. Percentage of reviewed submissions is based on the number of applications submitted in the course of the reported year. Legal basis for this indicator is Law No. 04/L-110 on Construction and the Law on Local Self-Government. Performance of the indicator is assessed based on the evidence available for the following criteria: (i) number of applications for construction permit in the course of the year; and (ii) number of applications reviewed in the course of the year.</w:t>
            </w:r>
          </w:p>
        </w:tc>
      </w:tr>
      <w:tr w:rsidR="00214972" w:rsidRPr="001E5747" w14:paraId="0F705F38" w14:textId="77777777" w:rsidTr="00B739C3">
        <w:trPr>
          <w:trHeight w:val="313"/>
        </w:trPr>
        <w:tc>
          <w:tcPr>
            <w:tcW w:w="562" w:type="dxa"/>
            <w:tcBorders>
              <w:top w:val="nil"/>
              <w:left w:val="single" w:sz="4" w:space="0" w:color="auto"/>
              <w:bottom w:val="single" w:sz="4" w:space="0" w:color="auto"/>
              <w:right w:val="single" w:sz="4" w:space="0" w:color="auto"/>
            </w:tcBorders>
            <w:shd w:val="clear" w:color="auto" w:fill="C6D9F1"/>
            <w:noWrap/>
            <w:vAlign w:val="center"/>
          </w:tcPr>
          <w:p w14:paraId="608E7A35" w14:textId="77777777" w:rsidR="00214972" w:rsidRPr="001E5747" w:rsidRDefault="00214972" w:rsidP="00214972">
            <w:pPr>
              <w:contextualSpacing/>
              <w:jc w:val="center"/>
              <w:rPr>
                <w:rFonts w:ascii="Calibri" w:eastAsia="Times New Roman" w:hAnsi="Calibri" w:cs="Calibri"/>
                <w:b/>
                <w:color w:val="000000"/>
                <w:sz w:val="19"/>
                <w:szCs w:val="19"/>
                <w:lang w:val="en-GB"/>
              </w:rPr>
            </w:pPr>
            <w:r w:rsidRPr="001E5747">
              <w:rPr>
                <w:rFonts w:ascii="Calibri" w:eastAsia="Times New Roman" w:hAnsi="Calibri" w:cs="Calibri"/>
                <w:b/>
                <w:color w:val="000000"/>
                <w:sz w:val="19"/>
                <w:szCs w:val="19"/>
                <w:lang w:val="en-GB"/>
              </w:rPr>
              <w:t>VIII</w:t>
            </w:r>
          </w:p>
        </w:tc>
        <w:tc>
          <w:tcPr>
            <w:tcW w:w="12578" w:type="dxa"/>
            <w:gridSpan w:val="2"/>
            <w:tcBorders>
              <w:top w:val="nil"/>
              <w:left w:val="nil"/>
              <w:bottom w:val="single" w:sz="4" w:space="0" w:color="auto"/>
              <w:right w:val="single" w:sz="4" w:space="0" w:color="auto"/>
            </w:tcBorders>
            <w:shd w:val="clear" w:color="auto" w:fill="C6D9F1"/>
            <w:vAlign w:val="center"/>
          </w:tcPr>
          <w:p w14:paraId="54F328C8" w14:textId="77777777" w:rsidR="00214972" w:rsidRPr="001E5747" w:rsidRDefault="00214972" w:rsidP="00214972">
            <w:pPr>
              <w:spacing w:before="100"/>
              <w:rPr>
                <w:rFonts w:ascii="Calibri" w:eastAsia="Times New Roman" w:hAnsi="Calibri" w:cs="Calibri"/>
                <w:b/>
                <w:color w:val="000000"/>
                <w:sz w:val="19"/>
                <w:szCs w:val="19"/>
                <w:lang w:val="en-GB"/>
              </w:rPr>
            </w:pPr>
            <w:r w:rsidRPr="001E5747">
              <w:rPr>
                <w:rFonts w:ascii="Calibri" w:eastAsia="Times New Roman" w:hAnsi="Calibri" w:cs="Calibri"/>
                <w:b/>
                <w:color w:val="000000"/>
                <w:sz w:val="19"/>
                <w:szCs w:val="19"/>
                <w:lang w:val="en-GB"/>
              </w:rPr>
              <w:t>Spatial planning, public transport and environment</w:t>
            </w:r>
          </w:p>
        </w:tc>
      </w:tr>
      <w:tr w:rsidR="00214972" w:rsidRPr="001E5747" w14:paraId="3D5177AF" w14:textId="77777777" w:rsidTr="00B739C3">
        <w:trPr>
          <w:trHeight w:val="518"/>
        </w:trPr>
        <w:tc>
          <w:tcPr>
            <w:tcW w:w="562" w:type="dxa"/>
            <w:tcBorders>
              <w:top w:val="single" w:sz="4" w:space="0" w:color="auto"/>
              <w:left w:val="single" w:sz="4" w:space="0" w:color="auto"/>
              <w:bottom w:val="single" w:sz="4" w:space="0" w:color="auto"/>
              <w:right w:val="single" w:sz="4" w:space="0" w:color="auto"/>
            </w:tcBorders>
            <w:shd w:val="clear" w:color="auto" w:fill="C2D69B"/>
            <w:noWrap/>
            <w:vAlign w:val="center"/>
          </w:tcPr>
          <w:p w14:paraId="6501A3A9" w14:textId="77777777" w:rsidR="00214972" w:rsidRPr="001E5747" w:rsidRDefault="00214972" w:rsidP="00214972">
            <w:pPr>
              <w:contextualSpacing/>
              <w:jc w:val="center"/>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24</w:t>
            </w:r>
          </w:p>
        </w:tc>
        <w:tc>
          <w:tcPr>
            <w:tcW w:w="5828" w:type="dxa"/>
            <w:tcBorders>
              <w:top w:val="single" w:sz="4" w:space="0" w:color="auto"/>
              <w:left w:val="nil"/>
              <w:bottom w:val="single" w:sz="4" w:space="0" w:color="auto"/>
              <w:right w:val="single" w:sz="4" w:space="0" w:color="auto"/>
            </w:tcBorders>
            <w:shd w:val="clear" w:color="auto" w:fill="C2D69B"/>
            <w:vAlign w:val="center"/>
          </w:tcPr>
          <w:p w14:paraId="0AF06CB4" w14:textId="77777777" w:rsidR="00214972" w:rsidRPr="001E5747" w:rsidRDefault="00214972" w:rsidP="00214972">
            <w:pPr>
              <w:contextualSpacing/>
              <w:outlineLvl w:val="2"/>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Area of municipal territory covered by (detailed) regulatory plans</w:t>
            </w:r>
            <w:r w:rsidR="00E804BF">
              <w:rPr>
                <w:rFonts w:ascii="Calibri" w:eastAsia="Times New Roman" w:hAnsi="Calibri" w:cs="Calibri"/>
                <w:color w:val="000000"/>
                <w:sz w:val="19"/>
                <w:szCs w:val="19"/>
                <w:lang w:val="en-GB"/>
              </w:rPr>
              <w:t xml:space="preserve"> or zoning maps</w:t>
            </w:r>
          </w:p>
          <w:p w14:paraId="4486F4DB" w14:textId="77777777" w:rsidR="00214972" w:rsidRPr="001E5747" w:rsidRDefault="00214972" w:rsidP="00214972">
            <w:pPr>
              <w:contextualSpacing/>
              <w:outlineLvl w:val="2"/>
              <w:rPr>
                <w:rFonts w:ascii="Calibri" w:eastAsia="Times New Roman" w:hAnsi="Calibri" w:cs="Calibri"/>
                <w:color w:val="000000"/>
                <w:sz w:val="19"/>
                <w:szCs w:val="19"/>
                <w:lang w:val="en-GB"/>
              </w:rPr>
            </w:pPr>
          </w:p>
        </w:tc>
        <w:tc>
          <w:tcPr>
            <w:tcW w:w="6750" w:type="dxa"/>
            <w:tcBorders>
              <w:top w:val="single" w:sz="4" w:space="0" w:color="auto"/>
              <w:left w:val="nil"/>
              <w:bottom w:val="single" w:sz="4" w:space="0" w:color="auto"/>
              <w:right w:val="single" w:sz="4" w:space="0" w:color="auto"/>
            </w:tcBorders>
            <w:shd w:val="clear" w:color="auto" w:fill="C2D69B"/>
            <w:vAlign w:val="center"/>
          </w:tcPr>
          <w:p w14:paraId="086C49A2" w14:textId="77777777" w:rsidR="00214972" w:rsidRPr="001E5747" w:rsidRDefault="00214972" w:rsidP="00C149DB">
            <w:pPr>
              <w:spacing w:before="100"/>
              <w:jc w:val="both"/>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Indicator measures performance of the municipal authorities in their discharge of mandate to produce and implement legal instruments that regulate land use, such as detailed regulatory plans. Specifically, indicator measures percent</w:t>
            </w:r>
            <w:r w:rsidR="00201E60">
              <w:rPr>
                <w:rFonts w:ascii="Calibri" w:eastAsia="Times New Roman" w:hAnsi="Calibri" w:cs="Calibri"/>
                <w:color w:val="000000"/>
                <w:sz w:val="19"/>
                <w:szCs w:val="19"/>
                <w:lang w:val="en-GB"/>
              </w:rPr>
              <w:t>age</w:t>
            </w:r>
            <w:r w:rsidRPr="001E5747">
              <w:rPr>
                <w:rFonts w:ascii="Calibri" w:eastAsia="Times New Roman" w:hAnsi="Calibri" w:cs="Calibri"/>
                <w:color w:val="000000"/>
                <w:sz w:val="19"/>
                <w:szCs w:val="19"/>
                <w:lang w:val="en-GB"/>
              </w:rPr>
              <w:t xml:space="preserve"> of municipal territory that is covered with detailed regulatory plans or zonal maps as legal instruments that regulate use of land. Performance is measured as percentage of territory that is covered with either zonal maps or detailed regulatory plans. Legal basis for this indicator is Law No. 04/L-174 on Spatial Planning. Performance level of the indicator is based on the evidence provided for the following criteria: (i) total area of the municipality in ha; (ii) total area of the municipality that is covered with planning instruments. i.e. Detailed Regulatory Plan or Zonal Map in ha.</w:t>
            </w:r>
          </w:p>
        </w:tc>
      </w:tr>
      <w:tr w:rsidR="00214972" w:rsidRPr="001E5747" w14:paraId="4A851E82" w14:textId="77777777" w:rsidTr="00B739C3">
        <w:trPr>
          <w:trHeight w:val="446"/>
        </w:trPr>
        <w:tc>
          <w:tcPr>
            <w:tcW w:w="562" w:type="dxa"/>
            <w:tcBorders>
              <w:top w:val="single" w:sz="4" w:space="0" w:color="auto"/>
              <w:left w:val="single" w:sz="4" w:space="0" w:color="auto"/>
              <w:bottom w:val="single" w:sz="4" w:space="0" w:color="auto"/>
              <w:right w:val="single" w:sz="4" w:space="0" w:color="auto"/>
            </w:tcBorders>
            <w:shd w:val="clear" w:color="auto" w:fill="C2D69B"/>
            <w:noWrap/>
            <w:vAlign w:val="center"/>
          </w:tcPr>
          <w:p w14:paraId="79695860" w14:textId="77777777" w:rsidR="00214972" w:rsidRPr="001E5747" w:rsidRDefault="00214972" w:rsidP="00214972">
            <w:pPr>
              <w:contextualSpacing/>
              <w:jc w:val="center"/>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25</w:t>
            </w:r>
          </w:p>
        </w:tc>
        <w:tc>
          <w:tcPr>
            <w:tcW w:w="5828" w:type="dxa"/>
            <w:tcBorders>
              <w:top w:val="single" w:sz="4" w:space="0" w:color="auto"/>
              <w:left w:val="nil"/>
              <w:bottom w:val="single" w:sz="4" w:space="0" w:color="auto"/>
              <w:right w:val="single" w:sz="4" w:space="0" w:color="auto"/>
            </w:tcBorders>
            <w:shd w:val="clear" w:color="auto" w:fill="C2D69B"/>
            <w:vAlign w:val="center"/>
          </w:tcPr>
          <w:p w14:paraId="597058FA" w14:textId="77777777" w:rsidR="00214972" w:rsidRPr="001E5747" w:rsidRDefault="00214972" w:rsidP="00214972">
            <w:pPr>
              <w:contextualSpacing/>
              <w:outlineLvl w:val="2"/>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Settlements covered by local public transport</w:t>
            </w:r>
          </w:p>
        </w:tc>
        <w:tc>
          <w:tcPr>
            <w:tcW w:w="6750" w:type="dxa"/>
            <w:tcBorders>
              <w:top w:val="single" w:sz="4" w:space="0" w:color="auto"/>
              <w:left w:val="nil"/>
              <w:bottom w:val="single" w:sz="4" w:space="0" w:color="auto"/>
              <w:right w:val="single" w:sz="4" w:space="0" w:color="auto"/>
            </w:tcBorders>
            <w:shd w:val="clear" w:color="auto" w:fill="C2D69B"/>
            <w:vAlign w:val="center"/>
          </w:tcPr>
          <w:p w14:paraId="461263A2" w14:textId="77777777" w:rsidR="00214972" w:rsidRPr="001E5747" w:rsidRDefault="00214972" w:rsidP="00C149DB">
            <w:pPr>
              <w:spacing w:before="100"/>
              <w:jc w:val="both"/>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 xml:space="preserve">Indicator measures the performance of municipality with regards to organizing public transportation services for each and every settlement in the municipality, and for the benefit of its citizens. Performance is measured as the percentage of settlements that are included in the public transport system in relation to the total number of settlements in the municipality. Legal basis for this indicator is given in the Law for Local Self-Government, and Law No. 04/L-179 on Road Transportation. Performance of the indicator is assessed based on the evidence regarding the following criteria: (i) </w:t>
            </w:r>
            <w:r w:rsidRPr="001E5747">
              <w:rPr>
                <w:rFonts w:ascii="Calibri" w:eastAsia="Times New Roman" w:hAnsi="Calibri" w:cs="Calibri"/>
                <w:color w:val="000000"/>
                <w:sz w:val="19"/>
                <w:szCs w:val="19"/>
                <w:lang w:val="en-GB"/>
              </w:rPr>
              <w:lastRenderedPageBreak/>
              <w:t>number of settlements in the municipality; and (ii) number of settlements provided/covered with public transportation.</w:t>
            </w:r>
          </w:p>
        </w:tc>
      </w:tr>
      <w:tr w:rsidR="00214972" w:rsidRPr="001E5747" w14:paraId="5FA38839" w14:textId="77777777" w:rsidTr="00B739C3">
        <w:trPr>
          <w:trHeight w:val="446"/>
        </w:trPr>
        <w:tc>
          <w:tcPr>
            <w:tcW w:w="562" w:type="dxa"/>
            <w:tcBorders>
              <w:top w:val="single" w:sz="4" w:space="0" w:color="auto"/>
              <w:left w:val="single" w:sz="4" w:space="0" w:color="auto"/>
              <w:bottom w:val="single" w:sz="4" w:space="0" w:color="auto"/>
              <w:right w:val="single" w:sz="4" w:space="0" w:color="auto"/>
            </w:tcBorders>
            <w:shd w:val="clear" w:color="auto" w:fill="C2D69B"/>
            <w:noWrap/>
            <w:vAlign w:val="center"/>
          </w:tcPr>
          <w:p w14:paraId="6FF04734" w14:textId="77777777" w:rsidR="00214972" w:rsidRPr="001E5747" w:rsidRDefault="00214972" w:rsidP="00214972">
            <w:pPr>
              <w:contextualSpacing/>
              <w:jc w:val="center"/>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lastRenderedPageBreak/>
              <w:t>26</w:t>
            </w:r>
          </w:p>
        </w:tc>
        <w:tc>
          <w:tcPr>
            <w:tcW w:w="5828" w:type="dxa"/>
            <w:tcBorders>
              <w:top w:val="single" w:sz="4" w:space="0" w:color="auto"/>
              <w:left w:val="nil"/>
              <w:bottom w:val="single" w:sz="4" w:space="0" w:color="auto"/>
              <w:right w:val="single" w:sz="4" w:space="0" w:color="auto"/>
            </w:tcBorders>
            <w:shd w:val="clear" w:color="auto" w:fill="C2D69B"/>
            <w:vAlign w:val="center"/>
          </w:tcPr>
          <w:p w14:paraId="6FE877E5" w14:textId="77777777" w:rsidR="00214972" w:rsidRPr="001E5747" w:rsidRDefault="00214972" w:rsidP="00214972">
            <w:pPr>
              <w:contextualSpacing/>
              <w:outlineLvl w:val="2"/>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Implementation of the local environmental</w:t>
            </w:r>
          </w:p>
          <w:p w14:paraId="444C7C82" w14:textId="77777777" w:rsidR="00214972" w:rsidRPr="001E5747" w:rsidRDefault="00214972" w:rsidP="00214972">
            <w:pPr>
              <w:contextualSpacing/>
              <w:outlineLvl w:val="2"/>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action plan</w:t>
            </w:r>
          </w:p>
        </w:tc>
        <w:tc>
          <w:tcPr>
            <w:tcW w:w="6750" w:type="dxa"/>
            <w:tcBorders>
              <w:top w:val="single" w:sz="4" w:space="0" w:color="auto"/>
              <w:left w:val="nil"/>
              <w:bottom w:val="single" w:sz="4" w:space="0" w:color="auto"/>
              <w:right w:val="single" w:sz="4" w:space="0" w:color="auto"/>
            </w:tcBorders>
            <w:shd w:val="clear" w:color="auto" w:fill="C2D69B"/>
            <w:vAlign w:val="center"/>
          </w:tcPr>
          <w:p w14:paraId="45516BDB" w14:textId="77777777" w:rsidR="00214972" w:rsidRPr="001E5747" w:rsidRDefault="00214972" w:rsidP="00C149DB">
            <w:pPr>
              <w:spacing w:before="100"/>
              <w:jc w:val="both"/>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Indicator measures the performance of the municipality in preparing and implementing local action plans, which represent the necessary local action plans for environmental protection. Performance is measured by the implementation of the annual activities specified in the plan. Consequently, performance measurement in developing the planning document for the environmental protection action plan is also measured through implementation. The legal basis for this indicator is provided in Law on 03/L-025 on Environment Protection. Indicator performance is assessed based on the information available for the following criteria: (i) number of planned local environmental action activities; and (ii) number of implemented activities from the list of planned actions.</w:t>
            </w:r>
          </w:p>
        </w:tc>
      </w:tr>
      <w:tr w:rsidR="00214972" w:rsidRPr="001E5747" w14:paraId="72EB89B6" w14:textId="77777777" w:rsidTr="00B739C3">
        <w:trPr>
          <w:trHeight w:val="446"/>
        </w:trPr>
        <w:tc>
          <w:tcPr>
            <w:tcW w:w="562" w:type="dxa"/>
            <w:tcBorders>
              <w:top w:val="single" w:sz="4" w:space="0" w:color="auto"/>
              <w:left w:val="single" w:sz="4" w:space="0" w:color="auto"/>
              <w:bottom w:val="single" w:sz="4" w:space="0" w:color="auto"/>
              <w:right w:val="single" w:sz="4" w:space="0" w:color="auto"/>
            </w:tcBorders>
            <w:shd w:val="clear" w:color="auto" w:fill="C6D9F1"/>
            <w:noWrap/>
            <w:vAlign w:val="center"/>
          </w:tcPr>
          <w:p w14:paraId="1FADE07B" w14:textId="77777777" w:rsidR="00214972" w:rsidRPr="001E5747" w:rsidRDefault="00214972" w:rsidP="00214972">
            <w:pPr>
              <w:contextualSpacing/>
              <w:jc w:val="center"/>
              <w:rPr>
                <w:rFonts w:ascii="Calibri" w:eastAsia="Times New Roman" w:hAnsi="Calibri" w:cs="Calibri"/>
                <w:b/>
                <w:color w:val="000000"/>
                <w:sz w:val="19"/>
                <w:szCs w:val="19"/>
                <w:lang w:val="en-GB"/>
              </w:rPr>
            </w:pPr>
            <w:r w:rsidRPr="001E5747">
              <w:rPr>
                <w:rFonts w:ascii="Calibri" w:eastAsia="Times New Roman" w:hAnsi="Calibri" w:cs="Calibri"/>
                <w:b/>
                <w:color w:val="000000"/>
                <w:sz w:val="19"/>
                <w:szCs w:val="19"/>
                <w:lang w:val="en-GB"/>
              </w:rPr>
              <w:t>IX</w:t>
            </w:r>
          </w:p>
        </w:tc>
        <w:tc>
          <w:tcPr>
            <w:tcW w:w="12578" w:type="dxa"/>
            <w:gridSpan w:val="2"/>
            <w:tcBorders>
              <w:top w:val="single" w:sz="4" w:space="0" w:color="auto"/>
              <w:left w:val="nil"/>
              <w:bottom w:val="single" w:sz="4" w:space="0" w:color="auto"/>
              <w:right w:val="single" w:sz="4" w:space="0" w:color="auto"/>
            </w:tcBorders>
            <w:shd w:val="clear" w:color="auto" w:fill="C6D9F1"/>
            <w:vAlign w:val="center"/>
          </w:tcPr>
          <w:p w14:paraId="6C898621" w14:textId="77777777" w:rsidR="00214972" w:rsidRPr="001E5747" w:rsidRDefault="00214972" w:rsidP="00214972">
            <w:pPr>
              <w:spacing w:before="100"/>
              <w:rPr>
                <w:rFonts w:ascii="Calibri" w:eastAsia="Times New Roman" w:hAnsi="Calibri" w:cs="Calibri"/>
                <w:b/>
                <w:color w:val="000000"/>
                <w:sz w:val="19"/>
                <w:szCs w:val="19"/>
                <w:lang w:val="en-GB"/>
              </w:rPr>
            </w:pPr>
            <w:r w:rsidRPr="001E5747">
              <w:rPr>
                <w:rFonts w:ascii="Calibri" w:eastAsia="Times New Roman" w:hAnsi="Calibri" w:cs="Calibri"/>
                <w:b/>
                <w:color w:val="000000"/>
                <w:sz w:val="19"/>
                <w:szCs w:val="19"/>
                <w:lang w:val="en-GB"/>
              </w:rPr>
              <w:t>Pre-university education</w:t>
            </w:r>
          </w:p>
        </w:tc>
      </w:tr>
      <w:tr w:rsidR="00214972" w:rsidRPr="001E5747" w14:paraId="4F87FE02" w14:textId="77777777" w:rsidTr="00E77FB0">
        <w:trPr>
          <w:trHeight w:val="428"/>
        </w:trPr>
        <w:tc>
          <w:tcPr>
            <w:tcW w:w="562"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510EF058" w14:textId="77777777" w:rsidR="00214972" w:rsidRPr="001E5747" w:rsidRDefault="00214972" w:rsidP="00214972">
            <w:pPr>
              <w:contextualSpacing/>
              <w:jc w:val="center"/>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27</w:t>
            </w:r>
          </w:p>
        </w:tc>
        <w:tc>
          <w:tcPr>
            <w:tcW w:w="5828" w:type="dxa"/>
            <w:tcBorders>
              <w:top w:val="single" w:sz="4" w:space="0" w:color="auto"/>
              <w:left w:val="nil"/>
              <w:bottom w:val="single" w:sz="4" w:space="0" w:color="auto"/>
              <w:right w:val="single" w:sz="4" w:space="0" w:color="auto"/>
            </w:tcBorders>
            <w:shd w:val="clear" w:color="auto" w:fill="FFC000"/>
            <w:vAlign w:val="center"/>
          </w:tcPr>
          <w:p w14:paraId="45274918" w14:textId="77777777" w:rsidR="00214972" w:rsidRPr="001E5747" w:rsidRDefault="00214972" w:rsidP="00214972">
            <w:pPr>
              <w:contextualSpacing/>
              <w:outlineLvl w:val="2"/>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Children attending</w:t>
            </w:r>
          </w:p>
          <w:p w14:paraId="0F2BF17E" w14:textId="77777777" w:rsidR="00214972" w:rsidRPr="001E5747" w:rsidRDefault="00214972" w:rsidP="00214972">
            <w:pPr>
              <w:contextualSpacing/>
              <w:outlineLvl w:val="2"/>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Kindergarten – rural and overall</w:t>
            </w:r>
          </w:p>
        </w:tc>
        <w:tc>
          <w:tcPr>
            <w:tcW w:w="6750" w:type="dxa"/>
            <w:tcBorders>
              <w:top w:val="single" w:sz="4" w:space="0" w:color="auto"/>
              <w:left w:val="nil"/>
              <w:bottom w:val="single" w:sz="4" w:space="0" w:color="auto"/>
              <w:right w:val="single" w:sz="4" w:space="0" w:color="auto"/>
            </w:tcBorders>
            <w:shd w:val="clear" w:color="auto" w:fill="FFC000"/>
            <w:vAlign w:val="center"/>
          </w:tcPr>
          <w:p w14:paraId="23DC2519" w14:textId="77777777" w:rsidR="00214972" w:rsidRPr="001E5747" w:rsidRDefault="00214972" w:rsidP="00C149DB">
            <w:pPr>
              <w:spacing w:before="100"/>
              <w:jc w:val="both"/>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Indicator measures the performance of the municipal authorities to increase the number of children that attend kindergartens as part of the early education. Indicator provides percentage of children of age 0-3 that attend kindergartens, measured for all children of the age in the municipality and for children in rural areas. Challenge for the municipality is to build, and run kindergartens to meet the demand of the population. Indicator also collects disaggregated data on gender of children/attendance of girls. Performance of the indicator is assessed from the evidence for the following criteria: (i) number of children of age 0-3 in total, rural, and girls; (ii) number of children of age 0-3 that are enrolled in kindergarten in total, rural, and girls.</w:t>
            </w:r>
          </w:p>
        </w:tc>
      </w:tr>
      <w:tr w:rsidR="00214972" w:rsidRPr="001E5747" w14:paraId="187AE65E" w14:textId="77777777" w:rsidTr="00B739C3">
        <w:trPr>
          <w:trHeight w:val="446"/>
        </w:trPr>
        <w:tc>
          <w:tcPr>
            <w:tcW w:w="562" w:type="dxa"/>
            <w:tcBorders>
              <w:top w:val="nil"/>
              <w:left w:val="single" w:sz="4" w:space="0" w:color="auto"/>
              <w:bottom w:val="single" w:sz="4" w:space="0" w:color="auto"/>
              <w:right w:val="single" w:sz="4" w:space="0" w:color="auto"/>
            </w:tcBorders>
            <w:shd w:val="clear" w:color="auto" w:fill="C2D69B"/>
            <w:noWrap/>
            <w:vAlign w:val="center"/>
          </w:tcPr>
          <w:p w14:paraId="2F2868F8" w14:textId="77777777" w:rsidR="00214972" w:rsidRPr="001E5747" w:rsidRDefault="00214972" w:rsidP="00214972">
            <w:pPr>
              <w:contextualSpacing/>
              <w:jc w:val="center"/>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28</w:t>
            </w:r>
          </w:p>
        </w:tc>
        <w:tc>
          <w:tcPr>
            <w:tcW w:w="5828" w:type="dxa"/>
            <w:tcBorders>
              <w:top w:val="nil"/>
              <w:left w:val="nil"/>
              <w:bottom w:val="single" w:sz="4" w:space="0" w:color="auto"/>
              <w:right w:val="single" w:sz="4" w:space="0" w:color="auto"/>
            </w:tcBorders>
            <w:shd w:val="clear" w:color="auto" w:fill="C2D69B"/>
            <w:vAlign w:val="center"/>
          </w:tcPr>
          <w:p w14:paraId="3C4FCE8E" w14:textId="77777777" w:rsidR="00214972" w:rsidRPr="001E5747" w:rsidRDefault="00214972" w:rsidP="00214972">
            <w:pPr>
              <w:contextualSpacing/>
              <w:outlineLvl w:val="2"/>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Matura test (grade 12) results</w:t>
            </w:r>
          </w:p>
        </w:tc>
        <w:tc>
          <w:tcPr>
            <w:tcW w:w="6750" w:type="dxa"/>
            <w:tcBorders>
              <w:top w:val="nil"/>
              <w:left w:val="nil"/>
              <w:bottom w:val="single" w:sz="4" w:space="0" w:color="auto"/>
              <w:right w:val="single" w:sz="4" w:space="0" w:color="auto"/>
            </w:tcBorders>
            <w:shd w:val="clear" w:color="auto" w:fill="C2D69B"/>
            <w:vAlign w:val="center"/>
          </w:tcPr>
          <w:p w14:paraId="5CB3FCF8" w14:textId="77777777" w:rsidR="00214972" w:rsidRPr="001E5747" w:rsidRDefault="00214972" w:rsidP="00C149DB">
            <w:pPr>
              <w:spacing w:before="100"/>
              <w:jc w:val="both"/>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 xml:space="preserve">Indicator measures the general level of passing the required threshold as a condition for recognizing the passing of the state Matura exam, namely evaluates the learning achievements of students at the level of completion of the 12th grade, i.e. in the upper secondary level. At the end of grade 12, students sit for a state Matura exam, with the threshold for passing set at 40%, students that pass have the right to continue in upper education. Legal basis for this indicator is Law No. 05/L-018 on Final Exam and State Matura. Performance of the indicator is assessed at percentage of </w:t>
            </w:r>
            <w:r w:rsidRPr="001E5747">
              <w:rPr>
                <w:rFonts w:ascii="Calibri" w:eastAsia="Times New Roman" w:hAnsi="Calibri" w:cs="Calibri"/>
                <w:color w:val="000000"/>
                <w:sz w:val="19"/>
                <w:szCs w:val="19"/>
                <w:lang w:val="en-GB"/>
              </w:rPr>
              <w:lastRenderedPageBreak/>
              <w:t>students that have scored above 40% of the points in the test. Specifically, evidence is needed for the following criteria: (i) number of students that have completed 12 grade, disaggregated by gender; and (ii) number of students that have completed the test with a score 40% or higher, disaggregated by gender.</w:t>
            </w:r>
          </w:p>
          <w:p w14:paraId="7FFC98B2" w14:textId="77777777" w:rsidR="00214972" w:rsidRPr="001E5747" w:rsidRDefault="00214972" w:rsidP="00214972">
            <w:pPr>
              <w:spacing w:before="100"/>
              <w:rPr>
                <w:rFonts w:ascii="Calibri" w:eastAsia="Times New Roman" w:hAnsi="Calibri" w:cs="Calibri"/>
                <w:color w:val="000000"/>
                <w:sz w:val="19"/>
                <w:szCs w:val="19"/>
                <w:lang w:val="en-GB"/>
              </w:rPr>
            </w:pPr>
          </w:p>
        </w:tc>
      </w:tr>
      <w:tr w:rsidR="00214972" w:rsidRPr="001E5747" w14:paraId="0E97D1E3" w14:textId="77777777" w:rsidTr="00B739C3">
        <w:trPr>
          <w:trHeight w:val="446"/>
        </w:trPr>
        <w:tc>
          <w:tcPr>
            <w:tcW w:w="562" w:type="dxa"/>
            <w:tcBorders>
              <w:top w:val="nil"/>
              <w:left w:val="single" w:sz="4" w:space="0" w:color="auto"/>
              <w:bottom w:val="single" w:sz="4" w:space="0" w:color="auto"/>
              <w:right w:val="single" w:sz="4" w:space="0" w:color="auto"/>
            </w:tcBorders>
            <w:shd w:val="clear" w:color="auto" w:fill="C6D9F1"/>
            <w:noWrap/>
            <w:vAlign w:val="center"/>
          </w:tcPr>
          <w:p w14:paraId="3DE467CF" w14:textId="77777777" w:rsidR="00214972" w:rsidRPr="001E5747" w:rsidRDefault="00214972" w:rsidP="00214972">
            <w:pPr>
              <w:contextualSpacing/>
              <w:jc w:val="center"/>
              <w:rPr>
                <w:rFonts w:ascii="Calibri" w:eastAsia="Times New Roman" w:hAnsi="Calibri" w:cs="Calibri"/>
                <w:b/>
                <w:color w:val="000000"/>
                <w:sz w:val="19"/>
                <w:szCs w:val="19"/>
                <w:lang w:val="en-GB"/>
              </w:rPr>
            </w:pPr>
            <w:r w:rsidRPr="001E5747">
              <w:rPr>
                <w:rFonts w:ascii="Calibri" w:eastAsia="Times New Roman" w:hAnsi="Calibri" w:cs="Calibri"/>
                <w:b/>
                <w:color w:val="000000"/>
                <w:sz w:val="19"/>
                <w:szCs w:val="19"/>
                <w:lang w:val="en-GB"/>
              </w:rPr>
              <w:lastRenderedPageBreak/>
              <w:t>X</w:t>
            </w:r>
          </w:p>
        </w:tc>
        <w:tc>
          <w:tcPr>
            <w:tcW w:w="12578" w:type="dxa"/>
            <w:gridSpan w:val="2"/>
            <w:tcBorders>
              <w:top w:val="nil"/>
              <w:left w:val="nil"/>
              <w:bottom w:val="single" w:sz="4" w:space="0" w:color="auto"/>
              <w:right w:val="single" w:sz="4" w:space="0" w:color="auto"/>
            </w:tcBorders>
            <w:shd w:val="clear" w:color="auto" w:fill="C6D9F1"/>
            <w:vAlign w:val="center"/>
          </w:tcPr>
          <w:p w14:paraId="7E6F4ADC" w14:textId="77777777" w:rsidR="00214972" w:rsidRPr="001E5747" w:rsidRDefault="00214972" w:rsidP="00214972">
            <w:pPr>
              <w:spacing w:before="100"/>
              <w:rPr>
                <w:rFonts w:ascii="Calibri" w:eastAsia="Times New Roman" w:hAnsi="Calibri" w:cs="Calibri"/>
                <w:b/>
                <w:color w:val="000000"/>
                <w:sz w:val="19"/>
                <w:szCs w:val="19"/>
                <w:lang w:val="en-GB"/>
              </w:rPr>
            </w:pPr>
            <w:r w:rsidRPr="001E5747">
              <w:rPr>
                <w:rFonts w:ascii="Calibri" w:eastAsia="Times New Roman" w:hAnsi="Calibri" w:cs="Calibri"/>
                <w:b/>
                <w:color w:val="000000"/>
                <w:sz w:val="19"/>
                <w:szCs w:val="19"/>
                <w:lang w:val="en-GB"/>
              </w:rPr>
              <w:t>Primary Health Care (PHC)</w:t>
            </w:r>
          </w:p>
        </w:tc>
      </w:tr>
      <w:tr w:rsidR="00214972" w:rsidRPr="001E5747" w14:paraId="30907C4B" w14:textId="77777777" w:rsidTr="00B739C3">
        <w:trPr>
          <w:trHeight w:val="328"/>
        </w:trPr>
        <w:tc>
          <w:tcPr>
            <w:tcW w:w="562" w:type="dxa"/>
            <w:tcBorders>
              <w:top w:val="single" w:sz="8" w:space="0" w:color="auto"/>
              <w:left w:val="single" w:sz="8" w:space="0" w:color="auto"/>
              <w:bottom w:val="single" w:sz="8" w:space="0" w:color="auto"/>
              <w:right w:val="single" w:sz="4" w:space="0" w:color="auto"/>
            </w:tcBorders>
            <w:shd w:val="clear" w:color="auto" w:fill="C2D69B"/>
            <w:noWrap/>
            <w:vAlign w:val="center"/>
          </w:tcPr>
          <w:p w14:paraId="715B9D98" w14:textId="77777777" w:rsidR="00214972" w:rsidRPr="001E5747" w:rsidRDefault="00214972" w:rsidP="00214972">
            <w:pPr>
              <w:contextualSpacing/>
              <w:jc w:val="center"/>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29</w:t>
            </w:r>
          </w:p>
        </w:tc>
        <w:tc>
          <w:tcPr>
            <w:tcW w:w="5828" w:type="dxa"/>
            <w:tcBorders>
              <w:top w:val="single" w:sz="8" w:space="0" w:color="auto"/>
              <w:left w:val="nil"/>
              <w:bottom w:val="single" w:sz="8" w:space="0" w:color="auto"/>
              <w:right w:val="single" w:sz="4" w:space="0" w:color="auto"/>
            </w:tcBorders>
            <w:shd w:val="clear" w:color="auto" w:fill="C2D69B"/>
            <w:vAlign w:val="center"/>
          </w:tcPr>
          <w:p w14:paraId="62B9CFE5" w14:textId="77777777" w:rsidR="00214972" w:rsidRPr="001E5747" w:rsidRDefault="00214972" w:rsidP="00214972">
            <w:pPr>
              <w:contextualSpacing/>
              <w:outlineLvl w:val="2"/>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PHC spaces in m</w:t>
            </w:r>
            <w:r w:rsidRPr="001E5747">
              <w:rPr>
                <w:rFonts w:ascii="Calibri" w:eastAsia="Times New Roman" w:hAnsi="Calibri" w:cs="Calibri"/>
                <w:color w:val="000000"/>
                <w:sz w:val="19"/>
                <w:szCs w:val="19"/>
                <w:vertAlign w:val="superscript"/>
                <w:lang w:val="en-GB"/>
              </w:rPr>
              <w:t>2</w:t>
            </w:r>
            <w:r w:rsidRPr="001E5747">
              <w:rPr>
                <w:rFonts w:ascii="Calibri" w:eastAsia="Times New Roman" w:hAnsi="Calibri" w:cs="Calibri"/>
                <w:color w:val="000000"/>
                <w:sz w:val="19"/>
                <w:szCs w:val="19"/>
                <w:lang w:val="en-GB"/>
              </w:rPr>
              <w:t xml:space="preserve"> per 10,000 inhabitants</w:t>
            </w:r>
          </w:p>
        </w:tc>
        <w:tc>
          <w:tcPr>
            <w:tcW w:w="6750" w:type="dxa"/>
            <w:tcBorders>
              <w:top w:val="single" w:sz="8" w:space="0" w:color="auto"/>
              <w:left w:val="nil"/>
              <w:bottom w:val="single" w:sz="8" w:space="0" w:color="auto"/>
              <w:right w:val="single" w:sz="4" w:space="0" w:color="auto"/>
            </w:tcBorders>
            <w:shd w:val="clear" w:color="auto" w:fill="C2D69B"/>
            <w:vAlign w:val="center"/>
          </w:tcPr>
          <w:p w14:paraId="0D6971D1" w14:textId="77777777" w:rsidR="00214972" w:rsidRPr="001E5747" w:rsidRDefault="00214972" w:rsidP="00C149DB">
            <w:pPr>
              <w:spacing w:before="100"/>
              <w:jc w:val="both"/>
              <w:rPr>
                <w:rFonts w:ascii="Calibri" w:eastAsia="Times New Roman" w:hAnsi="Calibri" w:cs="Calibri"/>
                <w:color w:val="000000"/>
                <w:sz w:val="19"/>
                <w:szCs w:val="19"/>
                <w:lang w:val="en-GB"/>
              </w:rPr>
            </w:pPr>
          </w:p>
          <w:p w14:paraId="21400870" w14:textId="77777777" w:rsidR="00214972" w:rsidRPr="001E5747" w:rsidRDefault="00214972" w:rsidP="00C149DB">
            <w:pPr>
              <w:spacing w:before="100"/>
              <w:jc w:val="both"/>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Indicator measures performance of the municipal authorities with regards to building and running facilities for the Primary Health Care, based on the population count in the municipality. Specifically, indicator measures total available area of PHC in m</w:t>
            </w:r>
            <w:r w:rsidRPr="001E5747">
              <w:rPr>
                <w:rFonts w:ascii="Calibri" w:eastAsia="Times New Roman" w:hAnsi="Calibri" w:cs="Calibri"/>
                <w:color w:val="000000"/>
                <w:sz w:val="19"/>
                <w:szCs w:val="19"/>
                <w:vertAlign w:val="superscript"/>
                <w:lang w:val="en-GB"/>
              </w:rPr>
              <w:t>2</w:t>
            </w:r>
            <w:r w:rsidRPr="001E5747">
              <w:rPr>
                <w:rFonts w:ascii="Calibri" w:eastAsia="Times New Roman" w:hAnsi="Calibri" w:cs="Calibri"/>
                <w:color w:val="000000"/>
                <w:sz w:val="19"/>
                <w:szCs w:val="19"/>
                <w:lang w:val="en-GB"/>
              </w:rPr>
              <w:t xml:space="preserve"> per 10,000 inhabitants, providing the density ratio of the available infrastructure against the population size. Legal basis for the municipal competencies on primary healthcare is given in Law No. 04-L-124 on Health. Performance on this indicator is assessed based on evidence on these criteria: (i)  population in the municipality; and (ii) total areas  of PHC facilities in the municipality.</w:t>
            </w:r>
          </w:p>
        </w:tc>
      </w:tr>
      <w:tr w:rsidR="00214972" w:rsidRPr="001E5747" w14:paraId="2BC3AFC3" w14:textId="77777777" w:rsidTr="00B739C3">
        <w:trPr>
          <w:trHeight w:val="508"/>
        </w:trPr>
        <w:tc>
          <w:tcPr>
            <w:tcW w:w="562" w:type="dxa"/>
            <w:tcBorders>
              <w:top w:val="single" w:sz="8" w:space="0" w:color="auto"/>
              <w:left w:val="single" w:sz="8" w:space="0" w:color="auto"/>
              <w:bottom w:val="single" w:sz="8" w:space="0" w:color="auto"/>
              <w:right w:val="single" w:sz="4" w:space="0" w:color="auto"/>
            </w:tcBorders>
            <w:shd w:val="clear" w:color="auto" w:fill="C2D69B"/>
            <w:noWrap/>
            <w:vAlign w:val="center"/>
          </w:tcPr>
          <w:p w14:paraId="31FD074A" w14:textId="77777777" w:rsidR="00214972" w:rsidRPr="001E5747" w:rsidRDefault="00214972" w:rsidP="00214972">
            <w:pPr>
              <w:contextualSpacing/>
              <w:jc w:val="center"/>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30</w:t>
            </w:r>
          </w:p>
        </w:tc>
        <w:tc>
          <w:tcPr>
            <w:tcW w:w="5828" w:type="dxa"/>
            <w:tcBorders>
              <w:top w:val="single" w:sz="8" w:space="0" w:color="auto"/>
              <w:left w:val="nil"/>
              <w:bottom w:val="single" w:sz="8" w:space="0" w:color="auto"/>
              <w:right w:val="single" w:sz="4" w:space="0" w:color="auto"/>
            </w:tcBorders>
            <w:shd w:val="clear" w:color="auto" w:fill="C2D69B"/>
            <w:vAlign w:val="center"/>
          </w:tcPr>
          <w:p w14:paraId="530D64A5" w14:textId="77777777" w:rsidR="00214972" w:rsidRPr="001E5747" w:rsidRDefault="00214972" w:rsidP="00214972">
            <w:pPr>
              <w:contextualSpacing/>
              <w:outlineLvl w:val="2"/>
              <w:rPr>
                <w:rFonts w:ascii="Calibri" w:eastAsia="Calibri" w:hAnsi="Calibri" w:cs="Calibri"/>
                <w:bCs/>
                <w:color w:val="000000"/>
                <w:sz w:val="19"/>
                <w:szCs w:val="19"/>
                <w:lang w:val="en-GB"/>
              </w:rPr>
            </w:pPr>
            <w:r w:rsidRPr="001E5747">
              <w:rPr>
                <w:rFonts w:ascii="Calibri" w:eastAsia="Calibri" w:hAnsi="Calibri" w:cs="Calibri"/>
                <w:bCs/>
                <w:color w:val="000000"/>
                <w:sz w:val="19"/>
                <w:szCs w:val="19"/>
                <w:lang w:val="en-GB"/>
              </w:rPr>
              <w:t xml:space="preserve">Report </w:t>
            </w:r>
            <w:r w:rsidR="00A0644E" w:rsidRPr="001E5747">
              <w:rPr>
                <w:rFonts w:ascii="Calibri" w:eastAsia="Calibri" w:hAnsi="Calibri" w:cs="Calibri"/>
                <w:bCs/>
                <w:color w:val="000000"/>
                <w:sz w:val="19"/>
                <w:szCs w:val="19"/>
                <w:lang w:val="en-GB"/>
              </w:rPr>
              <w:t>fulfilment</w:t>
            </w:r>
            <w:r w:rsidRPr="001E5747">
              <w:rPr>
                <w:rFonts w:ascii="Calibri" w:eastAsia="Calibri" w:hAnsi="Calibri" w:cs="Calibri"/>
                <w:bCs/>
                <w:color w:val="000000"/>
                <w:sz w:val="19"/>
                <w:szCs w:val="19"/>
                <w:lang w:val="en-GB"/>
              </w:rPr>
              <w:t xml:space="preserve"> level of 1 family physician and</w:t>
            </w:r>
          </w:p>
          <w:p w14:paraId="43DAE1B6" w14:textId="77777777" w:rsidR="00214972" w:rsidRPr="001E5747" w:rsidRDefault="00214972" w:rsidP="00214972">
            <w:pPr>
              <w:contextualSpacing/>
              <w:outlineLvl w:val="2"/>
              <w:rPr>
                <w:rFonts w:ascii="Calibri" w:eastAsia="Times New Roman" w:hAnsi="Calibri" w:cs="Calibri"/>
                <w:color w:val="000000"/>
                <w:sz w:val="19"/>
                <w:szCs w:val="19"/>
                <w:lang w:val="en-GB"/>
              </w:rPr>
            </w:pPr>
            <w:r w:rsidRPr="001E5747">
              <w:rPr>
                <w:rFonts w:ascii="Calibri" w:eastAsia="Calibri" w:hAnsi="Calibri" w:cs="Calibri"/>
                <w:bCs/>
                <w:color w:val="000000"/>
                <w:sz w:val="19"/>
                <w:szCs w:val="19"/>
                <w:lang w:val="en-GB"/>
              </w:rPr>
              <w:t>2 nurses per 2,000 inhabitants ratio</w:t>
            </w:r>
          </w:p>
        </w:tc>
        <w:tc>
          <w:tcPr>
            <w:tcW w:w="6750" w:type="dxa"/>
            <w:tcBorders>
              <w:top w:val="single" w:sz="8" w:space="0" w:color="auto"/>
              <w:left w:val="nil"/>
              <w:bottom w:val="single" w:sz="8" w:space="0" w:color="auto"/>
              <w:right w:val="single" w:sz="4" w:space="0" w:color="auto"/>
            </w:tcBorders>
            <w:shd w:val="clear" w:color="auto" w:fill="C2D69B"/>
            <w:vAlign w:val="center"/>
          </w:tcPr>
          <w:p w14:paraId="3F11DFCE" w14:textId="77777777" w:rsidR="00214972" w:rsidRPr="001E5747" w:rsidRDefault="00214972" w:rsidP="00C149DB">
            <w:pPr>
              <w:spacing w:before="100"/>
              <w:jc w:val="both"/>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Indicator measures performance of the municipal authorities to ensure compliance with regards to the targeted ratio of 1 medical family team (1 family medicine doctor and 2 nurses) per 20,000 people. Indicator is measured as a percentage of compliance of the current ratio of available family medicine teams compared to the targeted ratio. Specific target ratio is established by the Ministry of Health and is given in the Administrative Instruction No. 07/2017. Indicator performance value is determined based on evidence on the following criteria: (i) number of facility medicine teams in the municipality; and (ii) population size in the municipality.</w:t>
            </w:r>
          </w:p>
        </w:tc>
      </w:tr>
    </w:tbl>
    <w:p w14:paraId="0D3AA216" w14:textId="77777777" w:rsidR="00214972" w:rsidRPr="001E5747" w:rsidRDefault="00214972" w:rsidP="00214972">
      <w:pPr>
        <w:rPr>
          <w:rFonts w:eastAsia="Times New Roman"/>
          <w:lang w:val="en-GB"/>
        </w:rPr>
      </w:pPr>
      <w:r w:rsidRPr="001E5747">
        <w:rPr>
          <w:rFonts w:eastAsia="Times New Roman"/>
          <w:lang w:val="en-GB"/>
        </w:rPr>
        <w:br w:type="textWrapping" w:clear="all"/>
      </w:r>
    </w:p>
    <w:p w14:paraId="1D68DC18" w14:textId="77777777" w:rsidR="00214972" w:rsidRPr="001E5747" w:rsidRDefault="00214972" w:rsidP="00214972">
      <w:pPr>
        <w:rPr>
          <w:rFonts w:eastAsia="Times New Roman"/>
          <w:lang w:val="en-GB"/>
        </w:rPr>
        <w:sectPr w:rsidR="00214972" w:rsidRPr="001E5747" w:rsidSect="003819D1">
          <w:footerReference w:type="default" r:id="rId17"/>
          <w:pgSz w:w="16834" w:h="11909" w:orient="landscape" w:code="9"/>
          <w:pgMar w:top="993" w:right="1440" w:bottom="1800" w:left="1440" w:header="1298" w:footer="1052" w:gutter="0"/>
          <w:cols w:space="720"/>
          <w:docGrid w:linePitch="360"/>
        </w:sectPr>
      </w:pPr>
    </w:p>
    <w:p w14:paraId="5AD03DBD" w14:textId="77777777" w:rsidR="00214972" w:rsidRPr="001E5747" w:rsidRDefault="00214972" w:rsidP="00214972">
      <w:pPr>
        <w:keepNext/>
        <w:shd w:val="clear" w:color="auto" w:fill="D55635"/>
        <w:tabs>
          <w:tab w:val="left" w:pos="540"/>
        </w:tabs>
        <w:outlineLvl w:val="0"/>
        <w:rPr>
          <w:rFonts w:eastAsia="Times New Roman"/>
          <w:b/>
          <w:sz w:val="28"/>
          <w:lang w:val="en-GB"/>
        </w:rPr>
      </w:pPr>
      <w:bookmarkStart w:id="64" w:name="_Toc31029016"/>
      <w:bookmarkStart w:id="65" w:name="_Toc31194814"/>
      <w:bookmarkStart w:id="66" w:name="_Toc61062544"/>
      <w:r w:rsidRPr="001E5747">
        <w:rPr>
          <w:rFonts w:ascii="Calibri" w:eastAsia="Times New Roman" w:hAnsi="Calibri"/>
          <w:b/>
          <w:color w:val="FFFFFF"/>
          <w:sz w:val="32"/>
          <w:szCs w:val="32"/>
          <w:lang w:val="en-GB"/>
        </w:rPr>
        <w:lastRenderedPageBreak/>
        <w:t xml:space="preserve">Annex 3: </w:t>
      </w:r>
      <w:bookmarkEnd w:id="64"/>
      <w:bookmarkEnd w:id="65"/>
      <w:bookmarkEnd w:id="66"/>
      <w:r w:rsidR="00D246A0" w:rsidRPr="001E5747">
        <w:rPr>
          <w:rFonts w:ascii="Calibri" w:eastAsia="Times New Roman" w:hAnsi="Calibri"/>
          <w:b/>
          <w:color w:val="FFFFFF"/>
          <w:sz w:val="32"/>
          <w:szCs w:val="32"/>
          <w:lang w:val="en-GB"/>
        </w:rPr>
        <w:t xml:space="preserve">Template for </w:t>
      </w:r>
      <w:r w:rsidRPr="001E5747">
        <w:rPr>
          <w:rFonts w:ascii="Calibri" w:eastAsia="Times New Roman" w:hAnsi="Calibri"/>
          <w:b/>
          <w:color w:val="FFFFFF"/>
          <w:sz w:val="32"/>
          <w:szCs w:val="32"/>
          <w:lang w:val="en-GB"/>
        </w:rPr>
        <w:t xml:space="preserve">Scorecard </w:t>
      </w:r>
      <w:r w:rsidR="00836F55">
        <w:rPr>
          <w:rFonts w:ascii="Calibri" w:eastAsia="Times New Roman" w:hAnsi="Calibri"/>
          <w:b/>
          <w:color w:val="FFFFFF"/>
          <w:sz w:val="32"/>
          <w:szCs w:val="32"/>
          <w:lang w:val="en-GB"/>
        </w:rPr>
        <w:t>and scoring guideline</w:t>
      </w:r>
    </w:p>
    <w:p w14:paraId="01DD5E45" w14:textId="77777777" w:rsidR="00214972" w:rsidRPr="001E5747" w:rsidDel="00747AC9" w:rsidRDefault="00214972" w:rsidP="00214972">
      <w:pPr>
        <w:rPr>
          <w:rFonts w:eastAsia="Times New Roman"/>
          <w:lang w:val="en-GB"/>
        </w:rPr>
      </w:pPr>
      <w:bookmarkStart w:id="67" w:name="_MON_1581160768"/>
      <w:bookmarkEnd w:id="67"/>
    </w:p>
    <w:tbl>
      <w:tblPr>
        <w:tblW w:w="5000" w:type="pct"/>
        <w:tblCellMar>
          <w:left w:w="0" w:type="dxa"/>
          <w:right w:w="0" w:type="dxa"/>
        </w:tblCellMar>
        <w:tblLook w:val="04A0" w:firstRow="1" w:lastRow="0" w:firstColumn="1" w:lastColumn="0" w:noHBand="0" w:noVBand="1"/>
      </w:tblPr>
      <w:tblGrid>
        <w:gridCol w:w="351"/>
        <w:gridCol w:w="7022"/>
        <w:gridCol w:w="1636"/>
      </w:tblGrid>
      <w:tr w:rsidR="00214972" w:rsidRPr="001E5747" w14:paraId="656A9395" w14:textId="77777777" w:rsidTr="00B739C3">
        <w:trPr>
          <w:trHeight w:val="470"/>
        </w:trPr>
        <w:tc>
          <w:tcPr>
            <w:tcW w:w="5000" w:type="pct"/>
            <w:gridSpan w:val="3"/>
            <w:tcBorders>
              <w:top w:val="single" w:sz="8" w:space="0" w:color="auto"/>
              <w:left w:val="single" w:sz="8" w:space="0" w:color="auto"/>
              <w:bottom w:val="single" w:sz="8" w:space="0" w:color="auto"/>
              <w:right w:val="single" w:sz="8" w:space="0" w:color="000000"/>
            </w:tcBorders>
            <w:shd w:val="clear" w:color="000000" w:fill="215967"/>
            <w:tcMar>
              <w:top w:w="15" w:type="dxa"/>
              <w:left w:w="15" w:type="dxa"/>
              <w:bottom w:w="0" w:type="dxa"/>
              <w:right w:w="15" w:type="dxa"/>
            </w:tcMar>
            <w:vAlign w:val="center"/>
            <w:hideMark/>
          </w:tcPr>
          <w:p w14:paraId="2476320B" w14:textId="6641DE5D" w:rsidR="00214972" w:rsidRPr="001E5747" w:rsidRDefault="00214972" w:rsidP="00201E60">
            <w:pPr>
              <w:jc w:val="center"/>
              <w:rPr>
                <w:rFonts w:ascii="Calibri" w:eastAsia="Times New Roman" w:hAnsi="Calibri" w:cs="Calibri"/>
                <w:b/>
                <w:bCs/>
                <w:color w:val="FFFFFF"/>
                <w:sz w:val="16"/>
                <w:szCs w:val="16"/>
                <w:lang w:val="en-GB"/>
              </w:rPr>
            </w:pPr>
            <w:r w:rsidRPr="001E5747">
              <w:rPr>
                <w:rFonts w:ascii="Calibri" w:eastAsia="Times New Roman" w:hAnsi="Calibri" w:cs="Calibri"/>
                <w:b/>
                <w:bCs/>
                <w:color w:val="FFFFFF"/>
                <w:sz w:val="16"/>
                <w:szCs w:val="16"/>
                <w:lang w:val="en-GB"/>
              </w:rPr>
              <w:t>Summary of results on municipal performance grant 20</w:t>
            </w:r>
            <w:r w:rsidR="00201E60">
              <w:rPr>
                <w:rFonts w:ascii="Calibri" w:eastAsia="Times New Roman" w:hAnsi="Calibri" w:cs="Calibri"/>
                <w:b/>
                <w:bCs/>
                <w:color w:val="FFFFFF"/>
                <w:sz w:val="16"/>
                <w:szCs w:val="16"/>
                <w:lang w:val="en-GB"/>
              </w:rPr>
              <w:t>2</w:t>
            </w:r>
            <w:r w:rsidR="00310D3C">
              <w:rPr>
                <w:rFonts w:ascii="Calibri" w:eastAsia="Times New Roman" w:hAnsi="Calibri" w:cs="Calibri"/>
                <w:b/>
                <w:bCs/>
                <w:color w:val="FFFFFF"/>
                <w:sz w:val="16"/>
                <w:szCs w:val="16"/>
                <w:lang w:val="en-GB"/>
              </w:rPr>
              <w:t>1</w:t>
            </w:r>
            <w:r w:rsidRPr="001E5747">
              <w:rPr>
                <w:rFonts w:ascii="Calibri" w:eastAsia="Times New Roman" w:hAnsi="Calibri" w:cs="Calibri"/>
                <w:b/>
                <w:bCs/>
                <w:color w:val="FFFFFF"/>
                <w:sz w:val="16"/>
                <w:szCs w:val="16"/>
                <w:lang w:val="en-GB"/>
              </w:rPr>
              <w:t xml:space="preserve"> </w:t>
            </w:r>
          </w:p>
        </w:tc>
      </w:tr>
      <w:tr w:rsidR="00214972" w:rsidRPr="001E5747" w14:paraId="50686211" w14:textId="77777777" w:rsidTr="00B739C3">
        <w:trPr>
          <w:trHeight w:val="195"/>
        </w:trPr>
        <w:tc>
          <w:tcPr>
            <w:tcW w:w="195" w:type="pct"/>
            <w:tcBorders>
              <w:top w:val="nil"/>
              <w:left w:val="single" w:sz="8" w:space="0" w:color="auto"/>
              <w:bottom w:val="nil"/>
              <w:right w:val="nil"/>
            </w:tcBorders>
            <w:shd w:val="clear" w:color="auto" w:fill="auto"/>
            <w:noWrap/>
            <w:tcMar>
              <w:top w:w="15" w:type="dxa"/>
              <w:left w:w="15" w:type="dxa"/>
              <w:bottom w:w="0" w:type="dxa"/>
              <w:right w:w="15" w:type="dxa"/>
            </w:tcMar>
            <w:vAlign w:val="bottom"/>
            <w:hideMark/>
          </w:tcPr>
          <w:p w14:paraId="44ACA5D4" w14:textId="77777777" w:rsidR="00214972" w:rsidRPr="001E5747" w:rsidRDefault="00214972" w:rsidP="00214972">
            <w:pPr>
              <w:rPr>
                <w:rFonts w:ascii="Calibri" w:eastAsia="Times New Roman" w:hAnsi="Calibri" w:cs="Calibri"/>
                <w:color w:val="000000"/>
                <w:sz w:val="16"/>
                <w:szCs w:val="16"/>
                <w:lang w:val="en-GB"/>
              </w:rPr>
            </w:pPr>
            <w:r w:rsidRPr="001E5747">
              <w:rPr>
                <w:rFonts w:ascii="Calibri" w:eastAsia="Times New Roman" w:hAnsi="Calibri" w:cs="Calibri"/>
                <w:color w:val="000000"/>
                <w:sz w:val="16"/>
                <w:szCs w:val="16"/>
                <w:lang w:val="en-GB"/>
              </w:rPr>
              <w:t> </w:t>
            </w:r>
          </w:p>
        </w:tc>
        <w:tc>
          <w:tcPr>
            <w:tcW w:w="3897" w:type="pct"/>
            <w:tcBorders>
              <w:top w:val="nil"/>
              <w:left w:val="nil"/>
              <w:bottom w:val="nil"/>
              <w:right w:val="nil"/>
            </w:tcBorders>
            <w:shd w:val="clear" w:color="auto" w:fill="auto"/>
            <w:noWrap/>
            <w:tcMar>
              <w:top w:w="15" w:type="dxa"/>
              <w:left w:w="15" w:type="dxa"/>
              <w:bottom w:w="0" w:type="dxa"/>
              <w:right w:w="15" w:type="dxa"/>
            </w:tcMar>
            <w:vAlign w:val="bottom"/>
            <w:hideMark/>
          </w:tcPr>
          <w:p w14:paraId="2E6282AB" w14:textId="77777777" w:rsidR="00214972" w:rsidRPr="001E5747" w:rsidRDefault="00214972" w:rsidP="00214972">
            <w:pPr>
              <w:rPr>
                <w:rFonts w:ascii="Calibri" w:eastAsia="Times New Roman" w:hAnsi="Calibri" w:cs="Calibri"/>
                <w:color w:val="000000"/>
                <w:sz w:val="16"/>
                <w:szCs w:val="16"/>
                <w:lang w:val="en-GB"/>
              </w:rPr>
            </w:pPr>
          </w:p>
        </w:tc>
        <w:tc>
          <w:tcPr>
            <w:tcW w:w="908" w:type="pct"/>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
          <w:p w14:paraId="143BACFF" w14:textId="77777777" w:rsidR="00214972" w:rsidRPr="001E5747" w:rsidRDefault="00214972" w:rsidP="00214972">
            <w:pPr>
              <w:rPr>
                <w:rFonts w:ascii="Calibri" w:eastAsia="Times New Roman" w:hAnsi="Calibri" w:cs="Calibri"/>
                <w:color w:val="000000"/>
                <w:sz w:val="16"/>
                <w:szCs w:val="16"/>
                <w:lang w:val="en-GB"/>
              </w:rPr>
            </w:pPr>
            <w:r w:rsidRPr="001E5747">
              <w:rPr>
                <w:rFonts w:ascii="Calibri" w:eastAsia="Times New Roman" w:hAnsi="Calibri" w:cs="Calibri"/>
                <w:color w:val="000000"/>
                <w:sz w:val="16"/>
                <w:szCs w:val="16"/>
                <w:lang w:val="en-GB"/>
              </w:rPr>
              <w:t> </w:t>
            </w:r>
          </w:p>
        </w:tc>
      </w:tr>
      <w:tr w:rsidR="00214972" w:rsidRPr="001E5747" w14:paraId="6AD7E972" w14:textId="77777777" w:rsidTr="00B739C3">
        <w:trPr>
          <w:trHeight w:val="303"/>
        </w:trPr>
        <w:tc>
          <w:tcPr>
            <w:tcW w:w="195" w:type="pct"/>
            <w:tcBorders>
              <w:top w:val="single" w:sz="8" w:space="0" w:color="auto"/>
              <w:left w:val="single" w:sz="8" w:space="0" w:color="auto"/>
              <w:bottom w:val="single" w:sz="8" w:space="0" w:color="auto"/>
              <w:right w:val="single" w:sz="4" w:space="0" w:color="auto"/>
            </w:tcBorders>
            <w:shd w:val="clear" w:color="000000" w:fill="31869B"/>
            <w:tcMar>
              <w:top w:w="15" w:type="dxa"/>
              <w:left w:w="15" w:type="dxa"/>
              <w:bottom w:w="0" w:type="dxa"/>
              <w:right w:w="15" w:type="dxa"/>
            </w:tcMar>
            <w:vAlign w:val="center"/>
            <w:hideMark/>
          </w:tcPr>
          <w:p w14:paraId="4F86FF31" w14:textId="77777777" w:rsidR="00214972" w:rsidRPr="001E5747" w:rsidRDefault="00214972" w:rsidP="00214972">
            <w:pPr>
              <w:jc w:val="center"/>
              <w:rPr>
                <w:rFonts w:ascii="Calibri" w:eastAsia="Times New Roman" w:hAnsi="Calibri" w:cs="Calibri"/>
                <w:b/>
                <w:bCs/>
                <w:color w:val="FFFFFF"/>
                <w:sz w:val="16"/>
                <w:szCs w:val="16"/>
                <w:lang w:val="en-GB"/>
              </w:rPr>
            </w:pPr>
            <w:r w:rsidRPr="001E5747">
              <w:rPr>
                <w:rFonts w:ascii="Calibri" w:eastAsia="Times New Roman" w:hAnsi="Calibri" w:cs="Calibri"/>
                <w:b/>
                <w:bCs/>
                <w:color w:val="FFFFFF"/>
                <w:sz w:val="16"/>
                <w:szCs w:val="16"/>
                <w:lang w:val="en-GB"/>
              </w:rPr>
              <w:t>#</w:t>
            </w:r>
          </w:p>
        </w:tc>
        <w:tc>
          <w:tcPr>
            <w:tcW w:w="3897" w:type="pct"/>
            <w:tcBorders>
              <w:top w:val="single" w:sz="8" w:space="0" w:color="auto"/>
              <w:left w:val="nil"/>
              <w:bottom w:val="single" w:sz="8" w:space="0" w:color="auto"/>
              <w:right w:val="nil"/>
            </w:tcBorders>
            <w:shd w:val="clear" w:color="000000" w:fill="31869B"/>
            <w:tcMar>
              <w:top w:w="15" w:type="dxa"/>
              <w:left w:w="15" w:type="dxa"/>
              <w:bottom w:w="0" w:type="dxa"/>
              <w:right w:w="15" w:type="dxa"/>
            </w:tcMar>
            <w:vAlign w:val="center"/>
            <w:hideMark/>
          </w:tcPr>
          <w:p w14:paraId="08F8CC8D" w14:textId="77777777" w:rsidR="00214972" w:rsidRPr="001E5747" w:rsidRDefault="00214972" w:rsidP="00214972">
            <w:pPr>
              <w:jc w:val="center"/>
              <w:rPr>
                <w:rFonts w:ascii="Calibri" w:eastAsia="Times New Roman" w:hAnsi="Calibri" w:cs="Calibri"/>
                <w:b/>
                <w:bCs/>
                <w:color w:val="FFFFFF"/>
                <w:sz w:val="16"/>
                <w:szCs w:val="16"/>
                <w:lang w:val="en-GB"/>
              </w:rPr>
            </w:pPr>
            <w:r w:rsidRPr="001E5747">
              <w:rPr>
                <w:rFonts w:ascii="Calibri" w:eastAsia="Times New Roman" w:hAnsi="Calibri" w:cs="Calibri"/>
                <w:b/>
                <w:bCs/>
                <w:color w:val="FFFFFF"/>
                <w:sz w:val="16"/>
                <w:szCs w:val="16"/>
                <w:lang w:val="en-GB"/>
              </w:rPr>
              <w:t>Minimum condition</w:t>
            </w:r>
          </w:p>
        </w:tc>
        <w:tc>
          <w:tcPr>
            <w:tcW w:w="908" w:type="pct"/>
            <w:tcBorders>
              <w:top w:val="single" w:sz="8" w:space="0" w:color="auto"/>
              <w:left w:val="single" w:sz="8" w:space="0" w:color="auto"/>
              <w:bottom w:val="single" w:sz="8" w:space="0" w:color="auto"/>
              <w:right w:val="single" w:sz="8" w:space="0" w:color="auto"/>
            </w:tcBorders>
            <w:shd w:val="clear" w:color="000000" w:fill="31869B"/>
            <w:tcMar>
              <w:top w:w="15" w:type="dxa"/>
              <w:left w:w="15" w:type="dxa"/>
              <w:bottom w:w="0" w:type="dxa"/>
              <w:right w:w="15" w:type="dxa"/>
            </w:tcMar>
            <w:vAlign w:val="center"/>
            <w:hideMark/>
          </w:tcPr>
          <w:p w14:paraId="4BCBF737" w14:textId="77777777" w:rsidR="00214972" w:rsidRPr="001E5747" w:rsidRDefault="00214972" w:rsidP="00214972">
            <w:pPr>
              <w:jc w:val="center"/>
              <w:rPr>
                <w:rFonts w:ascii="Calibri" w:eastAsia="Times New Roman" w:hAnsi="Calibri" w:cs="Calibri"/>
                <w:b/>
                <w:bCs/>
                <w:color w:val="FFFFFF"/>
                <w:sz w:val="16"/>
                <w:szCs w:val="16"/>
                <w:lang w:val="en-GB"/>
              </w:rPr>
            </w:pPr>
            <w:r w:rsidRPr="001E5747">
              <w:rPr>
                <w:rFonts w:ascii="Calibri" w:eastAsia="Times New Roman" w:hAnsi="Calibri" w:cs="Calibri"/>
                <w:b/>
                <w:bCs/>
                <w:color w:val="FFFFFF"/>
                <w:sz w:val="16"/>
                <w:szCs w:val="16"/>
                <w:lang w:val="en-GB"/>
              </w:rPr>
              <w:t>Assessment</w:t>
            </w:r>
          </w:p>
        </w:tc>
      </w:tr>
      <w:tr w:rsidR="00214972" w:rsidRPr="001E5747" w14:paraId="39A1B10E" w14:textId="77777777" w:rsidTr="00B739C3">
        <w:trPr>
          <w:trHeight w:val="509"/>
        </w:trPr>
        <w:tc>
          <w:tcPr>
            <w:tcW w:w="195" w:type="pct"/>
            <w:tcBorders>
              <w:top w:val="nil"/>
              <w:left w:val="single" w:sz="8" w:space="0" w:color="auto"/>
              <w:bottom w:val="single" w:sz="4" w:space="0" w:color="auto"/>
              <w:right w:val="single" w:sz="4" w:space="0" w:color="auto"/>
            </w:tcBorders>
            <w:shd w:val="clear" w:color="000000" w:fill="92CDDC"/>
            <w:tcMar>
              <w:top w:w="15" w:type="dxa"/>
              <w:left w:w="15" w:type="dxa"/>
              <w:bottom w:w="0" w:type="dxa"/>
              <w:right w:w="15" w:type="dxa"/>
            </w:tcMar>
            <w:vAlign w:val="center"/>
            <w:hideMark/>
          </w:tcPr>
          <w:p w14:paraId="7823ACE7" w14:textId="77777777" w:rsidR="00214972" w:rsidRPr="001E5747" w:rsidRDefault="00214972" w:rsidP="00214972">
            <w:pPr>
              <w:jc w:val="center"/>
              <w:rPr>
                <w:rFonts w:ascii="Calibri" w:eastAsia="Times New Roman" w:hAnsi="Calibri" w:cs="Calibri"/>
                <w:b/>
                <w:bCs/>
                <w:color w:val="FFFFFF"/>
                <w:sz w:val="16"/>
                <w:szCs w:val="16"/>
                <w:lang w:val="en-GB"/>
              </w:rPr>
            </w:pPr>
            <w:r w:rsidRPr="001E5747">
              <w:rPr>
                <w:rFonts w:ascii="Calibri" w:eastAsia="Times New Roman" w:hAnsi="Calibri" w:cs="Calibri"/>
                <w:b/>
                <w:bCs/>
                <w:color w:val="FFFFFF"/>
                <w:sz w:val="16"/>
                <w:szCs w:val="16"/>
                <w:lang w:val="en-GB"/>
              </w:rPr>
              <w:t>1</w:t>
            </w:r>
          </w:p>
        </w:tc>
        <w:tc>
          <w:tcPr>
            <w:tcW w:w="3897" w:type="pct"/>
            <w:tcBorders>
              <w:top w:val="nil"/>
              <w:left w:val="nil"/>
              <w:right w:val="nil"/>
            </w:tcBorders>
            <w:shd w:val="clear" w:color="000000" w:fill="FFFFFF"/>
            <w:tcMar>
              <w:top w:w="15" w:type="dxa"/>
              <w:left w:w="15" w:type="dxa"/>
              <w:bottom w:w="0" w:type="dxa"/>
              <w:right w:w="15" w:type="dxa"/>
            </w:tcMar>
            <w:vAlign w:val="center"/>
            <w:hideMark/>
          </w:tcPr>
          <w:p w14:paraId="0BAD08BE" w14:textId="77777777" w:rsidR="00214972" w:rsidRPr="001E5747" w:rsidRDefault="00214972" w:rsidP="00214972">
            <w:pPr>
              <w:rPr>
                <w:rFonts w:ascii="Calibri" w:eastAsia="Times New Roman" w:hAnsi="Calibri" w:cs="Calibri"/>
                <w:color w:val="000000"/>
                <w:sz w:val="16"/>
                <w:szCs w:val="16"/>
                <w:lang w:val="en-GB"/>
              </w:rPr>
            </w:pPr>
            <w:r w:rsidRPr="001E5747">
              <w:rPr>
                <w:rFonts w:ascii="Calibri" w:eastAsia="Times New Roman" w:hAnsi="Calibri"/>
                <w:sz w:val="18"/>
                <w:szCs w:val="18"/>
                <w:lang w:val="en-GB"/>
              </w:rPr>
              <w:t>Municipalities should have reported data to the MPMS within the set deadlines</w:t>
            </w:r>
          </w:p>
        </w:tc>
        <w:tc>
          <w:tcPr>
            <w:tcW w:w="908" w:type="pct"/>
            <w:tcBorders>
              <w:top w:val="nil"/>
              <w:left w:val="single" w:sz="4" w:space="0" w:color="000000"/>
              <w:bottom w:val="single" w:sz="4" w:space="0" w:color="auto"/>
              <w:right w:val="single" w:sz="8" w:space="0" w:color="auto"/>
            </w:tcBorders>
            <w:shd w:val="clear" w:color="000000" w:fill="FFFFFF"/>
            <w:tcMar>
              <w:top w:w="15" w:type="dxa"/>
              <w:left w:w="15" w:type="dxa"/>
              <w:bottom w:w="0" w:type="dxa"/>
              <w:right w:w="15" w:type="dxa"/>
            </w:tcMar>
            <w:vAlign w:val="center"/>
            <w:hideMark/>
          </w:tcPr>
          <w:p w14:paraId="08350704" w14:textId="77777777" w:rsidR="00214972" w:rsidRPr="001E5747" w:rsidRDefault="00214972" w:rsidP="00214972">
            <w:pPr>
              <w:jc w:val="center"/>
              <w:rPr>
                <w:rFonts w:ascii="Calibri" w:eastAsia="Times New Roman" w:hAnsi="Calibri" w:cs="Calibri"/>
                <w:color w:val="FF0000"/>
                <w:sz w:val="16"/>
                <w:szCs w:val="16"/>
                <w:lang w:val="en-GB"/>
              </w:rPr>
            </w:pPr>
            <w:r w:rsidRPr="001E5747">
              <w:rPr>
                <w:rFonts w:ascii="Calibri" w:eastAsia="Times New Roman" w:hAnsi="Calibri" w:cs="Calibri"/>
                <w:color w:val="FF0000"/>
                <w:sz w:val="16"/>
                <w:szCs w:val="16"/>
                <w:lang w:val="en-GB"/>
              </w:rPr>
              <w:t> </w:t>
            </w:r>
          </w:p>
          <w:p w14:paraId="755ADB73" w14:textId="77777777" w:rsidR="00214972" w:rsidRPr="001E5747" w:rsidRDefault="00214972" w:rsidP="00214972">
            <w:pPr>
              <w:jc w:val="center"/>
              <w:rPr>
                <w:rFonts w:ascii="Calibri" w:eastAsia="Times New Roman" w:hAnsi="Calibri" w:cs="Calibri"/>
                <w:color w:val="FF0000"/>
                <w:sz w:val="16"/>
                <w:szCs w:val="16"/>
                <w:lang w:val="en-GB"/>
              </w:rPr>
            </w:pPr>
            <w:r w:rsidRPr="001E5747">
              <w:rPr>
                <w:rFonts w:ascii="Calibri" w:eastAsia="Times New Roman" w:hAnsi="Calibri" w:cs="Calibri"/>
                <w:color w:val="FF0000"/>
                <w:sz w:val="16"/>
                <w:szCs w:val="16"/>
                <w:lang w:val="en-GB"/>
              </w:rPr>
              <w:t> </w:t>
            </w:r>
          </w:p>
        </w:tc>
      </w:tr>
      <w:tr w:rsidR="00214972" w:rsidRPr="001E5747" w14:paraId="67399D1D" w14:textId="77777777" w:rsidTr="00C96E3F">
        <w:trPr>
          <w:trHeight w:val="491"/>
        </w:trPr>
        <w:tc>
          <w:tcPr>
            <w:tcW w:w="195" w:type="pct"/>
            <w:tcBorders>
              <w:top w:val="nil"/>
              <w:left w:val="single" w:sz="8" w:space="0" w:color="auto"/>
              <w:bottom w:val="single" w:sz="4" w:space="0" w:color="auto"/>
              <w:right w:val="single" w:sz="4" w:space="0" w:color="auto"/>
            </w:tcBorders>
            <w:shd w:val="clear" w:color="auto" w:fill="92CDDC" w:themeFill="accent5" w:themeFillTint="99"/>
            <w:tcMar>
              <w:top w:w="15" w:type="dxa"/>
              <w:left w:w="15" w:type="dxa"/>
              <w:bottom w:w="0" w:type="dxa"/>
              <w:right w:w="15" w:type="dxa"/>
            </w:tcMar>
            <w:vAlign w:val="center"/>
            <w:hideMark/>
          </w:tcPr>
          <w:p w14:paraId="0B123DAE" w14:textId="77777777" w:rsidR="00214972" w:rsidRPr="001E5747" w:rsidRDefault="00214972" w:rsidP="00214972">
            <w:pPr>
              <w:jc w:val="center"/>
              <w:rPr>
                <w:rFonts w:ascii="Calibri" w:eastAsia="Times New Roman" w:hAnsi="Calibri" w:cs="Calibri"/>
                <w:b/>
                <w:bCs/>
                <w:color w:val="FFFFFF"/>
                <w:sz w:val="16"/>
                <w:szCs w:val="16"/>
                <w:lang w:val="en-GB"/>
              </w:rPr>
            </w:pPr>
            <w:r w:rsidRPr="001E5747">
              <w:rPr>
                <w:rFonts w:ascii="Calibri" w:eastAsia="Times New Roman" w:hAnsi="Calibri" w:cs="Calibri"/>
                <w:b/>
                <w:bCs/>
                <w:color w:val="FFFFFF"/>
                <w:sz w:val="16"/>
                <w:szCs w:val="16"/>
                <w:lang w:val="en-GB"/>
              </w:rPr>
              <w:t>2</w:t>
            </w:r>
          </w:p>
        </w:tc>
        <w:tc>
          <w:tcPr>
            <w:tcW w:w="3897" w:type="pct"/>
            <w:tcBorders>
              <w:top w:val="single" w:sz="8" w:space="0" w:color="auto"/>
              <w:left w:val="nil"/>
              <w:right w:val="nil"/>
            </w:tcBorders>
            <w:shd w:val="clear" w:color="auto" w:fill="auto"/>
            <w:tcMar>
              <w:top w:w="15" w:type="dxa"/>
              <w:left w:w="15" w:type="dxa"/>
              <w:bottom w:w="0" w:type="dxa"/>
              <w:right w:w="15" w:type="dxa"/>
            </w:tcMar>
            <w:vAlign w:val="center"/>
            <w:hideMark/>
          </w:tcPr>
          <w:p w14:paraId="55D4FCA6" w14:textId="77777777" w:rsidR="00214972" w:rsidRPr="001E5747" w:rsidRDefault="00214972" w:rsidP="00214972">
            <w:pPr>
              <w:rPr>
                <w:rFonts w:ascii="Calibri" w:eastAsia="Times New Roman" w:hAnsi="Calibri" w:cs="Calibri"/>
                <w:color w:val="000000"/>
                <w:sz w:val="16"/>
                <w:szCs w:val="16"/>
                <w:lang w:val="en-GB"/>
              </w:rPr>
            </w:pPr>
            <w:r w:rsidRPr="001E5747">
              <w:rPr>
                <w:rFonts w:ascii="Calibri" w:eastAsia="Times New Roman" w:hAnsi="Calibri"/>
                <w:sz w:val="18"/>
                <w:szCs w:val="18"/>
                <w:lang w:val="en-GB"/>
              </w:rPr>
              <w:t>Municipalities should have adhered to the legal obligation for reviewing municipal acts assessed as incompliant by the supervisory authority</w:t>
            </w:r>
          </w:p>
        </w:tc>
        <w:tc>
          <w:tcPr>
            <w:tcW w:w="908" w:type="pct"/>
            <w:tcBorders>
              <w:top w:val="single" w:sz="4" w:space="0" w:color="auto"/>
              <w:left w:val="single" w:sz="4" w:space="0" w:color="auto"/>
              <w:bottom w:val="single" w:sz="4" w:space="0" w:color="auto"/>
              <w:right w:val="single" w:sz="8" w:space="0" w:color="auto"/>
            </w:tcBorders>
            <w:shd w:val="clear" w:color="auto" w:fill="auto"/>
            <w:tcMar>
              <w:top w:w="15" w:type="dxa"/>
              <w:left w:w="15" w:type="dxa"/>
              <w:bottom w:w="0" w:type="dxa"/>
              <w:right w:w="15" w:type="dxa"/>
            </w:tcMar>
            <w:vAlign w:val="center"/>
            <w:hideMark/>
          </w:tcPr>
          <w:p w14:paraId="66ED4E3C" w14:textId="77777777" w:rsidR="00214972" w:rsidRPr="001E5747" w:rsidRDefault="00214972" w:rsidP="00214972">
            <w:pPr>
              <w:jc w:val="center"/>
              <w:rPr>
                <w:rFonts w:ascii="Calibri" w:eastAsia="Times New Roman" w:hAnsi="Calibri" w:cs="Calibri"/>
                <w:color w:val="FF0000"/>
                <w:sz w:val="16"/>
                <w:szCs w:val="16"/>
                <w:lang w:val="en-GB"/>
              </w:rPr>
            </w:pPr>
            <w:r w:rsidRPr="001E5747">
              <w:rPr>
                <w:rFonts w:ascii="Calibri" w:eastAsia="Times New Roman" w:hAnsi="Calibri" w:cs="Calibri"/>
                <w:color w:val="FF0000"/>
                <w:sz w:val="16"/>
                <w:szCs w:val="16"/>
                <w:lang w:val="en-GB"/>
              </w:rPr>
              <w:t> </w:t>
            </w:r>
          </w:p>
          <w:p w14:paraId="38DF3D26" w14:textId="77777777" w:rsidR="00214972" w:rsidRPr="001E5747" w:rsidRDefault="00214972" w:rsidP="00214972">
            <w:pPr>
              <w:jc w:val="center"/>
              <w:rPr>
                <w:rFonts w:ascii="Calibri" w:eastAsia="Times New Roman" w:hAnsi="Calibri" w:cs="Calibri"/>
                <w:color w:val="FF0000"/>
                <w:sz w:val="16"/>
                <w:szCs w:val="16"/>
                <w:lang w:val="en-GB"/>
              </w:rPr>
            </w:pPr>
            <w:r w:rsidRPr="001E5747">
              <w:rPr>
                <w:rFonts w:ascii="Calibri" w:eastAsia="Times New Roman" w:hAnsi="Calibri" w:cs="Calibri"/>
                <w:color w:val="FF0000"/>
                <w:sz w:val="16"/>
                <w:szCs w:val="16"/>
                <w:lang w:val="en-GB"/>
              </w:rPr>
              <w:t> </w:t>
            </w:r>
          </w:p>
        </w:tc>
      </w:tr>
      <w:tr w:rsidR="00214972" w:rsidRPr="001E5747" w14:paraId="2E294D23" w14:textId="77777777" w:rsidTr="00B739C3">
        <w:trPr>
          <w:trHeight w:val="476"/>
        </w:trPr>
        <w:tc>
          <w:tcPr>
            <w:tcW w:w="195" w:type="pct"/>
            <w:tcBorders>
              <w:top w:val="nil"/>
              <w:left w:val="single" w:sz="8" w:space="0" w:color="auto"/>
              <w:bottom w:val="single" w:sz="4" w:space="0" w:color="000000"/>
              <w:right w:val="single" w:sz="4" w:space="0" w:color="auto"/>
            </w:tcBorders>
            <w:shd w:val="clear" w:color="000000" w:fill="92CDDC"/>
            <w:tcMar>
              <w:top w:w="15" w:type="dxa"/>
              <w:left w:w="15" w:type="dxa"/>
              <w:bottom w:w="0" w:type="dxa"/>
              <w:right w:w="15" w:type="dxa"/>
            </w:tcMar>
            <w:vAlign w:val="center"/>
            <w:hideMark/>
          </w:tcPr>
          <w:p w14:paraId="284D5839" w14:textId="77777777" w:rsidR="00214972" w:rsidRPr="001E5747" w:rsidRDefault="00214972" w:rsidP="00214972">
            <w:pPr>
              <w:jc w:val="center"/>
              <w:rPr>
                <w:rFonts w:ascii="Calibri" w:eastAsia="Times New Roman" w:hAnsi="Calibri" w:cs="Calibri"/>
                <w:b/>
                <w:bCs/>
                <w:color w:val="FFFFFF"/>
                <w:sz w:val="16"/>
                <w:szCs w:val="16"/>
                <w:lang w:val="en-GB"/>
              </w:rPr>
            </w:pPr>
            <w:r w:rsidRPr="001E5747">
              <w:rPr>
                <w:rFonts w:ascii="Calibri" w:eastAsia="Times New Roman" w:hAnsi="Calibri" w:cs="Calibri"/>
                <w:b/>
                <w:bCs/>
                <w:color w:val="FFFFFF"/>
                <w:sz w:val="16"/>
                <w:szCs w:val="16"/>
                <w:lang w:val="en-GB"/>
              </w:rPr>
              <w:t>3</w:t>
            </w:r>
          </w:p>
        </w:tc>
        <w:tc>
          <w:tcPr>
            <w:tcW w:w="3897" w:type="pct"/>
            <w:tcBorders>
              <w:top w:val="single" w:sz="8" w:space="0" w:color="auto"/>
              <w:left w:val="nil"/>
              <w:right w:val="nil"/>
            </w:tcBorders>
            <w:shd w:val="clear" w:color="auto" w:fill="auto"/>
            <w:tcMar>
              <w:top w:w="15" w:type="dxa"/>
              <w:left w:w="15" w:type="dxa"/>
              <w:bottom w:w="0" w:type="dxa"/>
              <w:right w:w="15" w:type="dxa"/>
            </w:tcMar>
            <w:vAlign w:val="center"/>
            <w:hideMark/>
          </w:tcPr>
          <w:p w14:paraId="3A3E51C2" w14:textId="77777777" w:rsidR="00214972" w:rsidRPr="001E5747" w:rsidRDefault="00214972" w:rsidP="00214972">
            <w:pPr>
              <w:rPr>
                <w:rFonts w:ascii="Calibri" w:eastAsia="Times New Roman" w:hAnsi="Calibri" w:cs="Calibri"/>
                <w:color w:val="000000"/>
                <w:sz w:val="16"/>
                <w:szCs w:val="16"/>
                <w:lang w:val="en-GB"/>
              </w:rPr>
            </w:pPr>
            <w:r w:rsidRPr="001E5747">
              <w:rPr>
                <w:rFonts w:ascii="Calibri" w:eastAsia="Times New Roman" w:hAnsi="Calibri"/>
                <w:sz w:val="18"/>
                <w:szCs w:val="18"/>
                <w:lang w:val="en-GB"/>
              </w:rPr>
              <w:t>The audit opinion should be at least ‘unmodified opinion with emphasis of matter’</w:t>
            </w:r>
          </w:p>
        </w:tc>
        <w:tc>
          <w:tcPr>
            <w:tcW w:w="908" w:type="pct"/>
            <w:tcBorders>
              <w:top w:val="single" w:sz="4" w:space="0" w:color="auto"/>
              <w:left w:val="single" w:sz="4" w:space="0" w:color="auto"/>
              <w:bottom w:val="single" w:sz="4" w:space="0" w:color="auto"/>
              <w:right w:val="single" w:sz="8" w:space="0" w:color="auto"/>
            </w:tcBorders>
            <w:shd w:val="clear" w:color="auto" w:fill="auto"/>
            <w:tcMar>
              <w:top w:w="15" w:type="dxa"/>
              <w:left w:w="15" w:type="dxa"/>
              <w:bottom w:w="0" w:type="dxa"/>
              <w:right w:w="15" w:type="dxa"/>
            </w:tcMar>
            <w:vAlign w:val="center"/>
            <w:hideMark/>
          </w:tcPr>
          <w:p w14:paraId="03D34B28" w14:textId="77777777" w:rsidR="00214972" w:rsidRPr="001E5747" w:rsidRDefault="00214972" w:rsidP="00214972">
            <w:pPr>
              <w:jc w:val="center"/>
              <w:rPr>
                <w:rFonts w:ascii="Calibri" w:eastAsia="Times New Roman" w:hAnsi="Calibri" w:cs="Calibri"/>
                <w:color w:val="FF0000"/>
                <w:sz w:val="16"/>
                <w:szCs w:val="16"/>
                <w:lang w:val="en-GB"/>
              </w:rPr>
            </w:pPr>
            <w:r w:rsidRPr="001E5747">
              <w:rPr>
                <w:rFonts w:ascii="Calibri" w:eastAsia="Times New Roman" w:hAnsi="Calibri" w:cs="Calibri"/>
                <w:color w:val="FF0000"/>
                <w:sz w:val="16"/>
                <w:szCs w:val="16"/>
                <w:lang w:val="en-GB"/>
              </w:rPr>
              <w:t> </w:t>
            </w:r>
          </w:p>
          <w:p w14:paraId="5BF7028A" w14:textId="77777777" w:rsidR="00214972" w:rsidRPr="001E5747" w:rsidRDefault="00214972" w:rsidP="00214972">
            <w:pPr>
              <w:jc w:val="center"/>
              <w:rPr>
                <w:rFonts w:ascii="Calibri" w:eastAsia="Times New Roman" w:hAnsi="Calibri" w:cs="Calibri"/>
                <w:color w:val="FF0000"/>
                <w:sz w:val="16"/>
                <w:szCs w:val="16"/>
                <w:lang w:val="en-GB"/>
              </w:rPr>
            </w:pPr>
            <w:r w:rsidRPr="001E5747">
              <w:rPr>
                <w:rFonts w:ascii="Calibri" w:eastAsia="Times New Roman" w:hAnsi="Calibri" w:cs="Calibri"/>
                <w:color w:val="FF0000"/>
                <w:sz w:val="16"/>
                <w:szCs w:val="16"/>
                <w:lang w:val="en-GB"/>
              </w:rPr>
              <w:t> </w:t>
            </w:r>
          </w:p>
        </w:tc>
      </w:tr>
      <w:tr w:rsidR="00214972" w:rsidRPr="001E5747" w14:paraId="1B7BA1E0" w14:textId="77777777" w:rsidTr="00B739C3">
        <w:trPr>
          <w:trHeight w:val="484"/>
        </w:trPr>
        <w:tc>
          <w:tcPr>
            <w:tcW w:w="195" w:type="pct"/>
            <w:tcBorders>
              <w:top w:val="nil"/>
              <w:left w:val="single" w:sz="8" w:space="0" w:color="auto"/>
              <w:bottom w:val="single" w:sz="4" w:space="0" w:color="000000"/>
              <w:right w:val="single" w:sz="4" w:space="0" w:color="auto"/>
            </w:tcBorders>
            <w:shd w:val="clear" w:color="000000" w:fill="92CDDC"/>
            <w:tcMar>
              <w:top w:w="15" w:type="dxa"/>
              <w:left w:w="15" w:type="dxa"/>
              <w:bottom w:w="0" w:type="dxa"/>
              <w:right w:w="15" w:type="dxa"/>
            </w:tcMar>
            <w:vAlign w:val="center"/>
            <w:hideMark/>
          </w:tcPr>
          <w:p w14:paraId="01810BDD" w14:textId="77777777" w:rsidR="00214972" w:rsidRPr="001E5747" w:rsidRDefault="00214972" w:rsidP="00214972">
            <w:pPr>
              <w:jc w:val="center"/>
              <w:rPr>
                <w:rFonts w:ascii="Calibri" w:eastAsia="Times New Roman" w:hAnsi="Calibri" w:cs="Calibri"/>
                <w:b/>
                <w:bCs/>
                <w:color w:val="FFFFFF"/>
                <w:sz w:val="16"/>
                <w:szCs w:val="16"/>
                <w:lang w:val="en-GB"/>
              </w:rPr>
            </w:pPr>
            <w:r w:rsidRPr="001E5747">
              <w:rPr>
                <w:rFonts w:ascii="Calibri" w:eastAsia="Times New Roman" w:hAnsi="Calibri" w:cs="Calibri"/>
                <w:b/>
                <w:bCs/>
                <w:color w:val="FFFFFF"/>
                <w:sz w:val="16"/>
                <w:szCs w:val="16"/>
                <w:lang w:val="en-GB"/>
              </w:rPr>
              <w:t>4</w:t>
            </w:r>
          </w:p>
        </w:tc>
        <w:tc>
          <w:tcPr>
            <w:tcW w:w="3897" w:type="pct"/>
            <w:tcBorders>
              <w:top w:val="single" w:sz="8" w:space="0" w:color="auto"/>
              <w:left w:val="nil"/>
              <w:right w:val="nil"/>
            </w:tcBorders>
            <w:shd w:val="clear" w:color="auto" w:fill="auto"/>
            <w:tcMar>
              <w:top w:w="15" w:type="dxa"/>
              <w:left w:w="15" w:type="dxa"/>
              <w:bottom w:w="0" w:type="dxa"/>
              <w:right w:w="15" w:type="dxa"/>
            </w:tcMar>
            <w:vAlign w:val="center"/>
            <w:hideMark/>
          </w:tcPr>
          <w:p w14:paraId="4EB0D016" w14:textId="1B29496E" w:rsidR="00214972" w:rsidRPr="001E5747" w:rsidRDefault="00214972" w:rsidP="004930BD">
            <w:pPr>
              <w:rPr>
                <w:rFonts w:ascii="Calibri" w:eastAsia="Times New Roman" w:hAnsi="Calibri" w:cs="Calibri"/>
                <w:color w:val="000000"/>
                <w:sz w:val="16"/>
                <w:szCs w:val="16"/>
                <w:lang w:val="en-GB"/>
              </w:rPr>
            </w:pPr>
            <w:r w:rsidRPr="001E5747">
              <w:rPr>
                <w:rFonts w:ascii="Calibri" w:eastAsia="Times New Roman" w:hAnsi="Calibri"/>
                <w:sz w:val="18"/>
                <w:szCs w:val="18"/>
                <w:lang w:val="en-GB"/>
              </w:rPr>
              <w:t>Municipalities should have spent 75% or more of the final budget for capital investments</w:t>
            </w:r>
          </w:p>
        </w:tc>
        <w:tc>
          <w:tcPr>
            <w:tcW w:w="908" w:type="pct"/>
            <w:tcBorders>
              <w:top w:val="single" w:sz="4" w:space="0" w:color="auto"/>
              <w:left w:val="single" w:sz="4" w:space="0" w:color="000000"/>
              <w:bottom w:val="single" w:sz="4" w:space="0" w:color="auto"/>
              <w:right w:val="single" w:sz="8" w:space="0" w:color="auto"/>
            </w:tcBorders>
            <w:shd w:val="clear" w:color="auto" w:fill="auto"/>
            <w:tcMar>
              <w:top w:w="15" w:type="dxa"/>
              <w:left w:w="15" w:type="dxa"/>
              <w:bottom w:w="0" w:type="dxa"/>
              <w:right w:w="15" w:type="dxa"/>
            </w:tcMar>
            <w:vAlign w:val="center"/>
            <w:hideMark/>
          </w:tcPr>
          <w:p w14:paraId="702BBBAD" w14:textId="77777777" w:rsidR="00214972" w:rsidRPr="001E5747" w:rsidRDefault="00214972" w:rsidP="00214972">
            <w:pPr>
              <w:jc w:val="center"/>
              <w:rPr>
                <w:rFonts w:ascii="Calibri" w:eastAsia="Times New Roman" w:hAnsi="Calibri" w:cs="Calibri"/>
                <w:color w:val="FF0000"/>
                <w:sz w:val="16"/>
                <w:szCs w:val="16"/>
                <w:lang w:val="en-GB"/>
              </w:rPr>
            </w:pPr>
            <w:r w:rsidRPr="001E5747">
              <w:rPr>
                <w:rFonts w:ascii="Calibri" w:eastAsia="Times New Roman" w:hAnsi="Calibri" w:cs="Calibri"/>
                <w:color w:val="FF0000"/>
                <w:sz w:val="16"/>
                <w:szCs w:val="16"/>
                <w:lang w:val="en-GB"/>
              </w:rPr>
              <w:t> </w:t>
            </w:r>
          </w:p>
          <w:p w14:paraId="58CBBF6D" w14:textId="77777777" w:rsidR="00214972" w:rsidRPr="001E5747" w:rsidRDefault="00214972" w:rsidP="00214972">
            <w:pPr>
              <w:jc w:val="center"/>
              <w:rPr>
                <w:rFonts w:ascii="Calibri" w:eastAsia="Times New Roman" w:hAnsi="Calibri" w:cs="Calibri"/>
                <w:color w:val="FF0000"/>
                <w:sz w:val="16"/>
                <w:szCs w:val="16"/>
                <w:lang w:val="en-GB"/>
              </w:rPr>
            </w:pPr>
            <w:r w:rsidRPr="001E5747">
              <w:rPr>
                <w:rFonts w:ascii="Calibri" w:eastAsia="Times New Roman" w:hAnsi="Calibri" w:cs="Calibri"/>
                <w:color w:val="FF0000"/>
                <w:sz w:val="16"/>
                <w:szCs w:val="16"/>
                <w:lang w:val="en-GB"/>
              </w:rPr>
              <w:t> </w:t>
            </w:r>
          </w:p>
        </w:tc>
      </w:tr>
      <w:tr w:rsidR="00214972" w:rsidRPr="001E5747" w14:paraId="53306C49" w14:textId="77777777" w:rsidTr="00B739C3">
        <w:trPr>
          <w:trHeight w:val="316"/>
        </w:trPr>
        <w:tc>
          <w:tcPr>
            <w:tcW w:w="5000" w:type="pct"/>
            <w:gridSpan w:val="3"/>
            <w:tcBorders>
              <w:top w:val="single" w:sz="8" w:space="0" w:color="auto"/>
              <w:left w:val="single" w:sz="8" w:space="0" w:color="auto"/>
              <w:bottom w:val="single" w:sz="8" w:space="0" w:color="auto"/>
              <w:right w:val="single" w:sz="8" w:space="0" w:color="000000"/>
            </w:tcBorders>
            <w:shd w:val="clear" w:color="000000" w:fill="FFFFFF"/>
            <w:tcMar>
              <w:top w:w="15" w:type="dxa"/>
              <w:left w:w="15" w:type="dxa"/>
              <w:bottom w:w="0" w:type="dxa"/>
              <w:right w:w="15" w:type="dxa"/>
            </w:tcMar>
            <w:vAlign w:val="center"/>
            <w:hideMark/>
          </w:tcPr>
          <w:p w14:paraId="70FDC9B7" w14:textId="77777777" w:rsidR="00214972" w:rsidRPr="001E5747" w:rsidRDefault="00214972" w:rsidP="00214972">
            <w:pPr>
              <w:jc w:val="center"/>
              <w:rPr>
                <w:rFonts w:ascii="Calibri" w:eastAsia="Times New Roman" w:hAnsi="Calibri" w:cs="Calibri"/>
                <w:b/>
                <w:bCs/>
                <w:i/>
                <w:iCs/>
                <w:sz w:val="16"/>
                <w:szCs w:val="16"/>
                <w:lang w:val="en-GB"/>
              </w:rPr>
            </w:pPr>
            <w:r w:rsidRPr="001E5747">
              <w:rPr>
                <w:rFonts w:ascii="Calibri" w:eastAsia="Times New Roman" w:hAnsi="Calibri" w:cs="Calibri"/>
                <w:b/>
                <w:bCs/>
                <w:i/>
                <w:iCs/>
                <w:sz w:val="16"/>
                <w:szCs w:val="16"/>
                <w:lang w:val="en-GB"/>
              </w:rPr>
              <w:t>The municipality is qualified/not qualified for the performance grant</w:t>
            </w:r>
          </w:p>
        </w:tc>
      </w:tr>
      <w:tr w:rsidR="00214972" w:rsidRPr="001E5747" w14:paraId="240E4535" w14:textId="77777777" w:rsidTr="00B739C3">
        <w:trPr>
          <w:trHeight w:val="451"/>
        </w:trPr>
        <w:tc>
          <w:tcPr>
            <w:tcW w:w="195" w:type="pct"/>
            <w:tcBorders>
              <w:top w:val="single" w:sz="8" w:space="0" w:color="auto"/>
              <w:left w:val="single" w:sz="8" w:space="0" w:color="auto"/>
              <w:bottom w:val="single" w:sz="8" w:space="0" w:color="auto"/>
              <w:right w:val="single" w:sz="4" w:space="0" w:color="auto"/>
            </w:tcBorders>
            <w:shd w:val="clear" w:color="000000" w:fill="31869B"/>
            <w:tcMar>
              <w:top w:w="15" w:type="dxa"/>
              <w:left w:w="15" w:type="dxa"/>
              <w:bottom w:w="0" w:type="dxa"/>
              <w:right w:w="15" w:type="dxa"/>
            </w:tcMar>
            <w:vAlign w:val="center"/>
            <w:hideMark/>
          </w:tcPr>
          <w:p w14:paraId="03B721A3" w14:textId="77777777" w:rsidR="00214972" w:rsidRPr="001E5747" w:rsidRDefault="00214972" w:rsidP="00214972">
            <w:pPr>
              <w:jc w:val="center"/>
              <w:rPr>
                <w:rFonts w:ascii="Calibri" w:eastAsia="Times New Roman" w:hAnsi="Calibri" w:cs="Calibri"/>
                <w:b/>
                <w:bCs/>
                <w:color w:val="FFFFFF"/>
                <w:sz w:val="16"/>
                <w:szCs w:val="16"/>
                <w:lang w:val="en-GB"/>
              </w:rPr>
            </w:pPr>
            <w:r w:rsidRPr="001E5747">
              <w:rPr>
                <w:rFonts w:ascii="Calibri" w:eastAsia="Times New Roman" w:hAnsi="Calibri" w:cs="Calibri"/>
                <w:b/>
                <w:bCs/>
                <w:color w:val="FFFFFF"/>
                <w:sz w:val="16"/>
                <w:szCs w:val="16"/>
                <w:lang w:val="en-GB"/>
              </w:rPr>
              <w:t>#</w:t>
            </w:r>
          </w:p>
        </w:tc>
        <w:tc>
          <w:tcPr>
            <w:tcW w:w="3897" w:type="pct"/>
            <w:tcBorders>
              <w:top w:val="single" w:sz="8" w:space="0" w:color="auto"/>
              <w:left w:val="nil"/>
              <w:bottom w:val="single" w:sz="8" w:space="0" w:color="auto"/>
              <w:right w:val="single" w:sz="4" w:space="0" w:color="auto"/>
            </w:tcBorders>
            <w:shd w:val="clear" w:color="000000" w:fill="31869B"/>
            <w:tcMar>
              <w:top w:w="15" w:type="dxa"/>
              <w:left w:w="15" w:type="dxa"/>
              <w:bottom w:w="0" w:type="dxa"/>
              <w:right w:w="15" w:type="dxa"/>
            </w:tcMar>
            <w:vAlign w:val="center"/>
            <w:hideMark/>
          </w:tcPr>
          <w:p w14:paraId="23921A05" w14:textId="77777777" w:rsidR="00214972" w:rsidRPr="001E5747" w:rsidRDefault="00214972" w:rsidP="00214972">
            <w:pPr>
              <w:jc w:val="center"/>
              <w:rPr>
                <w:rFonts w:ascii="Calibri" w:eastAsia="Times New Roman" w:hAnsi="Calibri" w:cs="Calibri"/>
                <w:b/>
                <w:bCs/>
                <w:color w:val="FFFFFF"/>
                <w:sz w:val="16"/>
                <w:szCs w:val="16"/>
                <w:lang w:val="en-GB"/>
              </w:rPr>
            </w:pPr>
            <w:r w:rsidRPr="001E5747">
              <w:rPr>
                <w:rFonts w:ascii="Calibri" w:eastAsia="Times New Roman" w:hAnsi="Calibri" w:cs="Calibri"/>
                <w:b/>
                <w:bCs/>
                <w:color w:val="FFFFFF"/>
                <w:sz w:val="16"/>
                <w:szCs w:val="16"/>
                <w:lang w:val="en-GB"/>
              </w:rPr>
              <w:t>Fields and sub-fields of performance indicators</w:t>
            </w:r>
          </w:p>
        </w:tc>
        <w:tc>
          <w:tcPr>
            <w:tcW w:w="908" w:type="pct"/>
            <w:tcBorders>
              <w:top w:val="single" w:sz="8" w:space="0" w:color="auto"/>
              <w:left w:val="nil"/>
              <w:bottom w:val="single" w:sz="8" w:space="0" w:color="auto"/>
              <w:right w:val="single" w:sz="8" w:space="0" w:color="auto"/>
            </w:tcBorders>
            <w:shd w:val="clear" w:color="000000" w:fill="31869B"/>
            <w:tcMar>
              <w:top w:w="15" w:type="dxa"/>
              <w:left w:w="15" w:type="dxa"/>
              <w:bottom w:w="0" w:type="dxa"/>
              <w:right w:w="15" w:type="dxa"/>
            </w:tcMar>
            <w:vAlign w:val="center"/>
            <w:hideMark/>
          </w:tcPr>
          <w:p w14:paraId="36FD074F" w14:textId="77777777" w:rsidR="00214972" w:rsidRPr="001E5747" w:rsidRDefault="00214972" w:rsidP="00214972">
            <w:pPr>
              <w:jc w:val="center"/>
              <w:rPr>
                <w:rFonts w:ascii="Calibri" w:eastAsia="Times New Roman" w:hAnsi="Calibri" w:cs="Calibri"/>
                <w:b/>
                <w:bCs/>
                <w:color w:val="FFFFFF"/>
                <w:sz w:val="16"/>
                <w:szCs w:val="16"/>
                <w:lang w:val="en-GB"/>
              </w:rPr>
            </w:pPr>
            <w:r w:rsidRPr="001E5747">
              <w:rPr>
                <w:rFonts w:ascii="Calibri" w:eastAsia="Times New Roman" w:hAnsi="Calibri" w:cs="Calibri"/>
                <w:b/>
                <w:bCs/>
                <w:color w:val="FFFFFF"/>
                <w:sz w:val="16"/>
                <w:szCs w:val="16"/>
                <w:lang w:val="en-GB"/>
              </w:rPr>
              <w:t>Assessment</w:t>
            </w:r>
          </w:p>
        </w:tc>
      </w:tr>
      <w:tr w:rsidR="00214972" w:rsidRPr="001E5747" w14:paraId="4733F6F6" w14:textId="77777777" w:rsidTr="00B739C3">
        <w:trPr>
          <w:trHeight w:val="331"/>
        </w:trPr>
        <w:tc>
          <w:tcPr>
            <w:tcW w:w="195" w:type="pct"/>
            <w:tcBorders>
              <w:top w:val="nil"/>
              <w:left w:val="single" w:sz="8" w:space="0" w:color="auto"/>
              <w:bottom w:val="single" w:sz="4" w:space="0" w:color="auto"/>
              <w:right w:val="single" w:sz="4" w:space="0" w:color="auto"/>
            </w:tcBorders>
            <w:shd w:val="clear" w:color="000000" w:fill="92CDDC"/>
            <w:tcMar>
              <w:top w:w="15" w:type="dxa"/>
              <w:left w:w="15" w:type="dxa"/>
              <w:bottom w:w="0" w:type="dxa"/>
              <w:right w:w="15" w:type="dxa"/>
            </w:tcMar>
            <w:vAlign w:val="center"/>
            <w:hideMark/>
          </w:tcPr>
          <w:p w14:paraId="5281BE1F" w14:textId="77777777" w:rsidR="00214972" w:rsidRPr="001E5747" w:rsidRDefault="00214972" w:rsidP="00214972">
            <w:pPr>
              <w:jc w:val="center"/>
              <w:rPr>
                <w:rFonts w:ascii="Calibri" w:eastAsia="Times New Roman" w:hAnsi="Calibri" w:cs="Calibri"/>
                <w:b/>
                <w:bCs/>
                <w:color w:val="FFFFFF"/>
                <w:sz w:val="16"/>
                <w:szCs w:val="16"/>
                <w:lang w:val="en-GB"/>
              </w:rPr>
            </w:pPr>
            <w:r w:rsidRPr="001E5747">
              <w:rPr>
                <w:rFonts w:ascii="Calibri" w:eastAsia="Times New Roman" w:hAnsi="Calibri" w:cs="Calibri"/>
                <w:b/>
                <w:bCs/>
                <w:color w:val="FFFFFF"/>
                <w:sz w:val="16"/>
                <w:szCs w:val="16"/>
                <w:lang w:val="en-GB"/>
              </w:rPr>
              <w:t>I</w:t>
            </w:r>
          </w:p>
        </w:tc>
        <w:tc>
          <w:tcPr>
            <w:tcW w:w="3897" w:type="pct"/>
            <w:tcBorders>
              <w:top w:val="nil"/>
              <w:left w:val="nil"/>
              <w:right w:val="nil"/>
            </w:tcBorders>
            <w:shd w:val="clear" w:color="auto" w:fill="auto"/>
            <w:tcMar>
              <w:top w:w="15" w:type="dxa"/>
              <w:left w:w="15" w:type="dxa"/>
              <w:bottom w:w="0" w:type="dxa"/>
              <w:right w:w="15" w:type="dxa"/>
            </w:tcMar>
            <w:vAlign w:val="center"/>
            <w:hideMark/>
          </w:tcPr>
          <w:p w14:paraId="56678A1F" w14:textId="77777777" w:rsidR="00214972" w:rsidRPr="001E5747" w:rsidRDefault="00214972" w:rsidP="00214972">
            <w:pPr>
              <w:rPr>
                <w:rFonts w:ascii="Calibri" w:eastAsia="Times New Roman" w:hAnsi="Calibri" w:cs="Calibri"/>
                <w:color w:val="000000"/>
                <w:sz w:val="18"/>
                <w:szCs w:val="18"/>
                <w:lang w:val="en-GB"/>
              </w:rPr>
            </w:pPr>
            <w:r w:rsidRPr="001E5747">
              <w:rPr>
                <w:rFonts w:ascii="Calibri" w:eastAsia="Times New Roman" w:hAnsi="Calibri" w:cs="Calibri"/>
                <w:sz w:val="18"/>
                <w:szCs w:val="18"/>
                <w:lang w:val="en-GB"/>
              </w:rPr>
              <w:t xml:space="preserve">Role of the Municipal </w:t>
            </w:r>
            <w:r w:rsidR="009109D8" w:rsidRPr="001E5747">
              <w:rPr>
                <w:rFonts w:ascii="Calibri" w:eastAsia="Times New Roman" w:hAnsi="Calibri" w:cs="Calibri"/>
                <w:sz w:val="18"/>
                <w:szCs w:val="18"/>
                <w:lang w:val="en-GB"/>
              </w:rPr>
              <w:t>Assembly</w:t>
            </w:r>
            <w:r w:rsidRPr="001E5747">
              <w:rPr>
                <w:rFonts w:ascii="Calibri" w:eastAsia="Times New Roman" w:hAnsi="Calibri" w:cs="Calibri"/>
                <w:sz w:val="18"/>
                <w:szCs w:val="18"/>
                <w:lang w:val="en-GB"/>
              </w:rPr>
              <w:t xml:space="preserve"> as supervisory body</w:t>
            </w:r>
          </w:p>
        </w:tc>
        <w:tc>
          <w:tcPr>
            <w:tcW w:w="908" w:type="pct"/>
            <w:tcBorders>
              <w:top w:val="nil"/>
              <w:left w:val="single" w:sz="4" w:space="0" w:color="auto"/>
              <w:bottom w:val="single" w:sz="4" w:space="0" w:color="auto"/>
              <w:right w:val="single" w:sz="8" w:space="0" w:color="auto"/>
            </w:tcBorders>
            <w:shd w:val="clear" w:color="auto" w:fill="auto"/>
            <w:tcMar>
              <w:top w:w="15" w:type="dxa"/>
              <w:left w:w="15" w:type="dxa"/>
              <w:bottom w:w="0" w:type="dxa"/>
              <w:right w:w="15" w:type="dxa"/>
            </w:tcMar>
            <w:vAlign w:val="center"/>
            <w:hideMark/>
          </w:tcPr>
          <w:p w14:paraId="5D2A9F73" w14:textId="77777777" w:rsidR="00214972" w:rsidRPr="001E5747" w:rsidRDefault="00214972" w:rsidP="00214972">
            <w:pPr>
              <w:jc w:val="center"/>
              <w:rPr>
                <w:rFonts w:ascii="Arial" w:eastAsia="Times New Roman" w:hAnsi="Arial" w:cs="Arial"/>
                <w:color w:val="000000"/>
                <w:sz w:val="16"/>
                <w:szCs w:val="16"/>
                <w:lang w:val="en-GB"/>
              </w:rPr>
            </w:pPr>
            <w:r w:rsidRPr="001E5747">
              <w:rPr>
                <w:rFonts w:ascii="Arial" w:eastAsia="Times New Roman" w:hAnsi="Arial" w:cs="Arial"/>
                <w:color w:val="000000"/>
                <w:sz w:val="16"/>
                <w:szCs w:val="16"/>
                <w:lang w:val="en-GB"/>
              </w:rPr>
              <w:t>0</w:t>
            </w:r>
          </w:p>
        </w:tc>
      </w:tr>
      <w:tr w:rsidR="00214972" w:rsidRPr="001E5747" w14:paraId="4D047222" w14:textId="77777777" w:rsidTr="00B739C3">
        <w:trPr>
          <w:trHeight w:val="145"/>
        </w:trPr>
        <w:tc>
          <w:tcPr>
            <w:tcW w:w="195" w:type="pct"/>
            <w:tcBorders>
              <w:top w:val="nil"/>
              <w:left w:val="single" w:sz="8" w:space="0" w:color="auto"/>
              <w:bottom w:val="single" w:sz="4" w:space="0" w:color="auto"/>
              <w:right w:val="single" w:sz="4" w:space="0" w:color="auto"/>
            </w:tcBorders>
            <w:shd w:val="clear" w:color="000000" w:fill="92CDDC"/>
            <w:tcMar>
              <w:top w:w="15" w:type="dxa"/>
              <w:left w:w="15" w:type="dxa"/>
              <w:bottom w:w="0" w:type="dxa"/>
              <w:right w:w="15" w:type="dxa"/>
            </w:tcMar>
            <w:vAlign w:val="center"/>
            <w:hideMark/>
          </w:tcPr>
          <w:p w14:paraId="2F9622B2" w14:textId="77777777" w:rsidR="00214972" w:rsidRPr="001E5747" w:rsidRDefault="00214972" w:rsidP="00214972">
            <w:pPr>
              <w:jc w:val="center"/>
              <w:rPr>
                <w:rFonts w:ascii="Calibri" w:eastAsia="Times New Roman" w:hAnsi="Calibri" w:cs="Calibri"/>
                <w:b/>
                <w:bCs/>
                <w:color w:val="FFFFFF"/>
                <w:sz w:val="16"/>
                <w:szCs w:val="16"/>
                <w:lang w:val="en-GB"/>
              </w:rPr>
            </w:pPr>
            <w:r w:rsidRPr="001E5747">
              <w:rPr>
                <w:rFonts w:ascii="Calibri" w:eastAsia="Times New Roman" w:hAnsi="Calibri" w:cs="Calibri"/>
                <w:b/>
                <w:bCs/>
                <w:color w:val="FFFFFF"/>
                <w:sz w:val="16"/>
                <w:szCs w:val="16"/>
                <w:lang w:val="en-GB"/>
              </w:rPr>
              <w:t>II</w:t>
            </w:r>
          </w:p>
        </w:tc>
        <w:tc>
          <w:tcPr>
            <w:tcW w:w="3897" w:type="pct"/>
            <w:tcBorders>
              <w:top w:val="single" w:sz="8" w:space="0" w:color="auto"/>
              <w:left w:val="nil"/>
              <w:right w:val="nil"/>
            </w:tcBorders>
            <w:shd w:val="clear" w:color="auto" w:fill="auto"/>
            <w:tcMar>
              <w:top w:w="15" w:type="dxa"/>
              <w:left w:w="15" w:type="dxa"/>
              <w:bottom w:w="0" w:type="dxa"/>
              <w:right w:w="15" w:type="dxa"/>
            </w:tcMar>
            <w:vAlign w:val="center"/>
            <w:hideMark/>
          </w:tcPr>
          <w:p w14:paraId="2DBDCCA6" w14:textId="77777777" w:rsidR="00214972" w:rsidRPr="001E5747" w:rsidRDefault="009109D8" w:rsidP="00214972">
            <w:pPr>
              <w:spacing w:before="100"/>
              <w:rPr>
                <w:rFonts w:ascii="Calibri" w:eastAsia="Times New Roman" w:hAnsi="Calibri" w:cs="Calibri"/>
                <w:color w:val="000000"/>
                <w:sz w:val="18"/>
                <w:szCs w:val="18"/>
                <w:lang w:val="en-GB"/>
              </w:rPr>
            </w:pPr>
            <w:r w:rsidRPr="001E5747">
              <w:rPr>
                <w:rFonts w:ascii="Calibri" w:eastAsia="Times New Roman" w:hAnsi="Calibri" w:cs="Calibri"/>
                <w:color w:val="000000"/>
                <w:sz w:val="18"/>
                <w:szCs w:val="18"/>
                <w:lang w:val="en-GB"/>
              </w:rPr>
              <w:t>Citizen participation, consultation and inclusiveness</w:t>
            </w:r>
          </w:p>
        </w:tc>
        <w:tc>
          <w:tcPr>
            <w:tcW w:w="908" w:type="pct"/>
            <w:tcBorders>
              <w:top w:val="nil"/>
              <w:left w:val="single" w:sz="4" w:space="0" w:color="auto"/>
              <w:bottom w:val="single" w:sz="4" w:space="0" w:color="auto"/>
              <w:right w:val="single" w:sz="8" w:space="0" w:color="auto"/>
            </w:tcBorders>
            <w:shd w:val="clear" w:color="auto" w:fill="auto"/>
            <w:tcMar>
              <w:top w:w="15" w:type="dxa"/>
              <w:left w:w="15" w:type="dxa"/>
              <w:bottom w:w="0" w:type="dxa"/>
              <w:right w:w="15" w:type="dxa"/>
            </w:tcMar>
            <w:vAlign w:val="center"/>
            <w:hideMark/>
          </w:tcPr>
          <w:p w14:paraId="6560C8CE" w14:textId="77777777" w:rsidR="00214972" w:rsidRPr="001E5747" w:rsidRDefault="00214972" w:rsidP="00214972">
            <w:pPr>
              <w:jc w:val="center"/>
              <w:rPr>
                <w:rFonts w:ascii="Arial" w:eastAsia="Times New Roman" w:hAnsi="Arial" w:cs="Arial"/>
                <w:color w:val="000000"/>
                <w:sz w:val="16"/>
                <w:szCs w:val="16"/>
                <w:lang w:val="en-GB"/>
              </w:rPr>
            </w:pPr>
            <w:r w:rsidRPr="001E5747">
              <w:rPr>
                <w:rFonts w:ascii="Arial" w:eastAsia="Times New Roman" w:hAnsi="Arial" w:cs="Arial"/>
                <w:color w:val="000000"/>
                <w:sz w:val="16"/>
                <w:szCs w:val="16"/>
                <w:lang w:val="en-GB"/>
              </w:rPr>
              <w:t>0</w:t>
            </w:r>
          </w:p>
        </w:tc>
      </w:tr>
      <w:tr w:rsidR="00214972" w:rsidRPr="001E5747" w14:paraId="7050DBE9" w14:textId="77777777" w:rsidTr="00B739C3">
        <w:trPr>
          <w:trHeight w:val="325"/>
        </w:trPr>
        <w:tc>
          <w:tcPr>
            <w:tcW w:w="195" w:type="pct"/>
            <w:tcBorders>
              <w:top w:val="nil"/>
              <w:left w:val="single" w:sz="8" w:space="0" w:color="auto"/>
              <w:bottom w:val="single" w:sz="8" w:space="0" w:color="000000"/>
              <w:right w:val="single" w:sz="4" w:space="0" w:color="auto"/>
            </w:tcBorders>
            <w:shd w:val="clear" w:color="000000" w:fill="92CDDC"/>
            <w:tcMar>
              <w:top w:w="15" w:type="dxa"/>
              <w:left w:w="15" w:type="dxa"/>
              <w:bottom w:w="0" w:type="dxa"/>
              <w:right w:w="15" w:type="dxa"/>
            </w:tcMar>
            <w:vAlign w:val="center"/>
            <w:hideMark/>
          </w:tcPr>
          <w:p w14:paraId="3E9B6063" w14:textId="77777777" w:rsidR="00214972" w:rsidRPr="001E5747" w:rsidRDefault="00214972" w:rsidP="00214972">
            <w:pPr>
              <w:jc w:val="center"/>
              <w:rPr>
                <w:rFonts w:ascii="Calibri" w:eastAsia="Times New Roman" w:hAnsi="Calibri" w:cs="Calibri"/>
                <w:b/>
                <w:bCs/>
                <w:color w:val="FFFFFF"/>
                <w:sz w:val="16"/>
                <w:szCs w:val="16"/>
                <w:lang w:val="en-GB"/>
              </w:rPr>
            </w:pPr>
            <w:r w:rsidRPr="001E5747">
              <w:rPr>
                <w:rFonts w:ascii="Calibri" w:eastAsia="Times New Roman" w:hAnsi="Calibri" w:cs="Calibri"/>
                <w:b/>
                <w:bCs/>
                <w:color w:val="FFFFFF"/>
                <w:sz w:val="16"/>
                <w:szCs w:val="16"/>
                <w:lang w:val="en-GB"/>
              </w:rPr>
              <w:t>III</w:t>
            </w:r>
          </w:p>
        </w:tc>
        <w:tc>
          <w:tcPr>
            <w:tcW w:w="3897" w:type="pct"/>
            <w:tcBorders>
              <w:top w:val="single" w:sz="8" w:space="0" w:color="auto"/>
              <w:left w:val="nil"/>
              <w:right w:val="nil"/>
            </w:tcBorders>
            <w:shd w:val="clear" w:color="auto" w:fill="auto"/>
            <w:tcMar>
              <w:top w:w="15" w:type="dxa"/>
              <w:left w:w="15" w:type="dxa"/>
              <w:bottom w:w="0" w:type="dxa"/>
              <w:right w:w="15" w:type="dxa"/>
            </w:tcMar>
            <w:vAlign w:val="center"/>
            <w:hideMark/>
          </w:tcPr>
          <w:p w14:paraId="69CD8E3A" w14:textId="77777777" w:rsidR="00214972" w:rsidRPr="001E5747" w:rsidRDefault="00214972" w:rsidP="00214972">
            <w:pPr>
              <w:rPr>
                <w:rFonts w:ascii="Calibri" w:eastAsia="Times New Roman" w:hAnsi="Calibri" w:cs="Calibri"/>
                <w:color w:val="000000"/>
                <w:sz w:val="18"/>
                <w:szCs w:val="18"/>
                <w:lang w:val="en-GB"/>
              </w:rPr>
            </w:pPr>
            <w:r w:rsidRPr="001E5747">
              <w:rPr>
                <w:rFonts w:ascii="Calibri" w:eastAsia="Times New Roman" w:hAnsi="Calibri" w:cs="Calibri"/>
                <w:color w:val="000000"/>
                <w:sz w:val="18"/>
                <w:szCs w:val="18"/>
                <w:lang w:val="en-GB"/>
              </w:rPr>
              <w:t>Transparency, access to information and integrity</w:t>
            </w:r>
          </w:p>
        </w:tc>
        <w:tc>
          <w:tcPr>
            <w:tcW w:w="908" w:type="pct"/>
            <w:tcBorders>
              <w:top w:val="nil"/>
              <w:left w:val="single" w:sz="4"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0DD6463A" w14:textId="77777777" w:rsidR="00214972" w:rsidRPr="001E5747" w:rsidRDefault="00214972" w:rsidP="00214972">
            <w:pPr>
              <w:jc w:val="center"/>
              <w:rPr>
                <w:rFonts w:ascii="Arial" w:eastAsia="Times New Roman" w:hAnsi="Arial" w:cs="Arial"/>
                <w:color w:val="000000"/>
                <w:sz w:val="16"/>
                <w:szCs w:val="16"/>
                <w:lang w:val="en-GB"/>
              </w:rPr>
            </w:pPr>
            <w:r w:rsidRPr="001E5747">
              <w:rPr>
                <w:rFonts w:ascii="Arial" w:eastAsia="Times New Roman" w:hAnsi="Arial" w:cs="Arial"/>
                <w:color w:val="000000"/>
                <w:sz w:val="16"/>
                <w:szCs w:val="16"/>
                <w:lang w:val="en-GB"/>
              </w:rPr>
              <w:t>0</w:t>
            </w:r>
          </w:p>
        </w:tc>
      </w:tr>
      <w:tr w:rsidR="00214972" w:rsidRPr="001E5747" w14:paraId="61E8C18D" w14:textId="77777777" w:rsidTr="00B739C3">
        <w:trPr>
          <w:trHeight w:val="384"/>
        </w:trPr>
        <w:tc>
          <w:tcPr>
            <w:tcW w:w="4092" w:type="pct"/>
            <w:gridSpan w:val="2"/>
            <w:tcBorders>
              <w:top w:val="single" w:sz="8" w:space="0" w:color="auto"/>
              <w:left w:val="single" w:sz="8" w:space="0" w:color="auto"/>
              <w:bottom w:val="single" w:sz="8" w:space="0" w:color="auto"/>
              <w:right w:val="single" w:sz="4" w:space="0" w:color="auto"/>
            </w:tcBorders>
            <w:shd w:val="clear" w:color="000000" w:fill="31869B"/>
            <w:tcMar>
              <w:top w:w="15" w:type="dxa"/>
              <w:left w:w="15" w:type="dxa"/>
              <w:bottom w:w="0" w:type="dxa"/>
              <w:right w:w="15" w:type="dxa"/>
            </w:tcMar>
            <w:vAlign w:val="center"/>
            <w:hideMark/>
          </w:tcPr>
          <w:p w14:paraId="6911665D" w14:textId="77777777" w:rsidR="00214972" w:rsidRPr="001E5747" w:rsidRDefault="00214972" w:rsidP="00214972">
            <w:pPr>
              <w:jc w:val="right"/>
              <w:rPr>
                <w:rFonts w:ascii="Calibri" w:eastAsia="Times New Roman" w:hAnsi="Calibri" w:cs="Calibri"/>
                <w:b/>
                <w:bCs/>
                <w:color w:val="FFFFFF"/>
                <w:sz w:val="16"/>
                <w:szCs w:val="16"/>
                <w:lang w:val="en-GB"/>
              </w:rPr>
            </w:pPr>
            <w:r w:rsidRPr="001E5747">
              <w:rPr>
                <w:rFonts w:ascii="Calibri" w:eastAsia="Times New Roman" w:hAnsi="Calibri" w:cs="Calibri"/>
                <w:b/>
                <w:bCs/>
                <w:color w:val="FFFFFF"/>
                <w:sz w:val="16"/>
                <w:szCs w:val="16"/>
                <w:lang w:val="en-GB"/>
              </w:rPr>
              <w:t xml:space="preserve">Score </w:t>
            </w:r>
            <w:r w:rsidRPr="001E5747">
              <w:rPr>
                <w:rFonts w:ascii="Calibri" w:eastAsia="Times New Roman" w:hAnsi="Calibri" w:cs="Calibri"/>
                <w:color w:val="FFFFFF"/>
                <w:sz w:val="16"/>
                <w:szCs w:val="16"/>
                <w:lang w:val="en-GB"/>
              </w:rPr>
              <w:t>for municipal governance</w:t>
            </w:r>
          </w:p>
        </w:tc>
        <w:tc>
          <w:tcPr>
            <w:tcW w:w="908" w:type="pct"/>
            <w:tcBorders>
              <w:top w:val="nil"/>
              <w:left w:val="nil"/>
              <w:bottom w:val="single" w:sz="4" w:space="0" w:color="auto"/>
              <w:right w:val="single" w:sz="8" w:space="0" w:color="auto"/>
            </w:tcBorders>
            <w:shd w:val="clear" w:color="000000" w:fill="31869B"/>
            <w:tcMar>
              <w:top w:w="15" w:type="dxa"/>
              <w:left w:w="15" w:type="dxa"/>
              <w:bottom w:w="0" w:type="dxa"/>
              <w:right w:w="15" w:type="dxa"/>
            </w:tcMar>
            <w:vAlign w:val="center"/>
            <w:hideMark/>
          </w:tcPr>
          <w:p w14:paraId="5B90ED34" w14:textId="77777777" w:rsidR="00214972" w:rsidRPr="001E5747" w:rsidRDefault="00214972" w:rsidP="00214972">
            <w:pPr>
              <w:jc w:val="center"/>
              <w:rPr>
                <w:rFonts w:ascii="Calibri" w:eastAsia="Times New Roman" w:hAnsi="Calibri" w:cs="Calibri"/>
                <w:b/>
                <w:bCs/>
                <w:color w:val="FFFFFF"/>
                <w:sz w:val="16"/>
                <w:szCs w:val="16"/>
                <w:lang w:val="en-GB"/>
              </w:rPr>
            </w:pPr>
            <w:r w:rsidRPr="001E5747">
              <w:rPr>
                <w:rFonts w:ascii="Calibri" w:eastAsia="Times New Roman" w:hAnsi="Calibri" w:cs="Calibri"/>
                <w:b/>
                <w:bCs/>
                <w:color w:val="FFFFFF"/>
                <w:sz w:val="16"/>
                <w:szCs w:val="16"/>
                <w:lang w:val="en-GB"/>
              </w:rPr>
              <w:t>0</w:t>
            </w:r>
          </w:p>
        </w:tc>
      </w:tr>
      <w:tr w:rsidR="00214972" w:rsidRPr="001E5747" w14:paraId="22985930" w14:textId="77777777" w:rsidTr="00B739C3">
        <w:trPr>
          <w:trHeight w:val="352"/>
        </w:trPr>
        <w:tc>
          <w:tcPr>
            <w:tcW w:w="195" w:type="pct"/>
            <w:tcBorders>
              <w:top w:val="nil"/>
              <w:left w:val="single" w:sz="8" w:space="0" w:color="auto"/>
              <w:bottom w:val="single" w:sz="4" w:space="0" w:color="auto"/>
              <w:right w:val="single" w:sz="4" w:space="0" w:color="auto"/>
            </w:tcBorders>
            <w:shd w:val="clear" w:color="000000" w:fill="92CDDC"/>
            <w:tcMar>
              <w:top w:w="15" w:type="dxa"/>
              <w:left w:w="15" w:type="dxa"/>
              <w:bottom w:w="0" w:type="dxa"/>
              <w:right w:w="15" w:type="dxa"/>
            </w:tcMar>
            <w:vAlign w:val="center"/>
            <w:hideMark/>
          </w:tcPr>
          <w:p w14:paraId="39561A03" w14:textId="77777777" w:rsidR="00214972" w:rsidRPr="001E5747" w:rsidRDefault="00214972" w:rsidP="00214972">
            <w:pPr>
              <w:jc w:val="center"/>
              <w:rPr>
                <w:rFonts w:ascii="Calibri" w:eastAsia="Times New Roman" w:hAnsi="Calibri" w:cs="Calibri"/>
                <w:b/>
                <w:bCs/>
                <w:color w:val="FFFFFF"/>
                <w:sz w:val="16"/>
                <w:szCs w:val="16"/>
                <w:lang w:val="en-GB"/>
              </w:rPr>
            </w:pPr>
            <w:r w:rsidRPr="001E5747">
              <w:rPr>
                <w:rFonts w:ascii="Calibri" w:eastAsia="Times New Roman" w:hAnsi="Calibri" w:cs="Calibri"/>
                <w:b/>
                <w:bCs/>
                <w:color w:val="FFFFFF"/>
                <w:sz w:val="16"/>
                <w:szCs w:val="16"/>
                <w:lang w:val="en-GB"/>
              </w:rPr>
              <w:t>IV</w:t>
            </w:r>
          </w:p>
        </w:tc>
        <w:tc>
          <w:tcPr>
            <w:tcW w:w="3897" w:type="pct"/>
            <w:tcBorders>
              <w:top w:val="nil"/>
              <w:left w:val="nil"/>
              <w:right w:val="nil"/>
            </w:tcBorders>
            <w:shd w:val="clear" w:color="auto" w:fill="auto"/>
            <w:tcMar>
              <w:top w:w="15" w:type="dxa"/>
              <w:left w:w="15" w:type="dxa"/>
              <w:bottom w:w="0" w:type="dxa"/>
              <w:right w:w="15" w:type="dxa"/>
            </w:tcMar>
            <w:vAlign w:val="center"/>
            <w:hideMark/>
          </w:tcPr>
          <w:p w14:paraId="3730AC1F" w14:textId="77777777" w:rsidR="00214972" w:rsidRPr="001E5747" w:rsidRDefault="00214972" w:rsidP="00214972">
            <w:pPr>
              <w:rPr>
                <w:rFonts w:ascii="Calibri" w:eastAsia="Times New Roman" w:hAnsi="Calibri" w:cs="Calibri"/>
                <w:color w:val="000000"/>
                <w:sz w:val="18"/>
                <w:szCs w:val="18"/>
                <w:lang w:val="en-GB"/>
              </w:rPr>
            </w:pPr>
            <w:r w:rsidRPr="001E5747">
              <w:rPr>
                <w:rFonts w:ascii="Calibri" w:eastAsia="Times New Roman" w:hAnsi="Calibri" w:cs="Calibri"/>
                <w:color w:val="000000"/>
                <w:sz w:val="18"/>
                <w:szCs w:val="18"/>
                <w:lang w:val="en-GB"/>
              </w:rPr>
              <w:t>Financial management</w:t>
            </w:r>
          </w:p>
        </w:tc>
        <w:tc>
          <w:tcPr>
            <w:tcW w:w="908" w:type="pct"/>
            <w:tcBorders>
              <w:top w:val="single" w:sz="8" w:space="0" w:color="auto"/>
              <w:left w:val="single" w:sz="4" w:space="0" w:color="auto"/>
              <w:bottom w:val="single" w:sz="4" w:space="0" w:color="auto"/>
              <w:right w:val="single" w:sz="8" w:space="0" w:color="auto"/>
            </w:tcBorders>
            <w:shd w:val="clear" w:color="000000" w:fill="FFFFFF"/>
            <w:tcMar>
              <w:top w:w="15" w:type="dxa"/>
              <w:left w:w="15" w:type="dxa"/>
              <w:bottom w:w="0" w:type="dxa"/>
              <w:right w:w="15" w:type="dxa"/>
            </w:tcMar>
            <w:vAlign w:val="center"/>
            <w:hideMark/>
          </w:tcPr>
          <w:p w14:paraId="61480298" w14:textId="77777777" w:rsidR="00214972" w:rsidRPr="001E5747" w:rsidRDefault="00214972" w:rsidP="00214972">
            <w:pPr>
              <w:jc w:val="center"/>
              <w:rPr>
                <w:rFonts w:ascii="Arial" w:eastAsia="Times New Roman" w:hAnsi="Arial" w:cs="Arial"/>
                <w:color w:val="000000"/>
                <w:sz w:val="16"/>
                <w:szCs w:val="16"/>
                <w:lang w:val="en-GB"/>
              </w:rPr>
            </w:pPr>
            <w:r w:rsidRPr="001E5747">
              <w:rPr>
                <w:rFonts w:ascii="Arial" w:eastAsia="Times New Roman" w:hAnsi="Arial" w:cs="Arial"/>
                <w:color w:val="000000"/>
                <w:sz w:val="16"/>
                <w:szCs w:val="16"/>
                <w:lang w:val="en-GB"/>
              </w:rPr>
              <w:t>0</w:t>
            </w:r>
          </w:p>
        </w:tc>
      </w:tr>
      <w:tr w:rsidR="00214972" w:rsidRPr="001E5747" w14:paraId="5704A6CB" w14:textId="77777777" w:rsidTr="00B739C3">
        <w:trPr>
          <w:trHeight w:val="424"/>
        </w:trPr>
        <w:tc>
          <w:tcPr>
            <w:tcW w:w="195" w:type="pct"/>
            <w:tcBorders>
              <w:top w:val="nil"/>
              <w:left w:val="single" w:sz="8" w:space="0" w:color="auto"/>
              <w:bottom w:val="single" w:sz="4" w:space="0" w:color="auto"/>
              <w:right w:val="single" w:sz="4" w:space="0" w:color="auto"/>
            </w:tcBorders>
            <w:shd w:val="clear" w:color="000000" w:fill="92CDDC"/>
            <w:tcMar>
              <w:top w:w="15" w:type="dxa"/>
              <w:left w:w="15" w:type="dxa"/>
              <w:bottom w:w="0" w:type="dxa"/>
              <w:right w:w="15" w:type="dxa"/>
            </w:tcMar>
            <w:vAlign w:val="center"/>
            <w:hideMark/>
          </w:tcPr>
          <w:p w14:paraId="49A2435B" w14:textId="77777777" w:rsidR="00214972" w:rsidRPr="001E5747" w:rsidRDefault="00214972" w:rsidP="00214972">
            <w:pPr>
              <w:jc w:val="center"/>
              <w:rPr>
                <w:rFonts w:ascii="Calibri" w:eastAsia="Times New Roman" w:hAnsi="Calibri" w:cs="Calibri"/>
                <w:b/>
                <w:bCs/>
                <w:color w:val="FFFFFF"/>
                <w:sz w:val="16"/>
                <w:szCs w:val="16"/>
                <w:lang w:val="en-GB"/>
              </w:rPr>
            </w:pPr>
            <w:r w:rsidRPr="001E5747">
              <w:rPr>
                <w:rFonts w:ascii="Calibri" w:eastAsia="Times New Roman" w:hAnsi="Calibri" w:cs="Calibri"/>
                <w:b/>
                <w:bCs/>
                <w:color w:val="FFFFFF"/>
                <w:sz w:val="16"/>
                <w:szCs w:val="16"/>
                <w:lang w:val="en-GB"/>
              </w:rPr>
              <w:t>V</w:t>
            </w:r>
          </w:p>
        </w:tc>
        <w:tc>
          <w:tcPr>
            <w:tcW w:w="3897" w:type="pct"/>
            <w:tcBorders>
              <w:top w:val="single" w:sz="8" w:space="0" w:color="auto"/>
              <w:left w:val="nil"/>
              <w:right w:val="nil"/>
            </w:tcBorders>
            <w:shd w:val="clear" w:color="auto" w:fill="auto"/>
            <w:tcMar>
              <w:top w:w="15" w:type="dxa"/>
              <w:left w:w="15" w:type="dxa"/>
              <w:bottom w:w="0" w:type="dxa"/>
              <w:right w:w="15" w:type="dxa"/>
            </w:tcMar>
            <w:vAlign w:val="center"/>
            <w:hideMark/>
          </w:tcPr>
          <w:p w14:paraId="70FEC762" w14:textId="77777777" w:rsidR="00214972" w:rsidRPr="001E5747" w:rsidRDefault="00214972" w:rsidP="00214972">
            <w:pPr>
              <w:rPr>
                <w:rFonts w:ascii="Calibri" w:eastAsia="Times New Roman" w:hAnsi="Calibri" w:cs="Calibri"/>
                <w:color w:val="000000"/>
                <w:sz w:val="18"/>
                <w:szCs w:val="18"/>
                <w:lang w:val="en-GB"/>
              </w:rPr>
            </w:pPr>
            <w:r w:rsidRPr="001E5747">
              <w:rPr>
                <w:rFonts w:ascii="Calibri" w:eastAsia="Times New Roman" w:hAnsi="Calibri" w:cs="Calibri"/>
                <w:color w:val="000000"/>
                <w:sz w:val="18"/>
                <w:szCs w:val="18"/>
                <w:lang w:val="en-GB"/>
              </w:rPr>
              <w:t>Contract management</w:t>
            </w:r>
          </w:p>
        </w:tc>
        <w:tc>
          <w:tcPr>
            <w:tcW w:w="908" w:type="pct"/>
            <w:tcBorders>
              <w:top w:val="nil"/>
              <w:left w:val="single" w:sz="4" w:space="0" w:color="auto"/>
              <w:bottom w:val="single" w:sz="4" w:space="0" w:color="auto"/>
              <w:right w:val="single" w:sz="8" w:space="0" w:color="auto"/>
            </w:tcBorders>
            <w:shd w:val="clear" w:color="000000" w:fill="FFFFFF"/>
            <w:tcMar>
              <w:top w:w="15" w:type="dxa"/>
              <w:left w:w="15" w:type="dxa"/>
              <w:bottom w:w="0" w:type="dxa"/>
              <w:right w:w="15" w:type="dxa"/>
            </w:tcMar>
            <w:vAlign w:val="center"/>
            <w:hideMark/>
          </w:tcPr>
          <w:p w14:paraId="7933E5D2" w14:textId="77777777" w:rsidR="00214972" w:rsidRPr="001E5747" w:rsidRDefault="00214972" w:rsidP="00214972">
            <w:pPr>
              <w:jc w:val="center"/>
              <w:rPr>
                <w:rFonts w:ascii="Arial" w:eastAsia="Times New Roman" w:hAnsi="Arial" w:cs="Arial"/>
                <w:color w:val="000000"/>
                <w:sz w:val="16"/>
                <w:szCs w:val="16"/>
                <w:lang w:val="en-GB"/>
              </w:rPr>
            </w:pPr>
            <w:r w:rsidRPr="001E5747">
              <w:rPr>
                <w:rFonts w:ascii="Arial" w:eastAsia="Times New Roman" w:hAnsi="Arial" w:cs="Arial"/>
                <w:color w:val="000000"/>
                <w:sz w:val="16"/>
                <w:szCs w:val="16"/>
                <w:lang w:val="en-GB"/>
              </w:rPr>
              <w:t>0</w:t>
            </w:r>
          </w:p>
        </w:tc>
      </w:tr>
      <w:tr w:rsidR="00214972" w:rsidRPr="001E5747" w14:paraId="5EC2677C" w14:textId="77777777" w:rsidTr="00B739C3">
        <w:trPr>
          <w:trHeight w:val="415"/>
        </w:trPr>
        <w:tc>
          <w:tcPr>
            <w:tcW w:w="195" w:type="pct"/>
            <w:tcBorders>
              <w:top w:val="nil"/>
              <w:left w:val="single" w:sz="8" w:space="0" w:color="auto"/>
              <w:bottom w:val="single" w:sz="8" w:space="0" w:color="000000"/>
              <w:right w:val="single" w:sz="4" w:space="0" w:color="auto"/>
            </w:tcBorders>
            <w:shd w:val="clear" w:color="000000" w:fill="92CDDC"/>
            <w:tcMar>
              <w:top w:w="15" w:type="dxa"/>
              <w:left w:w="15" w:type="dxa"/>
              <w:bottom w:w="0" w:type="dxa"/>
              <w:right w:w="15" w:type="dxa"/>
            </w:tcMar>
            <w:vAlign w:val="center"/>
            <w:hideMark/>
          </w:tcPr>
          <w:p w14:paraId="687F9D2C" w14:textId="77777777" w:rsidR="00214972" w:rsidRPr="001E5747" w:rsidRDefault="00214972" w:rsidP="00214972">
            <w:pPr>
              <w:jc w:val="center"/>
              <w:rPr>
                <w:rFonts w:ascii="Calibri" w:eastAsia="Times New Roman" w:hAnsi="Calibri" w:cs="Calibri"/>
                <w:b/>
                <w:bCs/>
                <w:color w:val="FFFFFF"/>
                <w:sz w:val="16"/>
                <w:szCs w:val="16"/>
                <w:lang w:val="en-GB"/>
              </w:rPr>
            </w:pPr>
            <w:r w:rsidRPr="001E5747">
              <w:rPr>
                <w:rFonts w:ascii="Calibri" w:eastAsia="Times New Roman" w:hAnsi="Calibri" w:cs="Calibri"/>
                <w:b/>
                <w:bCs/>
                <w:color w:val="FFFFFF"/>
                <w:sz w:val="16"/>
                <w:szCs w:val="16"/>
                <w:lang w:val="en-GB"/>
              </w:rPr>
              <w:t>VI</w:t>
            </w:r>
          </w:p>
        </w:tc>
        <w:tc>
          <w:tcPr>
            <w:tcW w:w="3897" w:type="pct"/>
            <w:tcBorders>
              <w:top w:val="single" w:sz="8" w:space="0" w:color="auto"/>
              <w:left w:val="nil"/>
              <w:right w:val="nil"/>
            </w:tcBorders>
            <w:shd w:val="clear" w:color="auto" w:fill="auto"/>
            <w:tcMar>
              <w:top w:w="15" w:type="dxa"/>
              <w:left w:w="15" w:type="dxa"/>
              <w:bottom w:w="0" w:type="dxa"/>
              <w:right w:w="15" w:type="dxa"/>
            </w:tcMar>
            <w:vAlign w:val="center"/>
            <w:hideMark/>
          </w:tcPr>
          <w:p w14:paraId="02BDA29D" w14:textId="77777777" w:rsidR="00214972" w:rsidRPr="001E5747" w:rsidRDefault="00214972" w:rsidP="00214972">
            <w:pPr>
              <w:rPr>
                <w:rFonts w:ascii="Calibri" w:eastAsia="Times New Roman" w:hAnsi="Calibri" w:cs="Calibri"/>
                <w:color w:val="000000"/>
                <w:sz w:val="18"/>
                <w:szCs w:val="18"/>
                <w:lang w:val="en-GB"/>
              </w:rPr>
            </w:pPr>
            <w:r w:rsidRPr="001E5747">
              <w:rPr>
                <w:rFonts w:ascii="Calibri" w:eastAsia="Times New Roman" w:hAnsi="Calibri" w:cs="Calibri"/>
                <w:color w:val="000000"/>
                <w:sz w:val="18"/>
                <w:szCs w:val="18"/>
                <w:lang w:val="en-GB" w:eastAsia="af-ZA"/>
              </w:rPr>
              <w:t>Human resources management</w:t>
            </w:r>
          </w:p>
        </w:tc>
        <w:tc>
          <w:tcPr>
            <w:tcW w:w="908" w:type="pc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vAlign w:val="center"/>
            <w:hideMark/>
          </w:tcPr>
          <w:p w14:paraId="40141DA7" w14:textId="77777777" w:rsidR="00214972" w:rsidRPr="001E5747" w:rsidRDefault="00214972" w:rsidP="00214972">
            <w:pPr>
              <w:jc w:val="center"/>
              <w:rPr>
                <w:rFonts w:ascii="Arial" w:eastAsia="Times New Roman" w:hAnsi="Arial" w:cs="Arial"/>
                <w:color w:val="000000"/>
                <w:sz w:val="16"/>
                <w:szCs w:val="16"/>
                <w:lang w:val="en-GB"/>
              </w:rPr>
            </w:pPr>
            <w:r w:rsidRPr="001E5747">
              <w:rPr>
                <w:rFonts w:ascii="Arial" w:eastAsia="Times New Roman" w:hAnsi="Arial" w:cs="Arial"/>
                <w:color w:val="000000"/>
                <w:sz w:val="16"/>
                <w:szCs w:val="16"/>
                <w:lang w:val="en-GB"/>
              </w:rPr>
              <w:t>0</w:t>
            </w:r>
          </w:p>
        </w:tc>
      </w:tr>
      <w:tr w:rsidR="00214972" w:rsidRPr="001E5747" w14:paraId="05F1621A" w14:textId="77777777" w:rsidTr="00B739C3">
        <w:trPr>
          <w:trHeight w:val="400"/>
        </w:trPr>
        <w:tc>
          <w:tcPr>
            <w:tcW w:w="4092" w:type="pct"/>
            <w:gridSpan w:val="2"/>
            <w:tcBorders>
              <w:top w:val="single" w:sz="8" w:space="0" w:color="auto"/>
              <w:left w:val="single" w:sz="8" w:space="0" w:color="auto"/>
              <w:bottom w:val="single" w:sz="8" w:space="0" w:color="auto"/>
              <w:right w:val="single" w:sz="4" w:space="0" w:color="auto"/>
            </w:tcBorders>
            <w:shd w:val="clear" w:color="000000" w:fill="31869B"/>
            <w:tcMar>
              <w:top w:w="15" w:type="dxa"/>
              <w:left w:w="15" w:type="dxa"/>
              <w:bottom w:w="0" w:type="dxa"/>
              <w:right w:w="15" w:type="dxa"/>
            </w:tcMar>
            <w:vAlign w:val="center"/>
            <w:hideMark/>
          </w:tcPr>
          <w:p w14:paraId="6308EC64" w14:textId="77777777" w:rsidR="00214972" w:rsidRPr="001E5747" w:rsidRDefault="00214972" w:rsidP="00214972">
            <w:pPr>
              <w:jc w:val="right"/>
              <w:rPr>
                <w:rFonts w:ascii="Calibri" w:eastAsia="Times New Roman" w:hAnsi="Calibri" w:cs="Calibri"/>
                <w:b/>
                <w:bCs/>
                <w:color w:val="FFFFFF"/>
                <w:sz w:val="16"/>
                <w:szCs w:val="16"/>
                <w:lang w:val="en-GB"/>
              </w:rPr>
            </w:pPr>
            <w:r w:rsidRPr="001E5747">
              <w:rPr>
                <w:rFonts w:ascii="Calibri" w:eastAsia="Times New Roman" w:hAnsi="Calibri" w:cs="Calibri"/>
                <w:b/>
                <w:bCs/>
                <w:color w:val="FFFFFF"/>
                <w:sz w:val="16"/>
                <w:szCs w:val="16"/>
                <w:lang w:val="en-GB"/>
              </w:rPr>
              <w:t xml:space="preserve">Score </w:t>
            </w:r>
            <w:r w:rsidRPr="001E5747">
              <w:rPr>
                <w:rFonts w:ascii="Calibri" w:eastAsia="Times New Roman" w:hAnsi="Calibri" w:cs="Calibri"/>
                <w:color w:val="FFFFFF"/>
                <w:sz w:val="16"/>
                <w:szCs w:val="16"/>
                <w:lang w:val="en-GB"/>
              </w:rPr>
              <w:t>for municipal management</w:t>
            </w:r>
          </w:p>
        </w:tc>
        <w:tc>
          <w:tcPr>
            <w:tcW w:w="908" w:type="pct"/>
            <w:tcBorders>
              <w:top w:val="nil"/>
              <w:left w:val="nil"/>
              <w:bottom w:val="single" w:sz="4" w:space="0" w:color="auto"/>
              <w:right w:val="single" w:sz="8" w:space="0" w:color="auto"/>
            </w:tcBorders>
            <w:shd w:val="clear" w:color="000000" w:fill="31869B"/>
            <w:tcMar>
              <w:top w:w="15" w:type="dxa"/>
              <w:left w:w="15" w:type="dxa"/>
              <w:bottom w:w="0" w:type="dxa"/>
              <w:right w:w="15" w:type="dxa"/>
            </w:tcMar>
            <w:vAlign w:val="center"/>
            <w:hideMark/>
          </w:tcPr>
          <w:p w14:paraId="6861AB31" w14:textId="77777777" w:rsidR="00214972" w:rsidRPr="001E5747" w:rsidRDefault="00214972" w:rsidP="00214972">
            <w:pPr>
              <w:jc w:val="center"/>
              <w:rPr>
                <w:rFonts w:ascii="Calibri" w:eastAsia="Times New Roman" w:hAnsi="Calibri" w:cs="Calibri"/>
                <w:b/>
                <w:bCs/>
                <w:color w:val="FFFFFF"/>
                <w:sz w:val="16"/>
                <w:szCs w:val="16"/>
                <w:lang w:val="en-GB"/>
              </w:rPr>
            </w:pPr>
            <w:r w:rsidRPr="001E5747">
              <w:rPr>
                <w:rFonts w:ascii="Calibri" w:eastAsia="Times New Roman" w:hAnsi="Calibri" w:cs="Calibri"/>
                <w:b/>
                <w:bCs/>
                <w:color w:val="FFFFFF"/>
                <w:sz w:val="16"/>
                <w:szCs w:val="16"/>
                <w:lang w:val="en-GB"/>
              </w:rPr>
              <w:t>0</w:t>
            </w:r>
          </w:p>
        </w:tc>
      </w:tr>
      <w:tr w:rsidR="00214972" w:rsidRPr="001E5747" w14:paraId="60AD2590" w14:textId="77777777" w:rsidTr="00B739C3">
        <w:trPr>
          <w:trHeight w:val="424"/>
        </w:trPr>
        <w:tc>
          <w:tcPr>
            <w:tcW w:w="195" w:type="pct"/>
            <w:tcBorders>
              <w:top w:val="nil"/>
              <w:left w:val="single" w:sz="8" w:space="0" w:color="auto"/>
              <w:bottom w:val="single" w:sz="4" w:space="0" w:color="auto"/>
              <w:right w:val="single" w:sz="4" w:space="0" w:color="auto"/>
            </w:tcBorders>
            <w:shd w:val="clear" w:color="000000" w:fill="92CDDC"/>
            <w:tcMar>
              <w:top w:w="15" w:type="dxa"/>
              <w:left w:w="15" w:type="dxa"/>
              <w:bottom w:w="0" w:type="dxa"/>
              <w:right w:w="15" w:type="dxa"/>
            </w:tcMar>
            <w:vAlign w:val="center"/>
            <w:hideMark/>
          </w:tcPr>
          <w:p w14:paraId="184D371F" w14:textId="77777777" w:rsidR="00214972" w:rsidRPr="001E5747" w:rsidRDefault="00214972" w:rsidP="00214972">
            <w:pPr>
              <w:jc w:val="center"/>
              <w:rPr>
                <w:rFonts w:ascii="Calibri" w:eastAsia="Times New Roman" w:hAnsi="Calibri" w:cs="Calibri"/>
                <w:b/>
                <w:bCs/>
                <w:color w:val="FFFFFF"/>
                <w:sz w:val="16"/>
                <w:szCs w:val="16"/>
                <w:lang w:val="en-GB"/>
              </w:rPr>
            </w:pPr>
            <w:r w:rsidRPr="001E5747">
              <w:rPr>
                <w:rFonts w:ascii="Calibri" w:eastAsia="Times New Roman" w:hAnsi="Calibri" w:cs="Calibri"/>
                <w:b/>
                <w:bCs/>
                <w:color w:val="FFFFFF"/>
                <w:sz w:val="16"/>
                <w:szCs w:val="16"/>
                <w:lang w:val="en-GB"/>
              </w:rPr>
              <w:t>VII</w:t>
            </w:r>
          </w:p>
        </w:tc>
        <w:tc>
          <w:tcPr>
            <w:tcW w:w="3897" w:type="pct"/>
            <w:tcBorders>
              <w:top w:val="nil"/>
              <w:left w:val="nil"/>
              <w:right w:val="nil"/>
            </w:tcBorders>
            <w:shd w:val="clear" w:color="auto" w:fill="auto"/>
            <w:tcMar>
              <w:top w:w="15" w:type="dxa"/>
              <w:left w:w="15" w:type="dxa"/>
              <w:bottom w:w="0" w:type="dxa"/>
              <w:right w:w="15" w:type="dxa"/>
            </w:tcMar>
            <w:vAlign w:val="center"/>
            <w:hideMark/>
          </w:tcPr>
          <w:p w14:paraId="65485229" w14:textId="77777777" w:rsidR="00214972" w:rsidRPr="001E5747" w:rsidRDefault="00214972" w:rsidP="00214972">
            <w:pPr>
              <w:rPr>
                <w:rFonts w:ascii="Calibri" w:eastAsia="Times New Roman" w:hAnsi="Calibri" w:cs="Calibri"/>
                <w:color w:val="000000"/>
                <w:sz w:val="18"/>
                <w:szCs w:val="16"/>
                <w:lang w:val="en-GB"/>
              </w:rPr>
            </w:pPr>
            <w:r w:rsidRPr="001E5747">
              <w:rPr>
                <w:rFonts w:ascii="Calibri" w:eastAsia="Times New Roman" w:hAnsi="Calibri" w:cs="Calibri"/>
                <w:color w:val="000000"/>
                <w:sz w:val="18"/>
                <w:szCs w:val="19"/>
                <w:lang w:val="en-GB"/>
              </w:rPr>
              <w:t>Administrative services</w:t>
            </w:r>
          </w:p>
        </w:tc>
        <w:tc>
          <w:tcPr>
            <w:tcW w:w="908" w:type="pct"/>
            <w:tcBorders>
              <w:top w:val="single" w:sz="8" w:space="0" w:color="auto"/>
              <w:left w:val="single" w:sz="4" w:space="0" w:color="auto"/>
              <w:bottom w:val="single" w:sz="4" w:space="0" w:color="000000"/>
              <w:right w:val="single" w:sz="8" w:space="0" w:color="auto"/>
            </w:tcBorders>
            <w:shd w:val="clear" w:color="000000" w:fill="FFFFFF"/>
            <w:tcMar>
              <w:top w:w="15" w:type="dxa"/>
              <w:left w:w="15" w:type="dxa"/>
              <w:bottom w:w="0" w:type="dxa"/>
              <w:right w:w="15" w:type="dxa"/>
            </w:tcMar>
            <w:vAlign w:val="center"/>
            <w:hideMark/>
          </w:tcPr>
          <w:p w14:paraId="2284EE0D" w14:textId="77777777" w:rsidR="00214972" w:rsidRPr="001E5747" w:rsidRDefault="00214972" w:rsidP="00214972">
            <w:pPr>
              <w:jc w:val="center"/>
              <w:rPr>
                <w:rFonts w:ascii="Arial" w:eastAsia="Times New Roman" w:hAnsi="Arial" w:cs="Arial"/>
                <w:color w:val="000000"/>
                <w:sz w:val="16"/>
                <w:szCs w:val="16"/>
                <w:lang w:val="en-GB"/>
              </w:rPr>
            </w:pPr>
            <w:r w:rsidRPr="001E5747">
              <w:rPr>
                <w:rFonts w:ascii="Arial" w:eastAsia="Times New Roman" w:hAnsi="Arial" w:cs="Arial"/>
                <w:color w:val="000000"/>
                <w:sz w:val="16"/>
                <w:szCs w:val="16"/>
                <w:lang w:val="en-GB"/>
              </w:rPr>
              <w:t>0</w:t>
            </w:r>
          </w:p>
        </w:tc>
      </w:tr>
      <w:tr w:rsidR="00214972" w:rsidRPr="001E5747" w14:paraId="586FC246" w14:textId="77777777" w:rsidTr="00B739C3">
        <w:trPr>
          <w:trHeight w:val="325"/>
        </w:trPr>
        <w:tc>
          <w:tcPr>
            <w:tcW w:w="195" w:type="pct"/>
            <w:tcBorders>
              <w:top w:val="nil"/>
              <w:left w:val="single" w:sz="8" w:space="0" w:color="auto"/>
              <w:bottom w:val="single" w:sz="8" w:space="0" w:color="000000"/>
              <w:right w:val="single" w:sz="4" w:space="0" w:color="auto"/>
            </w:tcBorders>
            <w:shd w:val="clear" w:color="000000" w:fill="92CDDC"/>
            <w:tcMar>
              <w:top w:w="15" w:type="dxa"/>
              <w:left w:w="15" w:type="dxa"/>
              <w:bottom w:w="0" w:type="dxa"/>
              <w:right w:w="15" w:type="dxa"/>
            </w:tcMar>
            <w:vAlign w:val="center"/>
            <w:hideMark/>
          </w:tcPr>
          <w:p w14:paraId="6D86F208" w14:textId="77777777" w:rsidR="00214972" w:rsidRPr="001E5747" w:rsidRDefault="00214972" w:rsidP="00214972">
            <w:pPr>
              <w:jc w:val="center"/>
              <w:rPr>
                <w:rFonts w:ascii="Calibri" w:eastAsia="Times New Roman" w:hAnsi="Calibri" w:cs="Calibri"/>
                <w:b/>
                <w:bCs/>
                <w:color w:val="FFFFFF"/>
                <w:sz w:val="16"/>
                <w:szCs w:val="16"/>
                <w:lang w:val="en-GB"/>
              </w:rPr>
            </w:pPr>
            <w:r w:rsidRPr="001E5747">
              <w:rPr>
                <w:rFonts w:ascii="Calibri" w:eastAsia="Times New Roman" w:hAnsi="Calibri" w:cs="Calibri"/>
                <w:b/>
                <w:bCs/>
                <w:color w:val="FFFFFF"/>
                <w:sz w:val="16"/>
                <w:szCs w:val="16"/>
                <w:lang w:val="en-GB"/>
              </w:rPr>
              <w:t>VIII</w:t>
            </w:r>
          </w:p>
        </w:tc>
        <w:tc>
          <w:tcPr>
            <w:tcW w:w="3897" w:type="pct"/>
            <w:tcBorders>
              <w:top w:val="single" w:sz="8" w:space="0" w:color="auto"/>
              <w:left w:val="nil"/>
              <w:right w:val="nil"/>
            </w:tcBorders>
            <w:shd w:val="clear" w:color="auto" w:fill="auto"/>
            <w:tcMar>
              <w:top w:w="15" w:type="dxa"/>
              <w:left w:w="15" w:type="dxa"/>
              <w:bottom w:w="0" w:type="dxa"/>
              <w:right w:w="15" w:type="dxa"/>
            </w:tcMar>
            <w:vAlign w:val="center"/>
            <w:hideMark/>
          </w:tcPr>
          <w:p w14:paraId="6D000C3F" w14:textId="77777777" w:rsidR="00214972" w:rsidRPr="001E5747" w:rsidRDefault="00214972" w:rsidP="00214972">
            <w:pPr>
              <w:rPr>
                <w:rFonts w:ascii="Calibri" w:eastAsia="Times New Roman" w:hAnsi="Calibri" w:cs="Calibri"/>
                <w:color w:val="000000"/>
                <w:sz w:val="18"/>
                <w:szCs w:val="16"/>
                <w:lang w:val="en-GB"/>
              </w:rPr>
            </w:pPr>
            <w:r w:rsidRPr="001E5747">
              <w:rPr>
                <w:rFonts w:ascii="Calibri" w:eastAsia="Times New Roman" w:hAnsi="Calibri" w:cs="Calibri"/>
                <w:color w:val="000000"/>
                <w:sz w:val="18"/>
                <w:szCs w:val="19"/>
                <w:lang w:val="en-GB"/>
              </w:rPr>
              <w:t xml:space="preserve">Spatial planning, public </w:t>
            </w:r>
            <w:r w:rsidR="00D246A0" w:rsidRPr="001E5747">
              <w:rPr>
                <w:rFonts w:ascii="Calibri" w:eastAsia="Times New Roman" w:hAnsi="Calibri" w:cs="Calibri"/>
                <w:color w:val="000000"/>
                <w:sz w:val="18"/>
                <w:szCs w:val="19"/>
                <w:lang w:val="en-GB"/>
              </w:rPr>
              <w:t>transport</w:t>
            </w:r>
            <w:r w:rsidRPr="001E5747">
              <w:rPr>
                <w:rFonts w:ascii="Calibri" w:eastAsia="Times New Roman" w:hAnsi="Calibri" w:cs="Calibri"/>
                <w:color w:val="000000"/>
                <w:sz w:val="18"/>
                <w:szCs w:val="19"/>
                <w:lang w:val="en-GB"/>
              </w:rPr>
              <w:t xml:space="preserve"> and environment</w:t>
            </w:r>
          </w:p>
        </w:tc>
        <w:tc>
          <w:tcPr>
            <w:tcW w:w="908" w:type="pct"/>
            <w:tcBorders>
              <w:top w:val="nil"/>
              <w:left w:val="single" w:sz="4" w:space="0" w:color="auto"/>
              <w:bottom w:val="single" w:sz="4" w:space="0" w:color="auto"/>
              <w:right w:val="single" w:sz="8" w:space="0" w:color="auto"/>
            </w:tcBorders>
            <w:shd w:val="clear" w:color="000000" w:fill="FFFFFF"/>
            <w:tcMar>
              <w:top w:w="15" w:type="dxa"/>
              <w:left w:w="15" w:type="dxa"/>
              <w:bottom w:w="0" w:type="dxa"/>
              <w:right w:w="15" w:type="dxa"/>
            </w:tcMar>
            <w:vAlign w:val="center"/>
            <w:hideMark/>
          </w:tcPr>
          <w:p w14:paraId="35E2CA18" w14:textId="77777777" w:rsidR="00214972" w:rsidRPr="001E5747" w:rsidRDefault="00214972" w:rsidP="00214972">
            <w:pPr>
              <w:jc w:val="center"/>
              <w:rPr>
                <w:rFonts w:ascii="Arial" w:eastAsia="Times New Roman" w:hAnsi="Arial" w:cs="Arial"/>
                <w:color w:val="000000"/>
                <w:sz w:val="16"/>
                <w:szCs w:val="16"/>
                <w:lang w:val="en-GB"/>
              </w:rPr>
            </w:pPr>
            <w:r w:rsidRPr="001E5747">
              <w:rPr>
                <w:rFonts w:ascii="Arial" w:eastAsia="Times New Roman" w:hAnsi="Arial" w:cs="Arial"/>
                <w:color w:val="000000"/>
                <w:sz w:val="16"/>
                <w:szCs w:val="16"/>
                <w:lang w:val="en-GB"/>
              </w:rPr>
              <w:t>0</w:t>
            </w:r>
          </w:p>
        </w:tc>
      </w:tr>
      <w:tr w:rsidR="00214972" w:rsidRPr="001E5747" w14:paraId="42391A69" w14:textId="77777777" w:rsidTr="00B739C3">
        <w:trPr>
          <w:trHeight w:val="325"/>
        </w:trPr>
        <w:tc>
          <w:tcPr>
            <w:tcW w:w="195" w:type="pct"/>
            <w:tcBorders>
              <w:top w:val="single" w:sz="4" w:space="0" w:color="auto"/>
              <w:left w:val="single" w:sz="8" w:space="0" w:color="auto"/>
              <w:bottom w:val="single" w:sz="8" w:space="0" w:color="000000"/>
              <w:right w:val="single" w:sz="4" w:space="0" w:color="auto"/>
            </w:tcBorders>
            <w:shd w:val="clear" w:color="000000" w:fill="92CDDC"/>
            <w:tcMar>
              <w:top w:w="15" w:type="dxa"/>
              <w:left w:w="15" w:type="dxa"/>
              <w:bottom w:w="0" w:type="dxa"/>
              <w:right w:w="15" w:type="dxa"/>
            </w:tcMar>
            <w:vAlign w:val="center"/>
            <w:hideMark/>
          </w:tcPr>
          <w:p w14:paraId="527CE32D" w14:textId="77777777" w:rsidR="00214972" w:rsidRPr="001E5747" w:rsidRDefault="00214972" w:rsidP="00214972">
            <w:pPr>
              <w:jc w:val="center"/>
              <w:rPr>
                <w:rFonts w:ascii="Calibri" w:eastAsia="Times New Roman" w:hAnsi="Calibri" w:cs="Calibri"/>
                <w:b/>
                <w:bCs/>
                <w:color w:val="FFFFFF"/>
                <w:sz w:val="16"/>
                <w:szCs w:val="16"/>
                <w:lang w:val="en-GB"/>
              </w:rPr>
            </w:pPr>
            <w:r w:rsidRPr="001E5747">
              <w:rPr>
                <w:rFonts w:ascii="Calibri" w:eastAsia="Times New Roman" w:hAnsi="Calibri" w:cs="Calibri"/>
                <w:b/>
                <w:bCs/>
                <w:color w:val="FFFFFF"/>
                <w:sz w:val="16"/>
                <w:szCs w:val="16"/>
                <w:lang w:val="en-GB"/>
              </w:rPr>
              <w:t>IX</w:t>
            </w:r>
          </w:p>
        </w:tc>
        <w:tc>
          <w:tcPr>
            <w:tcW w:w="3897" w:type="pct"/>
            <w:tcBorders>
              <w:top w:val="single" w:sz="8" w:space="0" w:color="auto"/>
              <w:left w:val="nil"/>
              <w:right w:val="nil"/>
            </w:tcBorders>
            <w:shd w:val="clear" w:color="auto" w:fill="auto"/>
            <w:tcMar>
              <w:top w:w="15" w:type="dxa"/>
              <w:left w:w="15" w:type="dxa"/>
              <w:bottom w:w="0" w:type="dxa"/>
              <w:right w:w="15" w:type="dxa"/>
            </w:tcMar>
            <w:vAlign w:val="center"/>
            <w:hideMark/>
          </w:tcPr>
          <w:p w14:paraId="1C2416D5" w14:textId="77777777" w:rsidR="00214972" w:rsidRPr="001E5747" w:rsidRDefault="00214972" w:rsidP="00214972">
            <w:pPr>
              <w:rPr>
                <w:rFonts w:ascii="Calibri" w:eastAsia="Times New Roman" w:hAnsi="Calibri" w:cs="Calibri"/>
                <w:color w:val="000000"/>
                <w:sz w:val="18"/>
                <w:szCs w:val="16"/>
                <w:lang w:val="en-GB"/>
              </w:rPr>
            </w:pPr>
            <w:r w:rsidRPr="001E5747">
              <w:rPr>
                <w:rFonts w:ascii="Calibri" w:eastAsia="Times New Roman" w:hAnsi="Calibri" w:cs="Calibri"/>
                <w:color w:val="000000"/>
                <w:sz w:val="18"/>
                <w:szCs w:val="19"/>
                <w:lang w:val="en-GB"/>
              </w:rPr>
              <w:t>Pre-university education</w:t>
            </w:r>
          </w:p>
        </w:tc>
        <w:tc>
          <w:tcPr>
            <w:tcW w:w="908" w:type="pct"/>
            <w:tcBorders>
              <w:top w:val="nil"/>
              <w:left w:val="single" w:sz="4" w:space="0" w:color="auto"/>
              <w:bottom w:val="single" w:sz="4" w:space="0" w:color="auto"/>
              <w:right w:val="single" w:sz="8" w:space="0" w:color="auto"/>
            </w:tcBorders>
            <w:shd w:val="clear" w:color="000000" w:fill="FFFFFF"/>
            <w:tcMar>
              <w:top w:w="15" w:type="dxa"/>
              <w:left w:w="15" w:type="dxa"/>
              <w:bottom w:w="0" w:type="dxa"/>
              <w:right w:w="15" w:type="dxa"/>
            </w:tcMar>
            <w:vAlign w:val="center"/>
            <w:hideMark/>
          </w:tcPr>
          <w:p w14:paraId="2F8CA8EB" w14:textId="77777777" w:rsidR="00214972" w:rsidRPr="001E5747" w:rsidRDefault="00214972" w:rsidP="00214972">
            <w:pPr>
              <w:jc w:val="center"/>
              <w:rPr>
                <w:rFonts w:ascii="Arial" w:eastAsia="Times New Roman" w:hAnsi="Arial" w:cs="Arial"/>
                <w:color w:val="000000"/>
                <w:sz w:val="16"/>
                <w:szCs w:val="16"/>
                <w:lang w:val="en-GB"/>
              </w:rPr>
            </w:pPr>
            <w:r w:rsidRPr="001E5747">
              <w:rPr>
                <w:rFonts w:ascii="Arial" w:eastAsia="Times New Roman" w:hAnsi="Arial" w:cs="Arial"/>
                <w:color w:val="000000"/>
                <w:sz w:val="16"/>
                <w:szCs w:val="16"/>
                <w:lang w:val="en-GB"/>
              </w:rPr>
              <w:t>0</w:t>
            </w:r>
          </w:p>
        </w:tc>
      </w:tr>
      <w:tr w:rsidR="00214972" w:rsidRPr="001E5747" w14:paraId="65E413B0" w14:textId="77777777" w:rsidTr="00B739C3">
        <w:trPr>
          <w:trHeight w:val="415"/>
        </w:trPr>
        <w:tc>
          <w:tcPr>
            <w:tcW w:w="195" w:type="pct"/>
            <w:tcBorders>
              <w:top w:val="single" w:sz="4" w:space="0" w:color="auto"/>
              <w:left w:val="single" w:sz="8" w:space="0" w:color="auto"/>
              <w:bottom w:val="single" w:sz="8" w:space="0" w:color="000000"/>
              <w:right w:val="single" w:sz="4" w:space="0" w:color="auto"/>
            </w:tcBorders>
            <w:shd w:val="clear" w:color="000000" w:fill="92CDDC"/>
            <w:tcMar>
              <w:top w:w="15" w:type="dxa"/>
              <w:left w:w="15" w:type="dxa"/>
              <w:bottom w:w="0" w:type="dxa"/>
              <w:right w:w="15" w:type="dxa"/>
            </w:tcMar>
            <w:vAlign w:val="center"/>
            <w:hideMark/>
          </w:tcPr>
          <w:p w14:paraId="23B6FC39" w14:textId="77777777" w:rsidR="00214972" w:rsidRPr="001E5747" w:rsidRDefault="00214972" w:rsidP="00214972">
            <w:pPr>
              <w:jc w:val="center"/>
              <w:rPr>
                <w:rFonts w:ascii="Calibri" w:eastAsia="Times New Roman" w:hAnsi="Calibri" w:cs="Calibri"/>
                <w:b/>
                <w:bCs/>
                <w:color w:val="FFFFFF"/>
                <w:sz w:val="16"/>
                <w:szCs w:val="16"/>
                <w:lang w:val="en-GB"/>
              </w:rPr>
            </w:pPr>
            <w:r w:rsidRPr="001E5747">
              <w:rPr>
                <w:rFonts w:ascii="Calibri" w:eastAsia="Times New Roman" w:hAnsi="Calibri" w:cs="Calibri"/>
                <w:b/>
                <w:bCs/>
                <w:color w:val="FFFFFF"/>
                <w:sz w:val="16"/>
                <w:szCs w:val="16"/>
                <w:lang w:val="en-GB"/>
              </w:rPr>
              <w:t>X</w:t>
            </w:r>
          </w:p>
        </w:tc>
        <w:tc>
          <w:tcPr>
            <w:tcW w:w="3897" w:type="pct"/>
            <w:tcBorders>
              <w:top w:val="single" w:sz="8" w:space="0" w:color="auto"/>
              <w:left w:val="nil"/>
              <w:right w:val="nil"/>
            </w:tcBorders>
            <w:shd w:val="clear" w:color="auto" w:fill="auto"/>
            <w:tcMar>
              <w:top w:w="15" w:type="dxa"/>
              <w:left w:w="15" w:type="dxa"/>
              <w:bottom w:w="0" w:type="dxa"/>
              <w:right w:w="15" w:type="dxa"/>
            </w:tcMar>
            <w:vAlign w:val="center"/>
            <w:hideMark/>
          </w:tcPr>
          <w:p w14:paraId="3DF6D486" w14:textId="77777777" w:rsidR="00214972" w:rsidRPr="001E5747" w:rsidRDefault="00214972" w:rsidP="00214972">
            <w:pPr>
              <w:rPr>
                <w:rFonts w:ascii="Calibri" w:eastAsia="Times New Roman" w:hAnsi="Calibri" w:cs="Calibri"/>
                <w:color w:val="000000"/>
                <w:sz w:val="18"/>
                <w:szCs w:val="16"/>
                <w:lang w:val="en-GB"/>
              </w:rPr>
            </w:pPr>
            <w:r w:rsidRPr="001E5747">
              <w:rPr>
                <w:rFonts w:ascii="Calibri" w:eastAsia="Times New Roman" w:hAnsi="Calibri" w:cs="Calibri"/>
                <w:color w:val="000000"/>
                <w:sz w:val="18"/>
                <w:szCs w:val="19"/>
                <w:lang w:val="en-GB"/>
              </w:rPr>
              <w:t>Primary Health Care (PHC)</w:t>
            </w:r>
          </w:p>
        </w:tc>
        <w:tc>
          <w:tcPr>
            <w:tcW w:w="908" w:type="pc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vAlign w:val="center"/>
            <w:hideMark/>
          </w:tcPr>
          <w:p w14:paraId="4143ECE6" w14:textId="77777777" w:rsidR="00214972" w:rsidRPr="001E5747" w:rsidRDefault="00214972" w:rsidP="00214972">
            <w:pPr>
              <w:jc w:val="center"/>
              <w:rPr>
                <w:rFonts w:ascii="Arial" w:eastAsia="Times New Roman" w:hAnsi="Arial" w:cs="Arial"/>
                <w:color w:val="000000"/>
                <w:sz w:val="16"/>
                <w:szCs w:val="16"/>
                <w:lang w:val="en-GB"/>
              </w:rPr>
            </w:pPr>
            <w:r w:rsidRPr="001E5747">
              <w:rPr>
                <w:rFonts w:ascii="Arial" w:eastAsia="Times New Roman" w:hAnsi="Arial" w:cs="Arial"/>
                <w:color w:val="000000"/>
                <w:sz w:val="16"/>
                <w:szCs w:val="16"/>
                <w:lang w:val="en-GB"/>
              </w:rPr>
              <w:t>0</w:t>
            </w:r>
          </w:p>
        </w:tc>
      </w:tr>
      <w:tr w:rsidR="00214972" w:rsidRPr="001E5747" w14:paraId="5961B7AE" w14:textId="77777777" w:rsidTr="00B739C3">
        <w:trPr>
          <w:trHeight w:val="537"/>
        </w:trPr>
        <w:tc>
          <w:tcPr>
            <w:tcW w:w="4092" w:type="pct"/>
            <w:gridSpan w:val="2"/>
            <w:tcBorders>
              <w:top w:val="single" w:sz="8" w:space="0" w:color="auto"/>
              <w:left w:val="single" w:sz="8" w:space="0" w:color="auto"/>
              <w:bottom w:val="single" w:sz="8" w:space="0" w:color="auto"/>
              <w:right w:val="single" w:sz="4" w:space="0" w:color="auto"/>
            </w:tcBorders>
            <w:shd w:val="clear" w:color="000000" w:fill="31869B"/>
            <w:tcMar>
              <w:top w:w="15" w:type="dxa"/>
              <w:left w:w="15" w:type="dxa"/>
              <w:bottom w:w="0" w:type="dxa"/>
              <w:right w:w="15" w:type="dxa"/>
            </w:tcMar>
            <w:vAlign w:val="center"/>
            <w:hideMark/>
          </w:tcPr>
          <w:p w14:paraId="79D4227F" w14:textId="77777777" w:rsidR="00214972" w:rsidRPr="001E5747" w:rsidRDefault="00214972" w:rsidP="00214972">
            <w:pPr>
              <w:jc w:val="right"/>
              <w:rPr>
                <w:rFonts w:ascii="Calibri" w:eastAsia="Times New Roman" w:hAnsi="Calibri" w:cs="Calibri"/>
                <w:b/>
                <w:bCs/>
                <w:color w:val="FFFFFF"/>
                <w:sz w:val="16"/>
                <w:szCs w:val="16"/>
                <w:lang w:val="en-GB"/>
              </w:rPr>
            </w:pPr>
            <w:r w:rsidRPr="001E5747">
              <w:rPr>
                <w:rFonts w:ascii="Calibri" w:eastAsia="Times New Roman" w:hAnsi="Calibri" w:cs="Calibri"/>
                <w:b/>
                <w:bCs/>
                <w:color w:val="FFFFFF"/>
                <w:sz w:val="16"/>
                <w:szCs w:val="16"/>
                <w:lang w:val="en-GB"/>
              </w:rPr>
              <w:t xml:space="preserve">Score </w:t>
            </w:r>
            <w:r w:rsidRPr="001E5747">
              <w:rPr>
                <w:rFonts w:ascii="Calibri" w:eastAsia="Times New Roman" w:hAnsi="Calibri" w:cs="Calibri"/>
                <w:color w:val="FFFFFF"/>
                <w:sz w:val="16"/>
                <w:szCs w:val="16"/>
                <w:lang w:val="en-GB"/>
              </w:rPr>
              <w:t>for service delivery</w:t>
            </w:r>
          </w:p>
        </w:tc>
        <w:tc>
          <w:tcPr>
            <w:tcW w:w="908" w:type="pct"/>
            <w:tcBorders>
              <w:top w:val="nil"/>
              <w:left w:val="nil"/>
              <w:bottom w:val="single" w:sz="8" w:space="0" w:color="auto"/>
              <w:right w:val="single" w:sz="8" w:space="0" w:color="auto"/>
            </w:tcBorders>
            <w:shd w:val="clear" w:color="000000" w:fill="31869B"/>
            <w:tcMar>
              <w:top w:w="15" w:type="dxa"/>
              <w:left w:w="15" w:type="dxa"/>
              <w:bottom w:w="0" w:type="dxa"/>
              <w:right w:w="15" w:type="dxa"/>
            </w:tcMar>
            <w:vAlign w:val="center"/>
            <w:hideMark/>
          </w:tcPr>
          <w:p w14:paraId="5A3C60FD" w14:textId="77777777" w:rsidR="00214972" w:rsidRPr="001E5747" w:rsidRDefault="00214972" w:rsidP="00214972">
            <w:pPr>
              <w:jc w:val="center"/>
              <w:rPr>
                <w:rFonts w:ascii="Calibri" w:eastAsia="Times New Roman" w:hAnsi="Calibri" w:cs="Calibri"/>
                <w:b/>
                <w:bCs/>
                <w:color w:val="FFFFFF"/>
                <w:sz w:val="16"/>
                <w:szCs w:val="16"/>
                <w:lang w:val="en-GB"/>
              </w:rPr>
            </w:pPr>
            <w:r w:rsidRPr="001E5747">
              <w:rPr>
                <w:rFonts w:ascii="Calibri" w:eastAsia="Times New Roman" w:hAnsi="Calibri" w:cs="Calibri"/>
                <w:b/>
                <w:bCs/>
                <w:color w:val="FFFFFF"/>
                <w:sz w:val="16"/>
                <w:szCs w:val="16"/>
                <w:lang w:val="en-GB"/>
              </w:rPr>
              <w:t>0</w:t>
            </w:r>
          </w:p>
        </w:tc>
      </w:tr>
      <w:tr w:rsidR="00214972" w:rsidRPr="001E5747" w14:paraId="418EC449" w14:textId="77777777" w:rsidTr="00B739C3">
        <w:trPr>
          <w:trHeight w:val="121"/>
        </w:trPr>
        <w:tc>
          <w:tcPr>
            <w:tcW w:w="195" w:type="pct"/>
            <w:tcBorders>
              <w:top w:val="nil"/>
              <w:left w:val="single" w:sz="8" w:space="0" w:color="auto"/>
              <w:bottom w:val="nil"/>
              <w:right w:val="nil"/>
            </w:tcBorders>
            <w:shd w:val="clear" w:color="auto" w:fill="auto"/>
            <w:noWrap/>
            <w:tcMar>
              <w:top w:w="15" w:type="dxa"/>
              <w:left w:w="15" w:type="dxa"/>
              <w:bottom w:w="0" w:type="dxa"/>
              <w:right w:w="15" w:type="dxa"/>
            </w:tcMar>
            <w:vAlign w:val="bottom"/>
            <w:hideMark/>
          </w:tcPr>
          <w:p w14:paraId="14D06C06" w14:textId="77777777" w:rsidR="00214972" w:rsidRPr="001E5747" w:rsidRDefault="00214972" w:rsidP="00214972">
            <w:pPr>
              <w:rPr>
                <w:rFonts w:ascii="Calibri" w:eastAsia="Times New Roman" w:hAnsi="Calibri" w:cs="Calibri"/>
                <w:color w:val="000000"/>
                <w:sz w:val="16"/>
                <w:szCs w:val="16"/>
                <w:lang w:val="en-GB"/>
              </w:rPr>
            </w:pPr>
            <w:r w:rsidRPr="001E5747">
              <w:rPr>
                <w:rFonts w:ascii="Calibri" w:eastAsia="Times New Roman" w:hAnsi="Calibri" w:cs="Calibri"/>
                <w:color w:val="000000"/>
                <w:sz w:val="16"/>
                <w:szCs w:val="16"/>
                <w:lang w:val="en-GB"/>
              </w:rPr>
              <w:t> </w:t>
            </w:r>
          </w:p>
        </w:tc>
        <w:tc>
          <w:tcPr>
            <w:tcW w:w="4805" w:type="pct"/>
            <w:gridSpan w:val="2"/>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
          <w:p w14:paraId="1ACCE58B" w14:textId="77777777" w:rsidR="00214972" w:rsidRPr="001E5747" w:rsidRDefault="00214972" w:rsidP="00214972">
            <w:pPr>
              <w:rPr>
                <w:rFonts w:ascii="Calibri" w:eastAsia="Times New Roman" w:hAnsi="Calibri" w:cs="Calibri"/>
                <w:color w:val="000000"/>
                <w:sz w:val="2"/>
                <w:szCs w:val="16"/>
                <w:lang w:val="en-GB"/>
              </w:rPr>
            </w:pPr>
            <w:r w:rsidRPr="001E5747">
              <w:rPr>
                <w:rFonts w:ascii="Calibri" w:eastAsia="Times New Roman" w:hAnsi="Calibri" w:cs="Calibri"/>
                <w:color w:val="000000"/>
                <w:sz w:val="16"/>
                <w:szCs w:val="16"/>
                <w:lang w:val="en-GB"/>
              </w:rPr>
              <w:t> </w:t>
            </w:r>
          </w:p>
        </w:tc>
      </w:tr>
      <w:tr w:rsidR="00214972" w:rsidRPr="001E5747" w14:paraId="31B7AF15" w14:textId="77777777" w:rsidTr="00B739C3">
        <w:trPr>
          <w:trHeight w:val="450"/>
        </w:trPr>
        <w:tc>
          <w:tcPr>
            <w:tcW w:w="4092" w:type="pct"/>
            <w:gridSpan w:val="2"/>
            <w:tcBorders>
              <w:top w:val="single" w:sz="8" w:space="0" w:color="auto"/>
              <w:left w:val="single" w:sz="8" w:space="0" w:color="auto"/>
              <w:bottom w:val="single" w:sz="8" w:space="0" w:color="auto"/>
              <w:right w:val="single" w:sz="4" w:space="0" w:color="auto"/>
            </w:tcBorders>
            <w:shd w:val="clear" w:color="000000" w:fill="215967"/>
            <w:tcMar>
              <w:top w:w="15" w:type="dxa"/>
              <w:left w:w="15" w:type="dxa"/>
              <w:bottom w:w="0" w:type="dxa"/>
              <w:right w:w="15" w:type="dxa"/>
            </w:tcMar>
            <w:vAlign w:val="center"/>
            <w:hideMark/>
          </w:tcPr>
          <w:p w14:paraId="1D0D069A" w14:textId="77777777" w:rsidR="00214972" w:rsidRPr="001E5747" w:rsidRDefault="00214972" w:rsidP="00214972">
            <w:pPr>
              <w:jc w:val="right"/>
              <w:rPr>
                <w:rFonts w:ascii="Arial" w:eastAsia="Times New Roman" w:hAnsi="Arial" w:cs="Arial"/>
                <w:b/>
                <w:bCs/>
                <w:color w:val="FFFFFF"/>
                <w:sz w:val="16"/>
                <w:szCs w:val="16"/>
                <w:lang w:val="en-GB"/>
              </w:rPr>
            </w:pPr>
            <w:r w:rsidRPr="001E5747">
              <w:rPr>
                <w:rFonts w:ascii="Arial" w:eastAsia="Times New Roman" w:hAnsi="Arial" w:cs="Arial"/>
                <w:b/>
                <w:bCs/>
                <w:color w:val="FFFFFF"/>
                <w:sz w:val="16"/>
                <w:szCs w:val="16"/>
                <w:lang w:val="en-GB"/>
              </w:rPr>
              <w:t>Final Score</w:t>
            </w:r>
          </w:p>
        </w:tc>
        <w:tc>
          <w:tcPr>
            <w:tcW w:w="908" w:type="pct"/>
            <w:tcBorders>
              <w:top w:val="single" w:sz="8" w:space="0" w:color="auto"/>
              <w:left w:val="nil"/>
              <w:bottom w:val="single" w:sz="8" w:space="0" w:color="auto"/>
              <w:right w:val="single" w:sz="8" w:space="0" w:color="auto"/>
            </w:tcBorders>
            <w:shd w:val="clear" w:color="000000" w:fill="215967"/>
            <w:tcMar>
              <w:top w:w="15" w:type="dxa"/>
              <w:left w:w="15" w:type="dxa"/>
              <w:bottom w:w="0" w:type="dxa"/>
              <w:right w:w="15" w:type="dxa"/>
            </w:tcMar>
            <w:vAlign w:val="center"/>
            <w:hideMark/>
          </w:tcPr>
          <w:p w14:paraId="17C312DF" w14:textId="77777777" w:rsidR="00214972" w:rsidRPr="001E5747" w:rsidRDefault="00214972" w:rsidP="00214972">
            <w:pPr>
              <w:jc w:val="center"/>
              <w:rPr>
                <w:rFonts w:ascii="Calibri" w:eastAsia="Times New Roman" w:hAnsi="Calibri" w:cs="Calibri"/>
                <w:b/>
                <w:bCs/>
                <w:color w:val="FFFFFF"/>
                <w:sz w:val="16"/>
                <w:szCs w:val="16"/>
                <w:lang w:val="en-GB"/>
              </w:rPr>
            </w:pPr>
            <w:r w:rsidRPr="001E5747">
              <w:rPr>
                <w:rFonts w:ascii="Calibri" w:eastAsia="Times New Roman" w:hAnsi="Calibri" w:cs="Calibri"/>
                <w:b/>
                <w:bCs/>
                <w:color w:val="FFFFFF"/>
                <w:sz w:val="16"/>
                <w:szCs w:val="16"/>
                <w:lang w:val="en-GB"/>
              </w:rPr>
              <w:t>0</w:t>
            </w:r>
          </w:p>
        </w:tc>
      </w:tr>
    </w:tbl>
    <w:p w14:paraId="6EC489B3" w14:textId="77777777" w:rsidR="00214972" w:rsidRPr="001E5747" w:rsidRDefault="00214972" w:rsidP="00214972">
      <w:pPr>
        <w:spacing w:after="200" w:line="276" w:lineRule="auto"/>
        <w:rPr>
          <w:rFonts w:ascii="Calibri" w:eastAsia="Calibri" w:hAnsi="Calibri"/>
          <w:sz w:val="22"/>
          <w:szCs w:val="22"/>
          <w:lang w:val="en-GB"/>
        </w:rPr>
      </w:pPr>
    </w:p>
    <w:p w14:paraId="3A09E4FA" w14:textId="77777777" w:rsidR="000D0694" w:rsidRDefault="000D0694">
      <w:pPr>
        <w:rPr>
          <w:lang w:val="en-GB"/>
        </w:rPr>
      </w:pPr>
    </w:p>
    <w:p w14:paraId="64FB6F0C" w14:textId="77777777" w:rsidR="000D0694" w:rsidRDefault="000D0694">
      <w:pPr>
        <w:rPr>
          <w:lang w:val="en-GB"/>
        </w:rPr>
      </w:pPr>
    </w:p>
    <w:p w14:paraId="5CCE8CFE" w14:textId="77777777" w:rsidR="000D0694" w:rsidRDefault="000D0694">
      <w:pPr>
        <w:rPr>
          <w:lang w:val="en-GB"/>
        </w:rPr>
      </w:pPr>
    </w:p>
    <w:p w14:paraId="5CA8A320" w14:textId="77777777" w:rsidR="000D0694" w:rsidRDefault="000D0694">
      <w:pPr>
        <w:rPr>
          <w:lang w:val="en-GB"/>
        </w:rPr>
      </w:pPr>
    </w:p>
    <w:p w14:paraId="6F87B316" w14:textId="77777777" w:rsidR="000D0694" w:rsidRDefault="000D0694">
      <w:pPr>
        <w:rPr>
          <w:lang w:val="en-GB"/>
        </w:rPr>
      </w:pPr>
    </w:p>
    <w:p w14:paraId="6BD1FB05" w14:textId="77777777" w:rsidR="000D0694" w:rsidRDefault="000D0694">
      <w:pPr>
        <w:rPr>
          <w:lang w:val="en-GB"/>
        </w:rPr>
      </w:pPr>
    </w:p>
    <w:p w14:paraId="3A5E67A6" w14:textId="77777777" w:rsidR="000D0694" w:rsidRDefault="000D0694">
      <w:pPr>
        <w:rPr>
          <w:lang w:val="en-GB"/>
        </w:rPr>
      </w:pPr>
    </w:p>
    <w:p w14:paraId="21EC9DE4" w14:textId="77777777" w:rsidR="000D0694" w:rsidRDefault="000D0694">
      <w:pPr>
        <w:rPr>
          <w:lang w:val="en-GB"/>
        </w:rPr>
      </w:pPr>
    </w:p>
    <w:p w14:paraId="4BBF6427" w14:textId="77777777" w:rsidR="000D0694" w:rsidRDefault="000D0694">
      <w:pPr>
        <w:rPr>
          <w:lang w:val="en-GB"/>
        </w:rPr>
      </w:pPr>
    </w:p>
    <w:p w14:paraId="04E38667" w14:textId="3E1D7630" w:rsidR="00C14634" w:rsidRPr="001E5747" w:rsidRDefault="000D0694">
      <w:pPr>
        <w:rPr>
          <w:lang w:val="en-GB"/>
        </w:rPr>
      </w:pPr>
      <w:r w:rsidRPr="000D0694">
        <w:rPr>
          <w:noProof/>
          <w:lang w:val="en-US"/>
        </w:rPr>
        <w:lastRenderedPageBreak/>
        <w:drawing>
          <wp:inline distT="0" distB="0" distL="0" distR="0" wp14:anchorId="00446CFF" wp14:editId="34A7A6A6">
            <wp:extent cx="6124575" cy="3381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4575" cy="3381375"/>
                    </a:xfrm>
                    <a:prstGeom prst="rect">
                      <a:avLst/>
                    </a:prstGeom>
                    <a:noFill/>
                    <a:ln>
                      <a:noFill/>
                    </a:ln>
                  </pic:spPr>
                </pic:pic>
              </a:graphicData>
            </a:graphic>
          </wp:inline>
        </w:drawing>
      </w:r>
      <w:r w:rsidR="00C14634" w:rsidRPr="001E5747">
        <w:rPr>
          <w:lang w:val="en-GB"/>
        </w:rPr>
        <w:br w:type="page"/>
      </w:r>
    </w:p>
    <w:p w14:paraId="27A7BFF6" w14:textId="1D5EEB48" w:rsidR="00C14634" w:rsidRPr="001E5747" w:rsidRDefault="00C14634" w:rsidP="00A25A8C">
      <w:pPr>
        <w:tabs>
          <w:tab w:val="left" w:pos="90"/>
        </w:tabs>
        <w:ind w:left="-180"/>
        <w:rPr>
          <w:lang w:val="en-GB"/>
        </w:rPr>
      </w:pPr>
    </w:p>
    <w:tbl>
      <w:tblPr>
        <w:tblpPr w:leftFromText="180" w:rightFromText="180" w:vertAnchor="text" w:horzAnchor="margin" w:tblpX="-1165" w:tblpY="-1439"/>
        <w:tblW w:w="11166" w:type="dxa"/>
        <w:tblLook w:val="04A0" w:firstRow="1" w:lastRow="0" w:firstColumn="1" w:lastColumn="0" w:noHBand="0" w:noVBand="1"/>
      </w:tblPr>
      <w:tblGrid>
        <w:gridCol w:w="648"/>
        <w:gridCol w:w="3089"/>
        <w:gridCol w:w="2546"/>
        <w:gridCol w:w="658"/>
        <w:gridCol w:w="574"/>
        <w:gridCol w:w="1004"/>
        <w:gridCol w:w="1562"/>
        <w:gridCol w:w="1085"/>
      </w:tblGrid>
      <w:tr w:rsidR="00175AA2" w:rsidRPr="001E5747" w14:paraId="33CE69BF" w14:textId="77777777" w:rsidTr="00A0644E">
        <w:trPr>
          <w:trHeight w:val="160"/>
        </w:trPr>
        <w:tc>
          <w:tcPr>
            <w:tcW w:w="648" w:type="dxa"/>
            <w:tcBorders>
              <w:top w:val="nil"/>
              <w:left w:val="single" w:sz="8" w:space="0" w:color="auto"/>
              <w:bottom w:val="nil"/>
              <w:right w:val="nil"/>
            </w:tcBorders>
            <w:shd w:val="clear" w:color="auto" w:fill="auto"/>
            <w:vAlign w:val="center"/>
          </w:tcPr>
          <w:bookmarkEnd w:id="0"/>
          <w:bookmarkEnd w:id="1"/>
          <w:bookmarkEnd w:id="2"/>
          <w:bookmarkEnd w:id="3"/>
          <w:p w14:paraId="697C1017" w14:textId="77777777" w:rsidR="00175AA2" w:rsidRPr="001E5747" w:rsidRDefault="00CC4DF7" w:rsidP="00A0644E">
            <w:pPr>
              <w:rPr>
                <w:rFonts w:ascii="Calibri" w:hAnsi="Calibri" w:cs="Calibri"/>
                <w:b/>
                <w:bCs/>
                <w:color w:val="000000"/>
                <w:sz w:val="16"/>
                <w:szCs w:val="16"/>
                <w:lang w:val="en-GB"/>
              </w:rPr>
            </w:pPr>
            <w:r w:rsidRPr="000C3EC3">
              <w:rPr>
                <w:rFonts w:ascii="Calibri" w:hAnsi="Calibri"/>
                <w:b/>
                <w:noProof/>
                <w:color w:val="000000"/>
                <w:sz w:val="16"/>
                <w:lang w:val="en-US"/>
              </w:rPr>
              <w:lastRenderedPageBreak/>
              <mc:AlternateContent>
                <mc:Choice Requires="wps">
                  <w:drawing>
                    <wp:anchor distT="0" distB="0" distL="114300" distR="114300" simplePos="0" relativeHeight="251664384" behindDoc="0" locked="0" layoutInCell="1" allowOverlap="1" wp14:anchorId="50D7D3AC" wp14:editId="02E04F45">
                      <wp:simplePos x="0" y="0"/>
                      <wp:positionH relativeFrom="column">
                        <wp:posOffset>-62865</wp:posOffset>
                      </wp:positionH>
                      <wp:positionV relativeFrom="paragraph">
                        <wp:posOffset>-74930</wp:posOffset>
                      </wp:positionV>
                      <wp:extent cx="7183120" cy="4457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120" cy="445770"/>
                              </a:xfrm>
                              <a:prstGeom prst="rect">
                                <a:avLst/>
                              </a:prstGeom>
                              <a:solidFill>
                                <a:schemeClr val="tx2">
                                  <a:lumMod val="75000"/>
                                </a:schemeClr>
                              </a:solidFill>
                              <a:ln w="9525">
                                <a:noFill/>
                                <a:miter lim="800000"/>
                                <a:headEnd/>
                                <a:tailEnd/>
                              </a:ln>
                            </wps:spPr>
                            <wps:txbx>
                              <w:txbxContent>
                                <w:p w14:paraId="67D0E175" w14:textId="77777777" w:rsidR="00CB1E79" w:rsidRDefault="00CB1E79" w:rsidP="00C149DB">
                                  <w:pPr>
                                    <w:jc w:val="center"/>
                                    <w:rPr>
                                      <w:lang w:val="en-GB"/>
                                    </w:rPr>
                                  </w:pPr>
                                </w:p>
                                <w:p w14:paraId="53662111" w14:textId="0A9A7867" w:rsidR="00CB1E79" w:rsidRPr="00CC4DF7" w:rsidRDefault="00CB1E79" w:rsidP="00C149DB">
                                  <w:pPr>
                                    <w:jc w:val="center"/>
                                    <w:rPr>
                                      <w:lang w:val="en-GB"/>
                                    </w:rPr>
                                  </w:pPr>
                                  <w:r w:rsidRPr="00CC4DF7">
                                    <w:rPr>
                                      <w:lang w:val="en-GB"/>
                                    </w:rPr>
                                    <w:t>Performance Assessment 20</w:t>
                                  </w:r>
                                  <w:r>
                                    <w:rPr>
                                      <w:lang w:val="en-GB"/>
                                    </w:rPr>
                                    <w:t>2</w:t>
                                  </w:r>
                                  <w:r w:rsidR="00310D3C">
                                    <w:rPr>
                                      <w:lang w:val="en-GB"/>
                                    </w:rPr>
                                    <w:t>1</w:t>
                                  </w:r>
                                  <w:r w:rsidRPr="00CC4DF7">
                                    <w:rPr>
                                      <w:lang w:val="en-GB"/>
                                    </w:rPr>
                                    <w:t xml:space="preserve"> – Municipality 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D7D3AC" id="_x0000_t202" coordsize="21600,21600" o:spt="202" path="m,l,21600r21600,l21600,xe">
                      <v:stroke joinstyle="miter"/>
                      <v:path gradientshapeok="t" o:connecttype="rect"/>
                    </v:shapetype>
                    <v:shape id="Text Box 2" o:spid="_x0000_s1026" type="#_x0000_t202" style="position:absolute;margin-left:-4.95pt;margin-top:-5.9pt;width:565.6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" fillcolor="#17365d [2415]" stroked="f">
                      <v:textbox>
                        <w:txbxContent>
                          <w:p w14:paraId="67D0E175" w14:textId="77777777" w:rsidR="00CB1E79" w:rsidRDefault="00CB1E79" w:rsidP="00C149DB">
                            <w:pPr>
                              <w:jc w:val="center"/>
                              <w:rPr>
                                <w:lang w:val="en-GB"/>
                              </w:rPr>
                            </w:pPr>
                          </w:p>
                          <w:p w14:paraId="53662111" w14:textId="0A9A7867" w:rsidR="00CB1E79" w:rsidRPr="00CC4DF7" w:rsidRDefault="00CB1E79" w:rsidP="00C149DB">
                            <w:pPr>
                              <w:jc w:val="center"/>
                              <w:rPr>
                                <w:lang w:val="en-GB"/>
                              </w:rPr>
                            </w:pPr>
                            <w:r w:rsidRPr="00CC4DF7">
                              <w:rPr>
                                <w:lang w:val="en-GB"/>
                              </w:rPr>
                              <w:t>Performance Assessment 20</w:t>
                            </w:r>
                            <w:r>
                              <w:rPr>
                                <w:lang w:val="en-GB"/>
                              </w:rPr>
                              <w:t>2</w:t>
                            </w:r>
                            <w:r w:rsidR="00310D3C">
                              <w:rPr>
                                <w:lang w:val="en-GB"/>
                              </w:rPr>
                              <w:t>1</w:t>
                            </w:r>
                            <w:r w:rsidRPr="00CC4DF7">
                              <w:rPr>
                                <w:lang w:val="en-GB"/>
                              </w:rPr>
                              <w:t xml:space="preserve"> – Municipality XXX</w:t>
                            </w:r>
                          </w:p>
                        </w:txbxContent>
                      </v:textbox>
                    </v:shape>
                  </w:pict>
                </mc:Fallback>
              </mc:AlternateContent>
            </w:r>
          </w:p>
        </w:tc>
        <w:tc>
          <w:tcPr>
            <w:tcW w:w="3089" w:type="dxa"/>
            <w:tcBorders>
              <w:top w:val="nil"/>
              <w:left w:val="nil"/>
              <w:bottom w:val="nil"/>
              <w:right w:val="nil"/>
            </w:tcBorders>
            <w:shd w:val="clear" w:color="auto" w:fill="auto"/>
            <w:noWrap/>
            <w:vAlign w:val="center"/>
          </w:tcPr>
          <w:p w14:paraId="57822662" w14:textId="77777777" w:rsidR="00CC4DF7" w:rsidRPr="001E5747" w:rsidRDefault="00CC4DF7" w:rsidP="00A0644E">
            <w:pPr>
              <w:jc w:val="center"/>
              <w:rPr>
                <w:rFonts w:ascii="Calibri" w:hAnsi="Calibri" w:cs="Calibri"/>
                <w:b/>
                <w:bCs/>
                <w:color w:val="000000"/>
                <w:sz w:val="16"/>
                <w:szCs w:val="16"/>
                <w:lang w:val="en-GB"/>
              </w:rPr>
            </w:pPr>
          </w:p>
          <w:p w14:paraId="37076A40" w14:textId="77777777" w:rsidR="00CC4DF7" w:rsidRPr="001E5747" w:rsidRDefault="00CC4DF7" w:rsidP="00A0644E">
            <w:pPr>
              <w:jc w:val="center"/>
              <w:rPr>
                <w:rFonts w:ascii="Calibri" w:hAnsi="Calibri" w:cs="Calibri"/>
                <w:b/>
                <w:bCs/>
                <w:color w:val="000000"/>
                <w:sz w:val="16"/>
                <w:szCs w:val="16"/>
                <w:lang w:val="en-GB"/>
              </w:rPr>
            </w:pPr>
          </w:p>
          <w:p w14:paraId="3283DB43" w14:textId="77777777" w:rsidR="00CC4DF7" w:rsidRPr="001E5747" w:rsidRDefault="00CC4DF7" w:rsidP="00A0644E">
            <w:pPr>
              <w:jc w:val="center"/>
              <w:rPr>
                <w:rFonts w:ascii="Calibri" w:hAnsi="Calibri" w:cs="Calibri"/>
                <w:b/>
                <w:bCs/>
                <w:color w:val="000000"/>
                <w:sz w:val="16"/>
                <w:szCs w:val="16"/>
                <w:lang w:val="en-GB"/>
              </w:rPr>
            </w:pPr>
          </w:p>
        </w:tc>
        <w:tc>
          <w:tcPr>
            <w:tcW w:w="2546" w:type="dxa"/>
            <w:tcBorders>
              <w:top w:val="nil"/>
              <w:left w:val="nil"/>
              <w:bottom w:val="nil"/>
              <w:right w:val="nil"/>
            </w:tcBorders>
            <w:shd w:val="clear" w:color="auto" w:fill="auto"/>
            <w:noWrap/>
            <w:vAlign w:val="center"/>
          </w:tcPr>
          <w:p w14:paraId="077F7428" w14:textId="77777777" w:rsidR="00CC4DF7" w:rsidRPr="001E5747" w:rsidRDefault="00CC4DF7" w:rsidP="00A0644E">
            <w:pPr>
              <w:jc w:val="center"/>
              <w:rPr>
                <w:sz w:val="16"/>
                <w:szCs w:val="16"/>
                <w:lang w:val="en-GB"/>
              </w:rPr>
            </w:pPr>
          </w:p>
        </w:tc>
        <w:tc>
          <w:tcPr>
            <w:tcW w:w="658" w:type="dxa"/>
            <w:tcBorders>
              <w:top w:val="nil"/>
              <w:left w:val="nil"/>
              <w:bottom w:val="nil"/>
              <w:right w:val="nil"/>
            </w:tcBorders>
            <w:shd w:val="clear" w:color="auto" w:fill="auto"/>
            <w:noWrap/>
            <w:vAlign w:val="center"/>
            <w:hideMark/>
          </w:tcPr>
          <w:p w14:paraId="3F97DBB4" w14:textId="77777777" w:rsidR="00175AA2" w:rsidRPr="001E5747" w:rsidRDefault="00175AA2" w:rsidP="00A0644E">
            <w:pPr>
              <w:jc w:val="center"/>
              <w:rPr>
                <w:sz w:val="16"/>
                <w:szCs w:val="16"/>
                <w:lang w:val="en-GB"/>
              </w:rPr>
            </w:pPr>
          </w:p>
        </w:tc>
        <w:tc>
          <w:tcPr>
            <w:tcW w:w="574" w:type="dxa"/>
            <w:tcBorders>
              <w:top w:val="nil"/>
              <w:left w:val="nil"/>
              <w:bottom w:val="nil"/>
              <w:right w:val="nil"/>
            </w:tcBorders>
            <w:shd w:val="clear" w:color="auto" w:fill="auto"/>
            <w:noWrap/>
            <w:vAlign w:val="center"/>
            <w:hideMark/>
          </w:tcPr>
          <w:p w14:paraId="3FD45292" w14:textId="77777777" w:rsidR="00175AA2" w:rsidRPr="001E5747" w:rsidRDefault="00175AA2" w:rsidP="00A0644E">
            <w:pPr>
              <w:jc w:val="center"/>
              <w:rPr>
                <w:sz w:val="16"/>
                <w:szCs w:val="16"/>
                <w:lang w:val="en-GB"/>
              </w:rPr>
            </w:pPr>
          </w:p>
        </w:tc>
        <w:tc>
          <w:tcPr>
            <w:tcW w:w="1004" w:type="dxa"/>
            <w:tcBorders>
              <w:top w:val="nil"/>
              <w:left w:val="nil"/>
              <w:bottom w:val="nil"/>
              <w:right w:val="nil"/>
            </w:tcBorders>
            <w:shd w:val="clear" w:color="auto" w:fill="auto"/>
            <w:noWrap/>
            <w:vAlign w:val="center"/>
            <w:hideMark/>
          </w:tcPr>
          <w:p w14:paraId="4F707E22" w14:textId="77777777" w:rsidR="00175AA2" w:rsidRPr="001E5747" w:rsidRDefault="00175AA2" w:rsidP="00A0644E">
            <w:pPr>
              <w:jc w:val="center"/>
              <w:rPr>
                <w:sz w:val="16"/>
                <w:szCs w:val="16"/>
                <w:lang w:val="en-GB"/>
              </w:rPr>
            </w:pPr>
          </w:p>
        </w:tc>
        <w:tc>
          <w:tcPr>
            <w:tcW w:w="1562" w:type="dxa"/>
            <w:tcBorders>
              <w:top w:val="nil"/>
              <w:left w:val="nil"/>
              <w:bottom w:val="nil"/>
              <w:right w:val="nil"/>
            </w:tcBorders>
            <w:shd w:val="clear" w:color="auto" w:fill="auto"/>
            <w:noWrap/>
            <w:vAlign w:val="center"/>
            <w:hideMark/>
          </w:tcPr>
          <w:p w14:paraId="29A3C90D" w14:textId="77777777" w:rsidR="00175AA2" w:rsidRPr="001E5747" w:rsidRDefault="00175AA2" w:rsidP="00A0644E">
            <w:pPr>
              <w:jc w:val="center"/>
              <w:rPr>
                <w:sz w:val="16"/>
                <w:szCs w:val="16"/>
                <w:lang w:val="en-GB"/>
              </w:rPr>
            </w:pPr>
          </w:p>
        </w:tc>
        <w:tc>
          <w:tcPr>
            <w:tcW w:w="1085" w:type="dxa"/>
            <w:tcBorders>
              <w:top w:val="nil"/>
              <w:left w:val="nil"/>
              <w:bottom w:val="nil"/>
              <w:right w:val="single" w:sz="8" w:space="0" w:color="auto"/>
            </w:tcBorders>
            <w:shd w:val="clear" w:color="auto" w:fill="auto"/>
            <w:noWrap/>
            <w:vAlign w:val="center"/>
            <w:hideMark/>
          </w:tcPr>
          <w:p w14:paraId="0B64C461" w14:textId="77777777" w:rsidR="00175AA2" w:rsidRPr="001E5747" w:rsidRDefault="00175AA2" w:rsidP="00A0644E">
            <w:pPr>
              <w:jc w:val="center"/>
              <w:rPr>
                <w:rFonts w:ascii="Calibri" w:hAnsi="Calibri" w:cs="Calibri"/>
                <w:b/>
                <w:bCs/>
                <w:color w:val="000000"/>
                <w:sz w:val="16"/>
                <w:szCs w:val="16"/>
                <w:lang w:val="en-GB"/>
              </w:rPr>
            </w:pPr>
          </w:p>
        </w:tc>
      </w:tr>
      <w:tr w:rsidR="00175AA2" w:rsidRPr="001E5747" w14:paraId="261BBDD2" w14:textId="77777777" w:rsidTr="00A0644E">
        <w:trPr>
          <w:trHeight w:val="559"/>
        </w:trPr>
        <w:tc>
          <w:tcPr>
            <w:tcW w:w="648" w:type="dxa"/>
            <w:tcBorders>
              <w:top w:val="single" w:sz="8" w:space="0" w:color="auto"/>
              <w:left w:val="single" w:sz="8" w:space="0" w:color="auto"/>
              <w:bottom w:val="single" w:sz="8" w:space="0" w:color="auto"/>
              <w:right w:val="single" w:sz="8" w:space="0" w:color="auto"/>
            </w:tcBorders>
            <w:shd w:val="clear" w:color="000000" w:fill="305496"/>
            <w:vAlign w:val="center"/>
            <w:hideMark/>
          </w:tcPr>
          <w:p w14:paraId="10BB9A2F" w14:textId="77777777"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w:t>
            </w:r>
          </w:p>
        </w:tc>
        <w:tc>
          <w:tcPr>
            <w:tcW w:w="3089" w:type="dxa"/>
            <w:tcBorders>
              <w:top w:val="single" w:sz="8" w:space="0" w:color="auto"/>
              <w:left w:val="nil"/>
              <w:bottom w:val="single" w:sz="8" w:space="0" w:color="auto"/>
              <w:right w:val="single" w:sz="4" w:space="0" w:color="auto"/>
            </w:tcBorders>
            <w:shd w:val="clear" w:color="000000" w:fill="305496"/>
            <w:vAlign w:val="center"/>
            <w:hideMark/>
          </w:tcPr>
          <w:p w14:paraId="0816AFBB" w14:textId="77777777" w:rsidR="00175AA2" w:rsidRPr="001E5747" w:rsidRDefault="00175AA2" w:rsidP="00A0644E">
            <w:pPr>
              <w:rPr>
                <w:rFonts w:ascii="Calibri" w:hAnsi="Calibri" w:cs="Calibri"/>
                <w:b/>
                <w:bCs/>
                <w:color w:val="FFFFFF"/>
                <w:sz w:val="16"/>
                <w:szCs w:val="16"/>
                <w:lang w:val="en-GB"/>
              </w:rPr>
            </w:pPr>
            <w:r w:rsidRPr="001E5747">
              <w:rPr>
                <w:rFonts w:ascii="Calibri" w:hAnsi="Calibri" w:cs="Calibri"/>
                <w:b/>
                <w:bCs/>
                <w:color w:val="FFFFFF"/>
                <w:sz w:val="16"/>
                <w:szCs w:val="16"/>
                <w:lang w:val="en-GB"/>
              </w:rPr>
              <w:t>Indicator</w:t>
            </w:r>
            <w:r w:rsidRPr="001E5747">
              <w:rPr>
                <w:rFonts w:ascii="Calibri" w:hAnsi="Calibri" w:cs="Calibri"/>
                <w:b/>
                <w:bCs/>
                <w:color w:val="FFFFFF"/>
                <w:sz w:val="16"/>
                <w:szCs w:val="16"/>
                <w:lang w:val="en-GB"/>
              </w:rPr>
              <w:br/>
            </w:r>
          </w:p>
        </w:tc>
        <w:tc>
          <w:tcPr>
            <w:tcW w:w="2546" w:type="dxa"/>
            <w:tcBorders>
              <w:top w:val="single" w:sz="8" w:space="0" w:color="auto"/>
              <w:left w:val="nil"/>
              <w:bottom w:val="single" w:sz="8" w:space="0" w:color="auto"/>
              <w:right w:val="single" w:sz="4" w:space="0" w:color="auto"/>
            </w:tcBorders>
            <w:shd w:val="clear" w:color="000000" w:fill="305496"/>
            <w:vAlign w:val="center"/>
            <w:hideMark/>
          </w:tcPr>
          <w:p w14:paraId="69604451" w14:textId="77777777"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 xml:space="preserve">Assessment guidelines </w:t>
            </w:r>
            <w:r w:rsidRPr="001E5747">
              <w:rPr>
                <w:rFonts w:ascii="Calibri" w:hAnsi="Calibri" w:cs="Calibri"/>
                <w:b/>
                <w:bCs/>
                <w:color w:val="FFFFFF"/>
                <w:sz w:val="16"/>
                <w:szCs w:val="16"/>
                <w:lang w:val="en-GB"/>
              </w:rPr>
              <w:br/>
            </w:r>
          </w:p>
        </w:tc>
        <w:tc>
          <w:tcPr>
            <w:tcW w:w="658" w:type="dxa"/>
            <w:tcBorders>
              <w:top w:val="single" w:sz="8" w:space="0" w:color="auto"/>
              <w:left w:val="nil"/>
              <w:bottom w:val="single" w:sz="8" w:space="0" w:color="auto"/>
              <w:right w:val="single" w:sz="4" w:space="0" w:color="auto"/>
            </w:tcBorders>
            <w:shd w:val="clear" w:color="000000" w:fill="305496"/>
            <w:vAlign w:val="center"/>
            <w:hideMark/>
          </w:tcPr>
          <w:p w14:paraId="2D29B7C9" w14:textId="77777777"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Value as in the source</w:t>
            </w:r>
          </w:p>
        </w:tc>
        <w:tc>
          <w:tcPr>
            <w:tcW w:w="574" w:type="dxa"/>
            <w:tcBorders>
              <w:top w:val="single" w:sz="8" w:space="0" w:color="auto"/>
              <w:left w:val="nil"/>
              <w:bottom w:val="single" w:sz="8" w:space="0" w:color="auto"/>
              <w:right w:val="single" w:sz="4" w:space="0" w:color="auto"/>
            </w:tcBorders>
            <w:shd w:val="clear" w:color="000000" w:fill="305496"/>
            <w:vAlign w:val="center"/>
            <w:hideMark/>
          </w:tcPr>
          <w:p w14:paraId="347C6420" w14:textId="77777777"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Max. score</w:t>
            </w:r>
          </w:p>
        </w:tc>
        <w:tc>
          <w:tcPr>
            <w:tcW w:w="1004" w:type="dxa"/>
            <w:tcBorders>
              <w:top w:val="single" w:sz="8" w:space="0" w:color="auto"/>
              <w:left w:val="nil"/>
              <w:bottom w:val="single" w:sz="8" w:space="0" w:color="auto"/>
              <w:right w:val="single" w:sz="4" w:space="0" w:color="auto"/>
            </w:tcBorders>
            <w:shd w:val="clear" w:color="000000" w:fill="305496"/>
            <w:vAlign w:val="center"/>
            <w:hideMark/>
          </w:tcPr>
          <w:p w14:paraId="2319EBC1" w14:textId="77777777"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Assessment</w:t>
            </w:r>
            <w:r w:rsidRPr="001E5747">
              <w:rPr>
                <w:rFonts w:ascii="Calibri" w:hAnsi="Calibri" w:cs="Calibri"/>
                <w:b/>
                <w:bCs/>
                <w:color w:val="FFFFFF"/>
                <w:sz w:val="16"/>
                <w:szCs w:val="16"/>
                <w:lang w:val="en-GB"/>
              </w:rPr>
              <w:br/>
            </w:r>
          </w:p>
        </w:tc>
        <w:tc>
          <w:tcPr>
            <w:tcW w:w="1562" w:type="dxa"/>
            <w:tcBorders>
              <w:top w:val="single" w:sz="8" w:space="0" w:color="auto"/>
              <w:left w:val="nil"/>
              <w:bottom w:val="single" w:sz="8" w:space="0" w:color="auto"/>
              <w:right w:val="single" w:sz="4" w:space="0" w:color="auto"/>
            </w:tcBorders>
            <w:shd w:val="clear" w:color="000000" w:fill="305496"/>
            <w:vAlign w:val="center"/>
            <w:hideMark/>
          </w:tcPr>
          <w:p w14:paraId="34761392" w14:textId="77777777"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Data Source</w:t>
            </w:r>
            <w:r w:rsidRPr="001E5747">
              <w:rPr>
                <w:rFonts w:ascii="Calibri" w:hAnsi="Calibri" w:cs="Calibri"/>
                <w:b/>
                <w:bCs/>
                <w:color w:val="FFFFFF"/>
                <w:sz w:val="16"/>
                <w:szCs w:val="16"/>
                <w:lang w:val="en-GB"/>
              </w:rPr>
              <w:br/>
            </w:r>
          </w:p>
        </w:tc>
        <w:tc>
          <w:tcPr>
            <w:tcW w:w="1085" w:type="dxa"/>
            <w:tcBorders>
              <w:top w:val="single" w:sz="8" w:space="0" w:color="auto"/>
              <w:left w:val="nil"/>
              <w:bottom w:val="single" w:sz="8" w:space="0" w:color="auto"/>
              <w:right w:val="single" w:sz="8" w:space="0" w:color="auto"/>
            </w:tcBorders>
            <w:shd w:val="clear" w:color="000000" w:fill="305496"/>
            <w:vAlign w:val="center"/>
            <w:hideMark/>
          </w:tcPr>
          <w:p w14:paraId="30D99451" w14:textId="77777777"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Comments</w:t>
            </w:r>
            <w:r w:rsidRPr="001E5747">
              <w:rPr>
                <w:rFonts w:ascii="Calibri" w:hAnsi="Calibri" w:cs="Calibri"/>
                <w:b/>
                <w:bCs/>
                <w:color w:val="FFFFFF"/>
                <w:sz w:val="16"/>
                <w:szCs w:val="16"/>
                <w:lang w:val="en-GB"/>
              </w:rPr>
              <w:br/>
            </w:r>
          </w:p>
        </w:tc>
      </w:tr>
      <w:tr w:rsidR="00175AA2" w:rsidRPr="001E5747" w14:paraId="1AA291EE" w14:textId="77777777" w:rsidTr="00A0644E">
        <w:trPr>
          <w:trHeight w:val="322"/>
        </w:trPr>
        <w:tc>
          <w:tcPr>
            <w:tcW w:w="648" w:type="dxa"/>
            <w:tcBorders>
              <w:top w:val="nil"/>
              <w:left w:val="single" w:sz="8" w:space="0" w:color="auto"/>
              <w:bottom w:val="single" w:sz="8" w:space="0" w:color="auto"/>
              <w:right w:val="single" w:sz="8" w:space="0" w:color="auto"/>
            </w:tcBorders>
            <w:shd w:val="clear" w:color="000000" w:fill="305496"/>
            <w:vAlign w:val="center"/>
            <w:hideMark/>
          </w:tcPr>
          <w:p w14:paraId="114DE554" w14:textId="77777777" w:rsidR="00175AA2" w:rsidRPr="001E5747" w:rsidRDefault="00175AA2" w:rsidP="00A0644E">
            <w:pPr>
              <w:rPr>
                <w:rFonts w:ascii="Calibri" w:hAnsi="Calibri" w:cs="Calibri"/>
                <w:b/>
                <w:bCs/>
                <w:color w:val="FFFFFF"/>
                <w:sz w:val="16"/>
                <w:szCs w:val="16"/>
                <w:lang w:val="en-GB"/>
              </w:rPr>
            </w:pPr>
            <w:r w:rsidRPr="001E5747">
              <w:rPr>
                <w:rFonts w:ascii="Calibri" w:hAnsi="Calibri" w:cs="Calibri"/>
                <w:b/>
                <w:bCs/>
                <w:color w:val="FFFFFF"/>
                <w:sz w:val="16"/>
                <w:szCs w:val="16"/>
                <w:lang w:val="en-GB"/>
              </w:rPr>
              <w:t>1</w:t>
            </w:r>
          </w:p>
        </w:tc>
        <w:tc>
          <w:tcPr>
            <w:tcW w:w="6293" w:type="dxa"/>
            <w:gridSpan w:val="3"/>
            <w:tcBorders>
              <w:top w:val="single" w:sz="8" w:space="0" w:color="auto"/>
              <w:left w:val="nil"/>
              <w:bottom w:val="single" w:sz="8" w:space="0" w:color="auto"/>
              <w:right w:val="single" w:sz="4" w:space="0" w:color="auto"/>
            </w:tcBorders>
            <w:shd w:val="clear" w:color="000000" w:fill="305496"/>
            <w:vAlign w:val="center"/>
            <w:hideMark/>
          </w:tcPr>
          <w:p w14:paraId="7463784B" w14:textId="77777777" w:rsidR="00175AA2" w:rsidRPr="001E5747" w:rsidRDefault="00175AA2" w:rsidP="00A0644E">
            <w:pPr>
              <w:rPr>
                <w:rFonts w:ascii="Calibri" w:hAnsi="Calibri" w:cs="Calibri"/>
                <w:b/>
                <w:bCs/>
                <w:color w:val="FFFFFF"/>
                <w:sz w:val="16"/>
                <w:szCs w:val="16"/>
                <w:lang w:val="en-GB"/>
              </w:rPr>
            </w:pPr>
            <w:r w:rsidRPr="001E5747">
              <w:rPr>
                <w:rFonts w:ascii="Calibri" w:hAnsi="Calibri" w:cs="Calibri"/>
                <w:b/>
                <w:bCs/>
                <w:color w:val="FFFFFF"/>
                <w:sz w:val="16"/>
                <w:szCs w:val="16"/>
                <w:lang w:val="en-GB"/>
              </w:rPr>
              <w:t>Democratic Governance</w:t>
            </w:r>
          </w:p>
        </w:tc>
        <w:tc>
          <w:tcPr>
            <w:tcW w:w="574" w:type="dxa"/>
            <w:tcBorders>
              <w:top w:val="nil"/>
              <w:left w:val="nil"/>
              <w:bottom w:val="single" w:sz="8" w:space="0" w:color="auto"/>
              <w:right w:val="single" w:sz="4" w:space="0" w:color="auto"/>
            </w:tcBorders>
            <w:shd w:val="clear" w:color="000000" w:fill="305496"/>
            <w:vAlign w:val="center"/>
            <w:hideMark/>
          </w:tcPr>
          <w:p w14:paraId="270AB89A" w14:textId="77777777" w:rsidR="00175AA2" w:rsidRPr="001E5747" w:rsidRDefault="00AF23F5" w:rsidP="00AF23F5">
            <w:pPr>
              <w:jc w:val="center"/>
              <w:rPr>
                <w:rFonts w:ascii="Calibri" w:hAnsi="Calibri" w:cs="Calibri"/>
                <w:b/>
                <w:bCs/>
                <w:color w:val="FFFFFF"/>
                <w:sz w:val="16"/>
                <w:szCs w:val="16"/>
                <w:lang w:val="en-GB"/>
              </w:rPr>
            </w:pPr>
            <w:r>
              <w:rPr>
                <w:rFonts w:ascii="Calibri" w:hAnsi="Calibri" w:cs="Calibri"/>
                <w:b/>
                <w:bCs/>
                <w:color w:val="FFFFFF"/>
                <w:sz w:val="16"/>
                <w:szCs w:val="16"/>
                <w:lang w:val="en-GB"/>
              </w:rPr>
              <w:t>38</w:t>
            </w:r>
          </w:p>
        </w:tc>
        <w:tc>
          <w:tcPr>
            <w:tcW w:w="1004" w:type="dxa"/>
            <w:tcBorders>
              <w:top w:val="nil"/>
              <w:left w:val="nil"/>
              <w:bottom w:val="single" w:sz="8" w:space="0" w:color="auto"/>
              <w:right w:val="single" w:sz="4" w:space="0" w:color="auto"/>
            </w:tcBorders>
            <w:shd w:val="clear" w:color="000000" w:fill="305496"/>
            <w:vAlign w:val="center"/>
            <w:hideMark/>
          </w:tcPr>
          <w:p w14:paraId="6158C063" w14:textId="77777777"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0</w:t>
            </w:r>
          </w:p>
        </w:tc>
        <w:tc>
          <w:tcPr>
            <w:tcW w:w="1562" w:type="dxa"/>
            <w:tcBorders>
              <w:top w:val="nil"/>
              <w:left w:val="nil"/>
              <w:bottom w:val="single" w:sz="8" w:space="0" w:color="auto"/>
              <w:right w:val="single" w:sz="4" w:space="0" w:color="auto"/>
            </w:tcBorders>
            <w:shd w:val="clear" w:color="000000" w:fill="305496"/>
            <w:vAlign w:val="center"/>
            <w:hideMark/>
          </w:tcPr>
          <w:p w14:paraId="24D98B01" w14:textId="77777777" w:rsidR="00175AA2" w:rsidRPr="001E5747" w:rsidRDefault="00175AA2" w:rsidP="00A0644E">
            <w:pPr>
              <w:jc w:val="center"/>
              <w:rPr>
                <w:rFonts w:ascii="Calibri" w:hAnsi="Calibri" w:cs="Calibri"/>
                <w:b/>
                <w:bCs/>
                <w:color w:val="FFFFFF"/>
                <w:sz w:val="16"/>
                <w:szCs w:val="16"/>
                <w:lang w:val="en-GB"/>
              </w:rPr>
            </w:pPr>
          </w:p>
        </w:tc>
        <w:tc>
          <w:tcPr>
            <w:tcW w:w="1085" w:type="dxa"/>
            <w:tcBorders>
              <w:top w:val="nil"/>
              <w:left w:val="nil"/>
              <w:bottom w:val="single" w:sz="8" w:space="0" w:color="auto"/>
              <w:right w:val="single" w:sz="8" w:space="0" w:color="auto"/>
            </w:tcBorders>
            <w:shd w:val="clear" w:color="000000" w:fill="305496"/>
            <w:vAlign w:val="center"/>
            <w:hideMark/>
          </w:tcPr>
          <w:p w14:paraId="48B67490" w14:textId="77777777" w:rsidR="00175AA2" w:rsidRPr="001E5747" w:rsidRDefault="00175AA2" w:rsidP="00A0644E">
            <w:pPr>
              <w:jc w:val="center"/>
              <w:rPr>
                <w:rFonts w:ascii="Calibri" w:hAnsi="Calibri" w:cs="Calibri"/>
                <w:b/>
                <w:bCs/>
                <w:color w:val="FFFFFF"/>
                <w:sz w:val="16"/>
                <w:szCs w:val="16"/>
                <w:lang w:val="en-GB"/>
              </w:rPr>
            </w:pPr>
          </w:p>
        </w:tc>
      </w:tr>
      <w:tr w:rsidR="00175AA2" w:rsidRPr="001E5747" w14:paraId="25B12CD6" w14:textId="77777777" w:rsidTr="00A0644E">
        <w:trPr>
          <w:trHeight w:val="268"/>
        </w:trPr>
        <w:tc>
          <w:tcPr>
            <w:tcW w:w="648" w:type="dxa"/>
            <w:tcBorders>
              <w:top w:val="nil"/>
              <w:left w:val="single" w:sz="8" w:space="0" w:color="auto"/>
              <w:bottom w:val="single" w:sz="8" w:space="0" w:color="auto"/>
              <w:right w:val="single" w:sz="8" w:space="0" w:color="auto"/>
            </w:tcBorders>
            <w:shd w:val="clear" w:color="000000" w:fill="8EA9DB"/>
            <w:vAlign w:val="center"/>
            <w:hideMark/>
          </w:tcPr>
          <w:p w14:paraId="69C5143A" w14:textId="77777777" w:rsidR="00175AA2" w:rsidRPr="001E5747" w:rsidRDefault="00175AA2" w:rsidP="00A0644E">
            <w:pPr>
              <w:rPr>
                <w:rFonts w:ascii="Calibri" w:hAnsi="Calibri" w:cs="Calibri"/>
                <w:b/>
                <w:bCs/>
                <w:color w:val="FFFFFF"/>
                <w:sz w:val="16"/>
                <w:szCs w:val="16"/>
                <w:lang w:val="en-GB"/>
              </w:rPr>
            </w:pPr>
            <w:r w:rsidRPr="001E5747">
              <w:rPr>
                <w:rFonts w:ascii="Calibri" w:hAnsi="Calibri" w:cs="Calibri"/>
                <w:b/>
                <w:bCs/>
                <w:color w:val="FFFFFF"/>
                <w:sz w:val="16"/>
                <w:szCs w:val="16"/>
                <w:lang w:val="en-GB"/>
              </w:rPr>
              <w:t>I</w:t>
            </w:r>
          </w:p>
        </w:tc>
        <w:tc>
          <w:tcPr>
            <w:tcW w:w="6293" w:type="dxa"/>
            <w:gridSpan w:val="3"/>
            <w:tcBorders>
              <w:top w:val="single" w:sz="8" w:space="0" w:color="auto"/>
              <w:left w:val="nil"/>
              <w:bottom w:val="single" w:sz="8" w:space="0" w:color="auto"/>
              <w:right w:val="single" w:sz="4" w:space="0" w:color="000000"/>
            </w:tcBorders>
            <w:shd w:val="clear" w:color="000000" w:fill="8EA9DB"/>
            <w:vAlign w:val="center"/>
            <w:hideMark/>
          </w:tcPr>
          <w:p w14:paraId="48A5DAD3" w14:textId="77777777" w:rsidR="00175AA2" w:rsidRPr="001E5747" w:rsidRDefault="00175AA2" w:rsidP="00A0644E">
            <w:pPr>
              <w:rPr>
                <w:rFonts w:ascii="Calibri" w:hAnsi="Calibri" w:cs="Calibri"/>
                <w:b/>
                <w:bCs/>
                <w:color w:val="FFFFFF"/>
                <w:sz w:val="16"/>
                <w:szCs w:val="16"/>
                <w:lang w:val="en-GB"/>
              </w:rPr>
            </w:pPr>
            <w:r w:rsidRPr="001E5747">
              <w:rPr>
                <w:rFonts w:ascii="Calibri" w:hAnsi="Calibri" w:cs="Calibri"/>
                <w:b/>
                <w:bCs/>
                <w:color w:val="FFFFFF"/>
                <w:sz w:val="16"/>
                <w:szCs w:val="16"/>
                <w:lang w:val="en-GB"/>
              </w:rPr>
              <w:t>Role of the Municipal Assembly as an oversight body</w:t>
            </w:r>
          </w:p>
        </w:tc>
        <w:tc>
          <w:tcPr>
            <w:tcW w:w="574" w:type="dxa"/>
            <w:tcBorders>
              <w:top w:val="nil"/>
              <w:left w:val="nil"/>
              <w:bottom w:val="single" w:sz="8" w:space="0" w:color="auto"/>
              <w:right w:val="single" w:sz="4" w:space="0" w:color="auto"/>
            </w:tcBorders>
            <w:shd w:val="clear" w:color="000000" w:fill="8EA9DB"/>
            <w:vAlign w:val="center"/>
            <w:hideMark/>
          </w:tcPr>
          <w:p w14:paraId="1DC89DC2" w14:textId="37247DA0"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1</w:t>
            </w:r>
            <w:r w:rsidR="00310D3C">
              <w:rPr>
                <w:rFonts w:ascii="Calibri" w:hAnsi="Calibri" w:cs="Calibri"/>
                <w:b/>
                <w:bCs/>
                <w:color w:val="FFFFFF"/>
                <w:sz w:val="16"/>
                <w:szCs w:val="16"/>
                <w:lang w:val="en-GB"/>
              </w:rPr>
              <w:t>1</w:t>
            </w:r>
          </w:p>
        </w:tc>
        <w:tc>
          <w:tcPr>
            <w:tcW w:w="1004" w:type="dxa"/>
            <w:tcBorders>
              <w:top w:val="nil"/>
              <w:left w:val="nil"/>
              <w:bottom w:val="single" w:sz="8" w:space="0" w:color="auto"/>
              <w:right w:val="single" w:sz="4" w:space="0" w:color="auto"/>
            </w:tcBorders>
            <w:shd w:val="clear" w:color="000000" w:fill="8EA9DB"/>
            <w:vAlign w:val="center"/>
            <w:hideMark/>
          </w:tcPr>
          <w:p w14:paraId="3458CB6F" w14:textId="77777777"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0</w:t>
            </w:r>
          </w:p>
        </w:tc>
        <w:tc>
          <w:tcPr>
            <w:tcW w:w="1562" w:type="dxa"/>
            <w:tcBorders>
              <w:top w:val="nil"/>
              <w:left w:val="nil"/>
              <w:bottom w:val="single" w:sz="8" w:space="0" w:color="auto"/>
              <w:right w:val="single" w:sz="4" w:space="0" w:color="auto"/>
            </w:tcBorders>
            <w:shd w:val="clear" w:color="000000" w:fill="8EA9DB"/>
            <w:vAlign w:val="center"/>
            <w:hideMark/>
          </w:tcPr>
          <w:p w14:paraId="4D811E64" w14:textId="77777777" w:rsidR="00175AA2" w:rsidRPr="001E5747" w:rsidRDefault="00175AA2" w:rsidP="00A0644E">
            <w:pPr>
              <w:jc w:val="center"/>
              <w:rPr>
                <w:rFonts w:ascii="Calibri" w:hAnsi="Calibri" w:cs="Calibri"/>
                <w:b/>
                <w:bCs/>
                <w:color w:val="FFFFFF"/>
                <w:sz w:val="16"/>
                <w:szCs w:val="16"/>
                <w:lang w:val="en-GB"/>
              </w:rPr>
            </w:pPr>
          </w:p>
        </w:tc>
        <w:tc>
          <w:tcPr>
            <w:tcW w:w="1085" w:type="dxa"/>
            <w:tcBorders>
              <w:top w:val="nil"/>
              <w:left w:val="nil"/>
              <w:bottom w:val="single" w:sz="8" w:space="0" w:color="auto"/>
              <w:right w:val="single" w:sz="8" w:space="0" w:color="auto"/>
            </w:tcBorders>
            <w:shd w:val="clear" w:color="000000" w:fill="8EA9DB"/>
            <w:vAlign w:val="center"/>
            <w:hideMark/>
          </w:tcPr>
          <w:p w14:paraId="6D77BD97" w14:textId="77777777" w:rsidR="00175AA2" w:rsidRPr="001E5747" w:rsidRDefault="00175AA2" w:rsidP="00A0644E">
            <w:pPr>
              <w:jc w:val="center"/>
              <w:rPr>
                <w:rFonts w:ascii="Calibri" w:hAnsi="Calibri" w:cs="Calibri"/>
                <w:b/>
                <w:bCs/>
                <w:color w:val="FFFFFF"/>
                <w:sz w:val="16"/>
                <w:szCs w:val="16"/>
                <w:lang w:val="en-GB"/>
              </w:rPr>
            </w:pPr>
          </w:p>
        </w:tc>
      </w:tr>
      <w:tr w:rsidR="00175AA2" w:rsidRPr="001E5747" w14:paraId="3827B287" w14:textId="77777777" w:rsidTr="00A0644E">
        <w:trPr>
          <w:trHeight w:val="1200"/>
        </w:trPr>
        <w:tc>
          <w:tcPr>
            <w:tcW w:w="648" w:type="dxa"/>
            <w:tcBorders>
              <w:top w:val="nil"/>
              <w:left w:val="single" w:sz="8" w:space="0" w:color="auto"/>
              <w:bottom w:val="single" w:sz="8" w:space="0" w:color="000000"/>
              <w:right w:val="single" w:sz="8" w:space="0" w:color="auto"/>
            </w:tcBorders>
            <w:shd w:val="clear" w:color="000000" w:fill="8EA9DB"/>
            <w:vAlign w:val="center"/>
            <w:hideMark/>
          </w:tcPr>
          <w:p w14:paraId="1911E5A3" w14:textId="77777777" w:rsidR="00175AA2" w:rsidRPr="001E5747" w:rsidRDefault="00175AA2" w:rsidP="00A0644E">
            <w:pPr>
              <w:jc w:val="center"/>
              <w:rPr>
                <w:rFonts w:ascii="Calibri" w:hAnsi="Calibri" w:cs="Calibri"/>
                <w:b/>
                <w:bCs/>
                <w:color w:val="000000"/>
                <w:sz w:val="16"/>
                <w:szCs w:val="16"/>
                <w:lang w:val="en-GB"/>
              </w:rPr>
            </w:pPr>
            <w:r w:rsidRPr="001E5747">
              <w:rPr>
                <w:rFonts w:ascii="Calibri" w:hAnsi="Calibri" w:cs="Calibri"/>
                <w:b/>
                <w:bCs/>
                <w:color w:val="000000"/>
                <w:sz w:val="16"/>
                <w:szCs w:val="16"/>
                <w:lang w:val="en-GB"/>
              </w:rPr>
              <w:t>1</w:t>
            </w:r>
          </w:p>
        </w:tc>
        <w:tc>
          <w:tcPr>
            <w:tcW w:w="3089" w:type="dxa"/>
            <w:tcBorders>
              <w:top w:val="nil"/>
              <w:left w:val="nil"/>
              <w:bottom w:val="single" w:sz="4" w:space="0" w:color="000000"/>
              <w:right w:val="single" w:sz="4" w:space="0" w:color="000000"/>
            </w:tcBorders>
            <w:shd w:val="clear" w:color="auto" w:fill="auto"/>
            <w:vAlign w:val="center"/>
            <w:hideMark/>
          </w:tcPr>
          <w:p w14:paraId="5EA35429"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Timely approval of the annual municipal budget proposal</w:t>
            </w:r>
          </w:p>
        </w:tc>
        <w:tc>
          <w:tcPr>
            <w:tcW w:w="2546" w:type="dxa"/>
            <w:tcBorders>
              <w:top w:val="nil"/>
              <w:left w:val="nil"/>
              <w:bottom w:val="single" w:sz="4" w:space="0" w:color="000000"/>
              <w:right w:val="single" w:sz="4" w:space="0" w:color="000000"/>
            </w:tcBorders>
            <w:shd w:val="clear" w:color="auto" w:fill="auto"/>
            <w:vAlign w:val="center"/>
            <w:hideMark/>
          </w:tcPr>
          <w:p w14:paraId="3AE0A0B5"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xml:space="preserve">• 0 points if the result in MPMS is up to 49.99%, </w:t>
            </w:r>
          </w:p>
          <w:p w14:paraId="5682043D"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xml:space="preserve">• 1 point if the result in MPMS is 50% - 99.99%, </w:t>
            </w:r>
          </w:p>
          <w:p w14:paraId="54E972BF"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2 points if the result in MPMS is 100%.</w:t>
            </w:r>
          </w:p>
        </w:tc>
        <w:tc>
          <w:tcPr>
            <w:tcW w:w="658" w:type="dxa"/>
            <w:tcBorders>
              <w:top w:val="nil"/>
              <w:left w:val="single" w:sz="4" w:space="0" w:color="000000"/>
              <w:bottom w:val="single" w:sz="8" w:space="0" w:color="000000"/>
              <w:right w:val="single" w:sz="4" w:space="0" w:color="000000"/>
            </w:tcBorders>
            <w:shd w:val="clear" w:color="auto" w:fill="auto"/>
            <w:vAlign w:val="center"/>
            <w:hideMark/>
          </w:tcPr>
          <w:p w14:paraId="1AE3FA62"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0.00%</w:t>
            </w:r>
          </w:p>
        </w:tc>
        <w:tc>
          <w:tcPr>
            <w:tcW w:w="574" w:type="dxa"/>
            <w:tcBorders>
              <w:top w:val="nil"/>
              <w:left w:val="single" w:sz="4" w:space="0" w:color="000000"/>
              <w:bottom w:val="single" w:sz="8" w:space="0" w:color="000000"/>
              <w:right w:val="single" w:sz="4" w:space="0" w:color="000000"/>
            </w:tcBorders>
            <w:shd w:val="clear" w:color="auto" w:fill="auto"/>
            <w:noWrap/>
            <w:vAlign w:val="center"/>
            <w:hideMark/>
          </w:tcPr>
          <w:p w14:paraId="370931C8"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2</w:t>
            </w:r>
          </w:p>
        </w:tc>
        <w:tc>
          <w:tcPr>
            <w:tcW w:w="1004" w:type="dxa"/>
            <w:tcBorders>
              <w:top w:val="nil"/>
              <w:left w:val="single" w:sz="4" w:space="0" w:color="000000"/>
              <w:bottom w:val="single" w:sz="8" w:space="0" w:color="000000"/>
              <w:right w:val="single" w:sz="4" w:space="0" w:color="000000"/>
            </w:tcBorders>
            <w:shd w:val="clear" w:color="auto" w:fill="auto"/>
            <w:noWrap/>
            <w:vAlign w:val="center"/>
            <w:hideMark/>
          </w:tcPr>
          <w:p w14:paraId="76C797A0"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w:t>
            </w:r>
          </w:p>
        </w:tc>
        <w:tc>
          <w:tcPr>
            <w:tcW w:w="1562" w:type="dxa"/>
            <w:tcBorders>
              <w:top w:val="nil"/>
              <w:left w:val="nil"/>
              <w:bottom w:val="single" w:sz="4" w:space="0" w:color="000000"/>
              <w:right w:val="single" w:sz="4" w:space="0" w:color="000000"/>
            </w:tcBorders>
            <w:shd w:val="clear" w:color="auto" w:fill="auto"/>
            <w:vAlign w:val="center"/>
            <w:hideMark/>
          </w:tcPr>
          <w:p w14:paraId="6210CA63" w14:textId="77777777" w:rsidR="00175AA2" w:rsidRPr="001E5747" w:rsidRDefault="00175AA2" w:rsidP="00A0644E">
            <w:pPr>
              <w:jc w:val="center"/>
              <w:rPr>
                <w:rFonts w:ascii="Calibri" w:hAnsi="Calibri" w:cs="Calibri"/>
                <w:sz w:val="16"/>
                <w:szCs w:val="16"/>
                <w:lang w:val="en-GB"/>
              </w:rPr>
            </w:pPr>
            <w:r w:rsidRPr="001E5747">
              <w:rPr>
                <w:rFonts w:ascii="Calibri" w:hAnsi="Calibri" w:cs="Calibri"/>
                <w:sz w:val="16"/>
                <w:szCs w:val="16"/>
                <w:lang w:val="en-GB"/>
              </w:rPr>
              <w:t>MPMS report,</w:t>
            </w:r>
          </w:p>
          <w:p w14:paraId="39311C25" w14:textId="77777777" w:rsidR="00175AA2" w:rsidRPr="001E5747" w:rsidRDefault="00175AA2" w:rsidP="00A0644E">
            <w:pPr>
              <w:jc w:val="center"/>
              <w:rPr>
                <w:rFonts w:ascii="Calibri" w:hAnsi="Calibri" w:cs="Calibri"/>
                <w:sz w:val="16"/>
                <w:szCs w:val="16"/>
                <w:lang w:val="en-GB"/>
              </w:rPr>
            </w:pPr>
            <w:r w:rsidRPr="001E5747">
              <w:rPr>
                <w:rFonts w:ascii="Calibri" w:hAnsi="Calibri" w:cs="Calibri"/>
                <w:sz w:val="16"/>
                <w:szCs w:val="16"/>
                <w:lang w:val="en-GB"/>
              </w:rPr>
              <w:t>Indicator 3.2.1</w:t>
            </w:r>
          </w:p>
        </w:tc>
        <w:tc>
          <w:tcPr>
            <w:tcW w:w="1085" w:type="dxa"/>
            <w:tcBorders>
              <w:top w:val="nil"/>
              <w:left w:val="nil"/>
              <w:bottom w:val="single" w:sz="4" w:space="0" w:color="000000"/>
              <w:right w:val="single" w:sz="8" w:space="0" w:color="auto"/>
            </w:tcBorders>
            <w:shd w:val="clear" w:color="auto" w:fill="auto"/>
            <w:vAlign w:val="bottom"/>
            <w:hideMark/>
          </w:tcPr>
          <w:p w14:paraId="2C118BAA" w14:textId="77777777" w:rsidR="00175AA2" w:rsidRPr="001E5747" w:rsidRDefault="00175AA2" w:rsidP="00A0644E">
            <w:pPr>
              <w:rPr>
                <w:rFonts w:ascii="Calibri" w:hAnsi="Calibri" w:cs="Calibri"/>
                <w:color w:val="000000"/>
                <w:sz w:val="16"/>
                <w:szCs w:val="16"/>
                <w:lang w:val="en-GB"/>
              </w:rPr>
            </w:pPr>
          </w:p>
        </w:tc>
      </w:tr>
      <w:tr w:rsidR="00175AA2" w:rsidRPr="001E5747" w14:paraId="43B71E50" w14:textId="77777777" w:rsidTr="00A0644E">
        <w:trPr>
          <w:trHeight w:val="900"/>
        </w:trPr>
        <w:tc>
          <w:tcPr>
            <w:tcW w:w="648" w:type="dxa"/>
            <w:tcBorders>
              <w:top w:val="nil"/>
              <w:left w:val="single" w:sz="8" w:space="0" w:color="auto"/>
              <w:bottom w:val="single" w:sz="8" w:space="0" w:color="000000"/>
              <w:right w:val="single" w:sz="8" w:space="0" w:color="auto"/>
            </w:tcBorders>
            <w:shd w:val="clear" w:color="000000" w:fill="8EA9DB"/>
            <w:vAlign w:val="center"/>
            <w:hideMark/>
          </w:tcPr>
          <w:p w14:paraId="65F8C09A" w14:textId="77777777" w:rsidR="00175AA2" w:rsidRPr="001E5747" w:rsidRDefault="00175AA2" w:rsidP="00A0644E">
            <w:pPr>
              <w:jc w:val="center"/>
              <w:rPr>
                <w:rFonts w:ascii="Calibri" w:hAnsi="Calibri" w:cs="Calibri"/>
                <w:b/>
                <w:bCs/>
                <w:color w:val="000000"/>
                <w:sz w:val="16"/>
                <w:szCs w:val="16"/>
                <w:lang w:val="en-GB"/>
              </w:rPr>
            </w:pPr>
            <w:r w:rsidRPr="001E5747">
              <w:rPr>
                <w:rFonts w:ascii="Calibri" w:hAnsi="Calibri" w:cs="Calibri"/>
                <w:b/>
                <w:bCs/>
                <w:color w:val="000000"/>
                <w:sz w:val="16"/>
                <w:szCs w:val="16"/>
                <w:lang w:val="en-GB"/>
              </w:rPr>
              <w:t>2</w:t>
            </w:r>
          </w:p>
        </w:tc>
        <w:tc>
          <w:tcPr>
            <w:tcW w:w="3089" w:type="dxa"/>
            <w:tcBorders>
              <w:top w:val="nil"/>
              <w:left w:val="nil"/>
              <w:bottom w:val="single" w:sz="4" w:space="0" w:color="000000"/>
              <w:right w:val="single" w:sz="4" w:space="0" w:color="000000"/>
            </w:tcBorders>
            <w:shd w:val="clear" w:color="auto" w:fill="auto"/>
            <w:vAlign w:val="center"/>
            <w:hideMark/>
          </w:tcPr>
          <w:p w14:paraId="1301D2CD"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Discussion of quarterly budget reports by the Municipal Assembly</w:t>
            </w:r>
          </w:p>
        </w:tc>
        <w:tc>
          <w:tcPr>
            <w:tcW w:w="2546" w:type="dxa"/>
            <w:tcBorders>
              <w:top w:val="nil"/>
              <w:left w:val="nil"/>
              <w:bottom w:val="single" w:sz="4" w:space="0" w:color="000000"/>
              <w:right w:val="single" w:sz="4" w:space="0" w:color="000000"/>
            </w:tcBorders>
            <w:shd w:val="clear" w:color="auto" w:fill="auto"/>
            <w:vAlign w:val="center"/>
            <w:hideMark/>
          </w:tcPr>
          <w:p w14:paraId="4800C9CE"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xml:space="preserve">• 0 points if the result in MPMS is up to 49.99%, </w:t>
            </w:r>
          </w:p>
          <w:p w14:paraId="614ABAAD"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xml:space="preserve">• 1 point if the result in MPMS is 50% - 74.99%, </w:t>
            </w:r>
          </w:p>
          <w:p w14:paraId="0AE86CB2"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3 points if the result in MPMS is 75% - 100%.</w:t>
            </w:r>
          </w:p>
        </w:tc>
        <w:tc>
          <w:tcPr>
            <w:tcW w:w="658" w:type="dxa"/>
            <w:tcBorders>
              <w:top w:val="nil"/>
              <w:left w:val="single" w:sz="4" w:space="0" w:color="000000"/>
              <w:bottom w:val="single" w:sz="8" w:space="0" w:color="000000"/>
              <w:right w:val="single" w:sz="4" w:space="0" w:color="000000"/>
            </w:tcBorders>
            <w:shd w:val="clear" w:color="auto" w:fill="auto"/>
            <w:vAlign w:val="center"/>
            <w:hideMark/>
          </w:tcPr>
          <w:p w14:paraId="119EA715"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0.00%</w:t>
            </w:r>
          </w:p>
        </w:tc>
        <w:tc>
          <w:tcPr>
            <w:tcW w:w="574" w:type="dxa"/>
            <w:tcBorders>
              <w:top w:val="nil"/>
              <w:left w:val="single" w:sz="4" w:space="0" w:color="000000"/>
              <w:bottom w:val="single" w:sz="8" w:space="0" w:color="000000"/>
              <w:right w:val="single" w:sz="4" w:space="0" w:color="000000"/>
            </w:tcBorders>
            <w:shd w:val="clear" w:color="auto" w:fill="auto"/>
            <w:noWrap/>
            <w:vAlign w:val="center"/>
            <w:hideMark/>
          </w:tcPr>
          <w:p w14:paraId="0E7C8FDF"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3</w:t>
            </w:r>
          </w:p>
        </w:tc>
        <w:tc>
          <w:tcPr>
            <w:tcW w:w="1004" w:type="dxa"/>
            <w:tcBorders>
              <w:top w:val="nil"/>
              <w:left w:val="single" w:sz="4" w:space="0" w:color="000000"/>
              <w:bottom w:val="single" w:sz="8" w:space="0" w:color="000000"/>
              <w:right w:val="single" w:sz="4" w:space="0" w:color="000000"/>
            </w:tcBorders>
            <w:shd w:val="clear" w:color="auto" w:fill="auto"/>
            <w:noWrap/>
            <w:vAlign w:val="center"/>
            <w:hideMark/>
          </w:tcPr>
          <w:p w14:paraId="5BA81D2D"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w:t>
            </w:r>
          </w:p>
        </w:tc>
        <w:tc>
          <w:tcPr>
            <w:tcW w:w="1562" w:type="dxa"/>
            <w:tcBorders>
              <w:top w:val="nil"/>
              <w:left w:val="nil"/>
              <w:bottom w:val="single" w:sz="4" w:space="0" w:color="000000"/>
              <w:right w:val="single" w:sz="4" w:space="0" w:color="000000"/>
            </w:tcBorders>
            <w:shd w:val="clear" w:color="auto" w:fill="auto"/>
            <w:vAlign w:val="center"/>
            <w:hideMark/>
          </w:tcPr>
          <w:p w14:paraId="5B7425E8" w14:textId="77777777" w:rsidR="00175AA2" w:rsidRPr="001E5747" w:rsidRDefault="00175AA2" w:rsidP="00A0644E">
            <w:pPr>
              <w:jc w:val="center"/>
              <w:rPr>
                <w:rFonts w:ascii="Calibri" w:hAnsi="Calibri" w:cs="Calibri"/>
                <w:sz w:val="16"/>
                <w:szCs w:val="16"/>
                <w:lang w:val="en-GB"/>
              </w:rPr>
            </w:pPr>
            <w:r w:rsidRPr="001E5747">
              <w:rPr>
                <w:rFonts w:ascii="Calibri" w:hAnsi="Calibri" w:cs="Calibri"/>
                <w:sz w:val="16"/>
                <w:szCs w:val="16"/>
                <w:lang w:val="en-GB"/>
              </w:rPr>
              <w:t>MPMS report,</w:t>
            </w:r>
          </w:p>
          <w:p w14:paraId="11DF17F7" w14:textId="77777777" w:rsidR="00175AA2" w:rsidRPr="001E5747" w:rsidRDefault="00175AA2" w:rsidP="00A0644E">
            <w:pPr>
              <w:jc w:val="center"/>
              <w:rPr>
                <w:rFonts w:ascii="Calibri" w:hAnsi="Calibri" w:cs="Calibri"/>
                <w:sz w:val="16"/>
                <w:szCs w:val="16"/>
                <w:lang w:val="en-GB"/>
              </w:rPr>
            </w:pPr>
            <w:r w:rsidRPr="001E5747">
              <w:rPr>
                <w:rFonts w:ascii="Calibri" w:hAnsi="Calibri" w:cs="Calibri"/>
                <w:sz w:val="16"/>
                <w:szCs w:val="16"/>
                <w:lang w:val="en-GB"/>
              </w:rPr>
              <w:t>Indicator 3.2.2</w:t>
            </w:r>
            <w:r w:rsidRPr="001E5747">
              <w:rPr>
                <w:rFonts w:ascii="Calibri" w:hAnsi="Calibri" w:cs="Calibri"/>
                <w:sz w:val="16"/>
                <w:szCs w:val="16"/>
                <w:lang w:val="en-GB"/>
              </w:rPr>
              <w:br/>
            </w:r>
          </w:p>
        </w:tc>
        <w:tc>
          <w:tcPr>
            <w:tcW w:w="1085" w:type="dxa"/>
            <w:tcBorders>
              <w:top w:val="nil"/>
              <w:left w:val="nil"/>
              <w:bottom w:val="single" w:sz="4" w:space="0" w:color="000000"/>
              <w:right w:val="single" w:sz="8" w:space="0" w:color="auto"/>
            </w:tcBorders>
            <w:shd w:val="clear" w:color="auto" w:fill="auto"/>
            <w:noWrap/>
            <w:vAlign w:val="bottom"/>
            <w:hideMark/>
          </w:tcPr>
          <w:p w14:paraId="36A71AAD" w14:textId="77777777" w:rsidR="00175AA2" w:rsidRPr="001E5747" w:rsidRDefault="00175AA2" w:rsidP="00A0644E">
            <w:pPr>
              <w:rPr>
                <w:rFonts w:ascii="Calibri" w:hAnsi="Calibri" w:cs="Calibri"/>
                <w:color w:val="000000"/>
                <w:sz w:val="16"/>
                <w:szCs w:val="16"/>
                <w:lang w:val="en-GB"/>
              </w:rPr>
            </w:pPr>
          </w:p>
        </w:tc>
      </w:tr>
      <w:tr w:rsidR="00175AA2" w:rsidRPr="001E5747" w14:paraId="5924CAEC" w14:textId="77777777" w:rsidTr="00EF13F3">
        <w:trPr>
          <w:trHeight w:val="1200"/>
        </w:trPr>
        <w:tc>
          <w:tcPr>
            <w:tcW w:w="648" w:type="dxa"/>
            <w:tcBorders>
              <w:top w:val="nil"/>
              <w:left w:val="single" w:sz="8" w:space="0" w:color="auto"/>
              <w:bottom w:val="single" w:sz="8" w:space="0" w:color="000000"/>
              <w:right w:val="single" w:sz="8" w:space="0" w:color="auto"/>
            </w:tcBorders>
            <w:shd w:val="clear" w:color="auto" w:fill="FFC000"/>
            <w:vAlign w:val="center"/>
            <w:hideMark/>
          </w:tcPr>
          <w:p w14:paraId="6312B721" w14:textId="77777777" w:rsidR="00175AA2" w:rsidRPr="001E5747" w:rsidRDefault="00175AA2" w:rsidP="00A0644E">
            <w:pPr>
              <w:jc w:val="center"/>
              <w:rPr>
                <w:rFonts w:ascii="Calibri" w:hAnsi="Calibri" w:cs="Calibri"/>
                <w:b/>
                <w:bCs/>
                <w:color w:val="000000"/>
                <w:sz w:val="16"/>
                <w:szCs w:val="16"/>
                <w:lang w:val="en-GB"/>
              </w:rPr>
            </w:pPr>
            <w:r w:rsidRPr="001E5747">
              <w:rPr>
                <w:rFonts w:ascii="Calibri" w:hAnsi="Calibri" w:cs="Calibri"/>
                <w:b/>
                <w:bCs/>
                <w:color w:val="000000"/>
                <w:sz w:val="16"/>
                <w:szCs w:val="16"/>
                <w:lang w:val="en-GB"/>
              </w:rPr>
              <w:t>3</w:t>
            </w:r>
          </w:p>
        </w:tc>
        <w:tc>
          <w:tcPr>
            <w:tcW w:w="3089" w:type="dxa"/>
            <w:tcBorders>
              <w:top w:val="nil"/>
              <w:left w:val="nil"/>
              <w:bottom w:val="single" w:sz="4" w:space="0" w:color="000000"/>
              <w:right w:val="single" w:sz="4" w:space="0" w:color="000000"/>
            </w:tcBorders>
            <w:shd w:val="clear" w:color="auto" w:fill="FFC000"/>
            <w:vAlign w:val="center"/>
            <w:hideMark/>
          </w:tcPr>
          <w:p w14:paraId="6008658C"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Discussion on the previous year municipal performance report by the Municipal Assembly</w:t>
            </w:r>
          </w:p>
        </w:tc>
        <w:tc>
          <w:tcPr>
            <w:tcW w:w="2546" w:type="dxa"/>
            <w:tcBorders>
              <w:top w:val="nil"/>
              <w:left w:val="nil"/>
              <w:bottom w:val="single" w:sz="4" w:space="0" w:color="000000"/>
              <w:right w:val="single" w:sz="4" w:space="0" w:color="000000"/>
            </w:tcBorders>
            <w:shd w:val="clear" w:color="auto" w:fill="FFC000"/>
            <w:vAlign w:val="center"/>
            <w:hideMark/>
          </w:tcPr>
          <w:p w14:paraId="3D2C8FAA"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 xml:space="preserve">• 0 points if the </w:t>
            </w:r>
            <w:r w:rsidRPr="001E5747">
              <w:rPr>
                <w:rFonts w:ascii="Calibri" w:hAnsi="Calibri" w:cs="Calibri"/>
                <w:color w:val="000000"/>
                <w:sz w:val="16"/>
                <w:szCs w:val="16"/>
                <w:lang w:val="en-GB"/>
              </w:rPr>
              <w:t xml:space="preserve">result </w:t>
            </w:r>
            <w:r w:rsidRPr="001E5747">
              <w:rPr>
                <w:rFonts w:ascii="Calibri" w:hAnsi="Calibri" w:cs="Calibri"/>
                <w:sz w:val="16"/>
                <w:szCs w:val="16"/>
                <w:lang w:val="en-GB"/>
              </w:rPr>
              <w:t xml:space="preserve">in MPMS is lower than 100%, </w:t>
            </w:r>
          </w:p>
          <w:p w14:paraId="7190447F"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 xml:space="preserve">• 2 points if the </w:t>
            </w:r>
            <w:r w:rsidRPr="001E5747">
              <w:rPr>
                <w:rFonts w:ascii="Calibri" w:hAnsi="Calibri" w:cs="Calibri"/>
                <w:color w:val="000000"/>
                <w:sz w:val="16"/>
                <w:szCs w:val="16"/>
                <w:lang w:val="en-GB"/>
              </w:rPr>
              <w:t>result</w:t>
            </w:r>
            <w:r w:rsidRPr="001E5747">
              <w:rPr>
                <w:rFonts w:ascii="Calibri" w:hAnsi="Calibri" w:cs="Calibri"/>
                <w:sz w:val="16"/>
                <w:szCs w:val="16"/>
                <w:lang w:val="en-GB"/>
              </w:rPr>
              <w:t xml:space="preserve"> in MPMS is 100%.</w:t>
            </w:r>
          </w:p>
        </w:tc>
        <w:tc>
          <w:tcPr>
            <w:tcW w:w="658" w:type="dxa"/>
            <w:tcBorders>
              <w:top w:val="nil"/>
              <w:left w:val="single" w:sz="4" w:space="0" w:color="000000"/>
              <w:bottom w:val="single" w:sz="8" w:space="0" w:color="000000"/>
              <w:right w:val="single" w:sz="4" w:space="0" w:color="000000"/>
            </w:tcBorders>
            <w:shd w:val="clear" w:color="auto" w:fill="FFC000"/>
            <w:noWrap/>
            <w:vAlign w:val="center"/>
            <w:hideMark/>
          </w:tcPr>
          <w:p w14:paraId="46A0B0E0"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0.00%</w:t>
            </w:r>
          </w:p>
        </w:tc>
        <w:tc>
          <w:tcPr>
            <w:tcW w:w="574" w:type="dxa"/>
            <w:tcBorders>
              <w:top w:val="nil"/>
              <w:left w:val="single" w:sz="4" w:space="0" w:color="000000"/>
              <w:bottom w:val="single" w:sz="8" w:space="0" w:color="000000"/>
              <w:right w:val="single" w:sz="4" w:space="0" w:color="000000"/>
            </w:tcBorders>
            <w:shd w:val="clear" w:color="auto" w:fill="FFC000"/>
            <w:noWrap/>
            <w:vAlign w:val="center"/>
            <w:hideMark/>
          </w:tcPr>
          <w:p w14:paraId="1DAE5B37"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2</w:t>
            </w:r>
          </w:p>
        </w:tc>
        <w:tc>
          <w:tcPr>
            <w:tcW w:w="1004" w:type="dxa"/>
            <w:tcBorders>
              <w:top w:val="nil"/>
              <w:left w:val="single" w:sz="4" w:space="0" w:color="000000"/>
              <w:bottom w:val="single" w:sz="8" w:space="0" w:color="000000"/>
              <w:right w:val="single" w:sz="4" w:space="0" w:color="000000"/>
            </w:tcBorders>
            <w:shd w:val="clear" w:color="auto" w:fill="FFC000"/>
            <w:noWrap/>
            <w:vAlign w:val="center"/>
            <w:hideMark/>
          </w:tcPr>
          <w:p w14:paraId="44EE1EA7"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w:t>
            </w:r>
          </w:p>
        </w:tc>
        <w:tc>
          <w:tcPr>
            <w:tcW w:w="1562" w:type="dxa"/>
            <w:tcBorders>
              <w:top w:val="nil"/>
              <w:left w:val="nil"/>
              <w:bottom w:val="single" w:sz="4" w:space="0" w:color="000000"/>
              <w:right w:val="single" w:sz="4" w:space="0" w:color="000000"/>
            </w:tcBorders>
            <w:shd w:val="clear" w:color="auto" w:fill="FFC000"/>
            <w:vAlign w:val="center"/>
            <w:hideMark/>
          </w:tcPr>
          <w:p w14:paraId="7E1AC60E"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MPMS report,</w:t>
            </w:r>
          </w:p>
          <w:p w14:paraId="642CFBAC"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sz w:val="16"/>
                <w:szCs w:val="16"/>
                <w:lang w:val="en-GB"/>
              </w:rPr>
              <w:t>Indicator 3.2.3</w:t>
            </w:r>
            <w:r w:rsidRPr="001E5747">
              <w:rPr>
                <w:rFonts w:ascii="Calibri" w:hAnsi="Calibri" w:cs="Calibri"/>
                <w:color w:val="000000"/>
                <w:sz w:val="16"/>
                <w:szCs w:val="16"/>
                <w:lang w:val="en-GB"/>
              </w:rPr>
              <w:br/>
            </w:r>
          </w:p>
        </w:tc>
        <w:tc>
          <w:tcPr>
            <w:tcW w:w="1085" w:type="dxa"/>
            <w:tcBorders>
              <w:top w:val="nil"/>
              <w:left w:val="nil"/>
              <w:bottom w:val="single" w:sz="4" w:space="0" w:color="000000"/>
              <w:right w:val="single" w:sz="8" w:space="0" w:color="auto"/>
            </w:tcBorders>
            <w:shd w:val="clear" w:color="auto" w:fill="FFC000"/>
            <w:hideMark/>
          </w:tcPr>
          <w:p w14:paraId="2CBFE79A" w14:textId="537F3D6C" w:rsidR="00175AA2" w:rsidRPr="001E5747" w:rsidRDefault="00310D3C" w:rsidP="00A0644E">
            <w:pPr>
              <w:rPr>
                <w:rFonts w:ascii="Calibri" w:hAnsi="Calibri" w:cs="Calibri"/>
                <w:color w:val="000000"/>
                <w:sz w:val="16"/>
                <w:szCs w:val="16"/>
                <w:lang w:val="en-GB"/>
              </w:rPr>
            </w:pPr>
            <w:r w:rsidRPr="00AF23F5">
              <w:rPr>
                <w:rFonts w:ascii="Calibri" w:hAnsi="Calibri" w:cs="Calibri"/>
                <w:color w:val="000000"/>
                <w:sz w:val="16"/>
                <w:szCs w:val="16"/>
                <w:lang w:val="en-GB"/>
              </w:rPr>
              <w:t xml:space="preserve">This indicator </w:t>
            </w:r>
            <w:r>
              <w:rPr>
                <w:rFonts w:ascii="Calibri" w:hAnsi="Calibri" w:cs="Calibri"/>
                <w:color w:val="000000"/>
                <w:sz w:val="16"/>
                <w:szCs w:val="16"/>
                <w:lang w:val="en-GB"/>
              </w:rPr>
              <w:t>has not been</w:t>
            </w:r>
            <w:r w:rsidRPr="00AF23F5">
              <w:rPr>
                <w:rFonts w:ascii="Calibri" w:hAnsi="Calibri" w:cs="Calibri"/>
                <w:color w:val="000000"/>
                <w:sz w:val="16"/>
                <w:szCs w:val="16"/>
                <w:lang w:val="en-GB"/>
              </w:rPr>
              <w:t xml:space="preserve"> </w:t>
            </w:r>
            <w:r>
              <w:rPr>
                <w:rFonts w:ascii="Calibri" w:hAnsi="Calibri" w:cs="Calibri"/>
                <w:color w:val="000000"/>
                <w:sz w:val="16"/>
                <w:szCs w:val="16"/>
                <w:lang w:val="en-GB"/>
              </w:rPr>
              <w:t>scored</w:t>
            </w:r>
            <w:r w:rsidRPr="00AF23F5">
              <w:rPr>
                <w:rFonts w:ascii="Calibri" w:hAnsi="Calibri" w:cs="Calibri"/>
                <w:color w:val="000000"/>
                <w:sz w:val="16"/>
                <w:szCs w:val="16"/>
                <w:lang w:val="en-GB"/>
              </w:rPr>
              <w:t>. For more details, you can refer to the Rules of the Municipal Performance Grant for the Fiscal Year 202</w:t>
            </w:r>
            <w:r>
              <w:rPr>
                <w:rFonts w:ascii="Calibri" w:hAnsi="Calibri" w:cs="Calibri"/>
                <w:color w:val="000000"/>
                <w:sz w:val="16"/>
                <w:szCs w:val="16"/>
                <w:lang w:val="en-GB"/>
              </w:rPr>
              <w:t>3</w:t>
            </w:r>
          </w:p>
        </w:tc>
      </w:tr>
      <w:tr w:rsidR="00175AA2" w:rsidRPr="001E5747" w14:paraId="468879D0" w14:textId="77777777" w:rsidTr="00A0644E">
        <w:trPr>
          <w:trHeight w:val="1800"/>
        </w:trPr>
        <w:tc>
          <w:tcPr>
            <w:tcW w:w="648" w:type="dxa"/>
            <w:tcBorders>
              <w:top w:val="nil"/>
              <w:left w:val="single" w:sz="8" w:space="0" w:color="auto"/>
              <w:bottom w:val="single" w:sz="8" w:space="0" w:color="000000"/>
              <w:right w:val="single" w:sz="8" w:space="0" w:color="auto"/>
            </w:tcBorders>
            <w:shd w:val="clear" w:color="000000" w:fill="8EA9DB"/>
            <w:vAlign w:val="center"/>
            <w:hideMark/>
          </w:tcPr>
          <w:p w14:paraId="7389A09D" w14:textId="77777777" w:rsidR="00175AA2" w:rsidRPr="001E5747" w:rsidRDefault="00175AA2" w:rsidP="00A0644E">
            <w:pPr>
              <w:jc w:val="center"/>
              <w:rPr>
                <w:rFonts w:ascii="Calibri" w:hAnsi="Calibri" w:cs="Calibri"/>
                <w:b/>
                <w:bCs/>
                <w:color w:val="000000"/>
                <w:sz w:val="16"/>
                <w:szCs w:val="16"/>
                <w:lang w:val="en-GB"/>
              </w:rPr>
            </w:pPr>
            <w:r w:rsidRPr="001E5747">
              <w:rPr>
                <w:rFonts w:ascii="Calibri" w:hAnsi="Calibri" w:cs="Calibri"/>
                <w:b/>
                <w:bCs/>
                <w:color w:val="000000"/>
                <w:sz w:val="16"/>
                <w:szCs w:val="16"/>
                <w:lang w:val="en-GB"/>
              </w:rPr>
              <w:t>4</w:t>
            </w:r>
          </w:p>
        </w:tc>
        <w:tc>
          <w:tcPr>
            <w:tcW w:w="3089" w:type="dxa"/>
            <w:tcBorders>
              <w:top w:val="nil"/>
              <w:left w:val="nil"/>
              <w:bottom w:val="single" w:sz="4" w:space="0" w:color="000000"/>
              <w:right w:val="single" w:sz="4" w:space="0" w:color="000000"/>
            </w:tcBorders>
            <w:shd w:val="clear" w:color="auto" w:fill="auto"/>
            <w:vAlign w:val="center"/>
            <w:hideMark/>
          </w:tcPr>
          <w:p w14:paraId="01E3A1EC"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xml:space="preserve">Discussion of the external auditor's report and action plan for addressing the recommendations and discussion of the findings and recommendations of the internal audit in the Municipal Assembly </w:t>
            </w:r>
          </w:p>
        </w:tc>
        <w:tc>
          <w:tcPr>
            <w:tcW w:w="2546" w:type="dxa"/>
            <w:tcBorders>
              <w:top w:val="nil"/>
              <w:left w:val="nil"/>
              <w:bottom w:val="single" w:sz="4" w:space="0" w:color="000000"/>
              <w:right w:val="single" w:sz="4" w:space="0" w:color="000000"/>
            </w:tcBorders>
            <w:shd w:val="clear" w:color="auto" w:fill="auto"/>
            <w:vAlign w:val="center"/>
            <w:hideMark/>
          </w:tcPr>
          <w:p w14:paraId="14C78A04" w14:textId="77777777" w:rsidR="00175AA2" w:rsidRPr="001E5747" w:rsidRDefault="00175AA2" w:rsidP="00A0644E">
            <w:pPr>
              <w:jc w:val="both"/>
              <w:rPr>
                <w:rFonts w:ascii="Calibri" w:hAnsi="Calibri" w:cs="Calibri"/>
                <w:color w:val="000000"/>
                <w:sz w:val="16"/>
                <w:szCs w:val="16"/>
                <w:lang w:val="en-GB"/>
              </w:rPr>
            </w:pPr>
            <w:r w:rsidRPr="001E5747">
              <w:rPr>
                <w:rFonts w:ascii="Calibri" w:hAnsi="Calibri" w:cs="Calibri"/>
                <w:color w:val="000000"/>
                <w:sz w:val="16"/>
                <w:szCs w:val="16"/>
                <w:lang w:val="en-GB"/>
              </w:rPr>
              <w:t xml:space="preserve">• 0 points if the average of two indicators in MPMS is less than 49.99%, </w:t>
            </w:r>
          </w:p>
          <w:p w14:paraId="46068689" w14:textId="77777777" w:rsidR="00175AA2" w:rsidRPr="001E5747" w:rsidRDefault="00175AA2" w:rsidP="00A0644E">
            <w:pPr>
              <w:jc w:val="both"/>
              <w:rPr>
                <w:rFonts w:ascii="Calibri" w:hAnsi="Calibri" w:cs="Calibri"/>
                <w:color w:val="000000"/>
                <w:sz w:val="16"/>
                <w:szCs w:val="16"/>
                <w:lang w:val="en-GB"/>
              </w:rPr>
            </w:pPr>
            <w:r w:rsidRPr="001E5747">
              <w:rPr>
                <w:rFonts w:ascii="Calibri" w:hAnsi="Calibri" w:cs="Calibri"/>
                <w:color w:val="000000"/>
                <w:sz w:val="16"/>
                <w:szCs w:val="16"/>
                <w:lang w:val="en-GB"/>
              </w:rPr>
              <w:t xml:space="preserve">• 2 points if the average of two indicators in MPMS is 50% - 99.99%, </w:t>
            </w:r>
          </w:p>
          <w:p w14:paraId="03640067" w14:textId="77777777" w:rsidR="00175AA2" w:rsidRPr="001E5747" w:rsidRDefault="00175AA2" w:rsidP="00A0644E">
            <w:pPr>
              <w:jc w:val="both"/>
              <w:rPr>
                <w:rFonts w:ascii="Calibri" w:hAnsi="Calibri" w:cs="Calibri"/>
                <w:color w:val="000000"/>
                <w:sz w:val="16"/>
                <w:szCs w:val="16"/>
                <w:lang w:val="en-GB"/>
              </w:rPr>
            </w:pPr>
            <w:r w:rsidRPr="001E5747">
              <w:rPr>
                <w:rFonts w:ascii="Calibri" w:hAnsi="Calibri" w:cs="Calibri"/>
                <w:color w:val="000000"/>
                <w:sz w:val="16"/>
                <w:szCs w:val="16"/>
                <w:lang w:val="en-GB"/>
              </w:rPr>
              <w:t>• 4 points if the average of two indicators in MPMS is 100%.</w:t>
            </w:r>
          </w:p>
        </w:tc>
        <w:tc>
          <w:tcPr>
            <w:tcW w:w="658" w:type="dxa"/>
            <w:tcBorders>
              <w:top w:val="nil"/>
              <w:left w:val="single" w:sz="4" w:space="0" w:color="000000"/>
              <w:bottom w:val="single" w:sz="8" w:space="0" w:color="000000"/>
              <w:right w:val="single" w:sz="4" w:space="0" w:color="000000"/>
            </w:tcBorders>
            <w:shd w:val="clear" w:color="auto" w:fill="auto"/>
            <w:vAlign w:val="center"/>
            <w:hideMark/>
          </w:tcPr>
          <w:p w14:paraId="2E701F99"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0.00%</w:t>
            </w:r>
          </w:p>
        </w:tc>
        <w:tc>
          <w:tcPr>
            <w:tcW w:w="574" w:type="dxa"/>
            <w:tcBorders>
              <w:top w:val="nil"/>
              <w:left w:val="single" w:sz="4" w:space="0" w:color="000000"/>
              <w:bottom w:val="single" w:sz="8" w:space="0" w:color="000000"/>
              <w:right w:val="single" w:sz="4" w:space="0" w:color="000000"/>
            </w:tcBorders>
            <w:shd w:val="clear" w:color="auto" w:fill="auto"/>
            <w:noWrap/>
            <w:vAlign w:val="center"/>
            <w:hideMark/>
          </w:tcPr>
          <w:p w14:paraId="1E79028E"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4</w:t>
            </w:r>
          </w:p>
        </w:tc>
        <w:tc>
          <w:tcPr>
            <w:tcW w:w="1004" w:type="dxa"/>
            <w:tcBorders>
              <w:top w:val="nil"/>
              <w:left w:val="single" w:sz="4" w:space="0" w:color="000000"/>
              <w:bottom w:val="single" w:sz="8" w:space="0" w:color="000000"/>
              <w:right w:val="single" w:sz="4" w:space="0" w:color="000000"/>
            </w:tcBorders>
            <w:shd w:val="clear" w:color="auto" w:fill="auto"/>
            <w:vAlign w:val="center"/>
            <w:hideMark/>
          </w:tcPr>
          <w:p w14:paraId="2363D07D"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w:t>
            </w:r>
          </w:p>
        </w:tc>
        <w:tc>
          <w:tcPr>
            <w:tcW w:w="1562" w:type="dxa"/>
            <w:tcBorders>
              <w:top w:val="nil"/>
              <w:left w:val="nil"/>
              <w:bottom w:val="single" w:sz="4" w:space="0" w:color="000000"/>
              <w:right w:val="single" w:sz="4" w:space="0" w:color="000000"/>
            </w:tcBorders>
            <w:shd w:val="clear" w:color="auto" w:fill="auto"/>
            <w:vAlign w:val="center"/>
            <w:hideMark/>
          </w:tcPr>
          <w:p w14:paraId="47420927"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MPMS report,</w:t>
            </w:r>
          </w:p>
          <w:p w14:paraId="4B65EA6B" w14:textId="77777777" w:rsidR="00175AA2" w:rsidRPr="001E5747" w:rsidRDefault="00175AA2" w:rsidP="00A0644E">
            <w:pPr>
              <w:jc w:val="center"/>
              <w:rPr>
                <w:rFonts w:ascii="Calibri" w:hAnsi="Calibri" w:cs="Calibri"/>
                <w:sz w:val="16"/>
                <w:szCs w:val="16"/>
                <w:lang w:val="en-GB"/>
              </w:rPr>
            </w:pPr>
            <w:r w:rsidRPr="001E5747">
              <w:rPr>
                <w:rFonts w:ascii="Calibri" w:hAnsi="Calibri" w:cs="Calibri"/>
                <w:color w:val="000000"/>
                <w:sz w:val="16"/>
                <w:szCs w:val="16"/>
                <w:lang w:val="en-GB"/>
              </w:rPr>
              <w:t>Indicators 3.2.4 and 3.2.5</w:t>
            </w:r>
          </w:p>
        </w:tc>
        <w:tc>
          <w:tcPr>
            <w:tcW w:w="1085" w:type="dxa"/>
            <w:tcBorders>
              <w:top w:val="nil"/>
              <w:left w:val="nil"/>
              <w:bottom w:val="single" w:sz="4" w:space="0" w:color="000000"/>
              <w:right w:val="single" w:sz="8" w:space="0" w:color="auto"/>
            </w:tcBorders>
            <w:shd w:val="clear" w:color="auto" w:fill="auto"/>
            <w:hideMark/>
          </w:tcPr>
          <w:p w14:paraId="1FDEEF21" w14:textId="77777777" w:rsidR="00175AA2" w:rsidRPr="001E5747" w:rsidRDefault="00175AA2" w:rsidP="00A0644E">
            <w:pPr>
              <w:rPr>
                <w:rFonts w:ascii="Calibri" w:hAnsi="Calibri" w:cs="Calibri"/>
                <w:color w:val="000000"/>
                <w:sz w:val="16"/>
                <w:szCs w:val="16"/>
                <w:lang w:val="en-GB"/>
              </w:rPr>
            </w:pPr>
          </w:p>
        </w:tc>
      </w:tr>
      <w:tr w:rsidR="00175AA2" w:rsidRPr="001E5747" w14:paraId="6DFF2B13" w14:textId="77777777" w:rsidTr="00A0644E">
        <w:trPr>
          <w:trHeight w:val="1200"/>
        </w:trPr>
        <w:tc>
          <w:tcPr>
            <w:tcW w:w="648" w:type="dxa"/>
            <w:tcBorders>
              <w:top w:val="nil"/>
              <w:left w:val="single" w:sz="8" w:space="0" w:color="auto"/>
              <w:bottom w:val="single" w:sz="8" w:space="0" w:color="000000"/>
              <w:right w:val="single" w:sz="8" w:space="0" w:color="auto"/>
            </w:tcBorders>
            <w:shd w:val="clear" w:color="000000" w:fill="8EA9DB"/>
            <w:noWrap/>
            <w:vAlign w:val="center"/>
            <w:hideMark/>
          </w:tcPr>
          <w:p w14:paraId="7CB5FC92" w14:textId="77777777" w:rsidR="00175AA2" w:rsidRPr="001E5747" w:rsidRDefault="00175AA2" w:rsidP="00A0644E">
            <w:pPr>
              <w:jc w:val="center"/>
              <w:rPr>
                <w:rFonts w:ascii="Calibri" w:hAnsi="Calibri" w:cs="Calibri"/>
                <w:b/>
                <w:bCs/>
                <w:color w:val="000000"/>
                <w:sz w:val="16"/>
                <w:szCs w:val="16"/>
                <w:lang w:val="en-GB"/>
              </w:rPr>
            </w:pPr>
            <w:r w:rsidRPr="001E5747">
              <w:rPr>
                <w:rFonts w:ascii="Calibri" w:hAnsi="Calibri" w:cs="Calibri"/>
                <w:b/>
                <w:bCs/>
                <w:color w:val="000000"/>
                <w:sz w:val="16"/>
                <w:szCs w:val="16"/>
                <w:lang w:val="en-GB"/>
              </w:rPr>
              <w:t>5</w:t>
            </w:r>
          </w:p>
        </w:tc>
        <w:tc>
          <w:tcPr>
            <w:tcW w:w="3089" w:type="dxa"/>
            <w:tcBorders>
              <w:top w:val="nil"/>
              <w:left w:val="nil"/>
              <w:bottom w:val="single" w:sz="4" w:space="0" w:color="000000"/>
              <w:right w:val="single" w:sz="4" w:space="0" w:color="000000"/>
            </w:tcBorders>
            <w:shd w:val="clear" w:color="auto" w:fill="auto"/>
            <w:vAlign w:val="center"/>
            <w:hideMark/>
          </w:tcPr>
          <w:p w14:paraId="6CA76F56"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Meetings of the Municipal Assembly with the participation of the mayor</w:t>
            </w:r>
          </w:p>
        </w:tc>
        <w:tc>
          <w:tcPr>
            <w:tcW w:w="2546" w:type="dxa"/>
            <w:tcBorders>
              <w:top w:val="nil"/>
              <w:left w:val="nil"/>
              <w:bottom w:val="single" w:sz="4" w:space="0" w:color="000000"/>
              <w:right w:val="single" w:sz="4" w:space="0" w:color="000000"/>
            </w:tcBorders>
            <w:shd w:val="clear" w:color="auto" w:fill="auto"/>
            <w:vAlign w:val="center"/>
            <w:hideMark/>
          </w:tcPr>
          <w:p w14:paraId="6E6731A6" w14:textId="77777777" w:rsidR="00175AA2" w:rsidRPr="001E5747" w:rsidRDefault="00175AA2" w:rsidP="00A0644E">
            <w:pPr>
              <w:jc w:val="both"/>
              <w:rPr>
                <w:rFonts w:ascii="Calibri" w:hAnsi="Calibri" w:cs="Calibri"/>
                <w:color w:val="000000"/>
                <w:sz w:val="16"/>
                <w:szCs w:val="16"/>
                <w:lang w:val="en-GB"/>
              </w:rPr>
            </w:pPr>
            <w:r w:rsidRPr="001E5747">
              <w:rPr>
                <w:rFonts w:ascii="Calibri" w:hAnsi="Calibri" w:cs="Calibri"/>
                <w:color w:val="000000"/>
                <w:sz w:val="16"/>
                <w:szCs w:val="16"/>
                <w:lang w:val="en-GB"/>
              </w:rPr>
              <w:t xml:space="preserve">• 0 points if the result in MPMS is 49.99%, </w:t>
            </w:r>
          </w:p>
          <w:p w14:paraId="07E88D71" w14:textId="77777777" w:rsidR="00175AA2" w:rsidRPr="001E5747" w:rsidRDefault="00175AA2" w:rsidP="00A0644E">
            <w:pPr>
              <w:jc w:val="both"/>
              <w:rPr>
                <w:rFonts w:ascii="Calibri" w:hAnsi="Calibri" w:cs="Calibri"/>
                <w:color w:val="000000"/>
                <w:sz w:val="16"/>
                <w:szCs w:val="16"/>
                <w:lang w:val="en-GB"/>
              </w:rPr>
            </w:pPr>
            <w:r w:rsidRPr="001E5747">
              <w:rPr>
                <w:rFonts w:ascii="Calibri" w:hAnsi="Calibri" w:cs="Calibri"/>
                <w:color w:val="000000"/>
                <w:sz w:val="16"/>
                <w:szCs w:val="16"/>
                <w:lang w:val="en-GB"/>
              </w:rPr>
              <w:t xml:space="preserve">• 1 point if the result in MPMS is 50% - 89.99%, </w:t>
            </w:r>
          </w:p>
          <w:p w14:paraId="7F86DD52" w14:textId="77777777" w:rsidR="00175AA2" w:rsidRPr="001E5747" w:rsidRDefault="00175AA2" w:rsidP="00A0644E">
            <w:pPr>
              <w:jc w:val="both"/>
              <w:rPr>
                <w:rFonts w:ascii="Calibri" w:hAnsi="Calibri" w:cs="Calibri"/>
                <w:color w:val="000000"/>
                <w:sz w:val="16"/>
                <w:szCs w:val="16"/>
                <w:lang w:val="en-GB"/>
              </w:rPr>
            </w:pPr>
            <w:r w:rsidRPr="001E5747">
              <w:rPr>
                <w:rFonts w:ascii="Calibri" w:hAnsi="Calibri" w:cs="Calibri"/>
                <w:color w:val="000000"/>
                <w:sz w:val="16"/>
                <w:szCs w:val="16"/>
                <w:lang w:val="en-GB"/>
              </w:rPr>
              <w:t>• 2 points if the result in MPMS is equal to or higher than 90%.</w:t>
            </w:r>
          </w:p>
        </w:tc>
        <w:tc>
          <w:tcPr>
            <w:tcW w:w="658" w:type="dxa"/>
            <w:tcBorders>
              <w:top w:val="nil"/>
              <w:left w:val="single" w:sz="4" w:space="0" w:color="000000"/>
              <w:bottom w:val="single" w:sz="8" w:space="0" w:color="000000"/>
              <w:right w:val="single" w:sz="4" w:space="0" w:color="000000"/>
            </w:tcBorders>
            <w:shd w:val="clear" w:color="auto" w:fill="auto"/>
            <w:vAlign w:val="center"/>
            <w:hideMark/>
          </w:tcPr>
          <w:p w14:paraId="73E5989C"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0.00%</w:t>
            </w:r>
          </w:p>
        </w:tc>
        <w:tc>
          <w:tcPr>
            <w:tcW w:w="574" w:type="dxa"/>
            <w:tcBorders>
              <w:top w:val="nil"/>
              <w:left w:val="single" w:sz="4" w:space="0" w:color="000000"/>
              <w:bottom w:val="single" w:sz="8" w:space="0" w:color="000000"/>
              <w:right w:val="single" w:sz="4" w:space="0" w:color="000000"/>
            </w:tcBorders>
            <w:shd w:val="clear" w:color="auto" w:fill="auto"/>
            <w:noWrap/>
            <w:vAlign w:val="center"/>
            <w:hideMark/>
          </w:tcPr>
          <w:p w14:paraId="4A1C8265"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2</w:t>
            </w:r>
          </w:p>
        </w:tc>
        <w:tc>
          <w:tcPr>
            <w:tcW w:w="1004" w:type="dxa"/>
            <w:tcBorders>
              <w:top w:val="nil"/>
              <w:left w:val="single" w:sz="4" w:space="0" w:color="000000"/>
              <w:bottom w:val="single" w:sz="8" w:space="0" w:color="000000"/>
              <w:right w:val="single" w:sz="4" w:space="0" w:color="000000"/>
            </w:tcBorders>
            <w:shd w:val="clear" w:color="auto" w:fill="auto"/>
            <w:noWrap/>
            <w:vAlign w:val="center"/>
            <w:hideMark/>
          </w:tcPr>
          <w:p w14:paraId="42C341EB"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w:t>
            </w:r>
          </w:p>
        </w:tc>
        <w:tc>
          <w:tcPr>
            <w:tcW w:w="1562" w:type="dxa"/>
            <w:tcBorders>
              <w:top w:val="nil"/>
              <w:left w:val="nil"/>
              <w:bottom w:val="single" w:sz="4" w:space="0" w:color="000000"/>
              <w:right w:val="single" w:sz="4" w:space="0" w:color="000000"/>
            </w:tcBorders>
            <w:shd w:val="clear" w:color="auto" w:fill="auto"/>
            <w:vAlign w:val="center"/>
            <w:hideMark/>
          </w:tcPr>
          <w:p w14:paraId="57C4BD6B" w14:textId="77777777" w:rsidR="00175AA2" w:rsidRPr="001E5747" w:rsidRDefault="00175AA2" w:rsidP="00A0644E">
            <w:pPr>
              <w:jc w:val="center"/>
              <w:rPr>
                <w:rFonts w:ascii="Calibri" w:hAnsi="Calibri" w:cs="Calibri"/>
                <w:sz w:val="16"/>
                <w:szCs w:val="16"/>
                <w:lang w:val="en-GB"/>
              </w:rPr>
            </w:pPr>
            <w:r w:rsidRPr="001E5747">
              <w:rPr>
                <w:rFonts w:ascii="Calibri" w:hAnsi="Calibri" w:cs="Calibri"/>
                <w:sz w:val="16"/>
                <w:szCs w:val="16"/>
                <w:lang w:val="en-GB"/>
              </w:rPr>
              <w:t>MPMS report,</w:t>
            </w:r>
            <w:r w:rsidRPr="001E5747">
              <w:rPr>
                <w:rFonts w:ascii="Calibri" w:hAnsi="Calibri" w:cs="Calibri"/>
                <w:sz w:val="16"/>
                <w:szCs w:val="16"/>
                <w:lang w:val="en-GB"/>
              </w:rPr>
              <w:br/>
            </w:r>
            <w:r w:rsidRPr="001E5747">
              <w:rPr>
                <w:rFonts w:ascii="Calibri" w:hAnsi="Calibri" w:cs="Calibri"/>
                <w:color w:val="000000"/>
                <w:sz w:val="16"/>
                <w:szCs w:val="16"/>
                <w:lang w:val="en-GB"/>
              </w:rPr>
              <w:t xml:space="preserve"> Indicator 3.2.6</w:t>
            </w:r>
          </w:p>
        </w:tc>
        <w:tc>
          <w:tcPr>
            <w:tcW w:w="1085" w:type="dxa"/>
            <w:tcBorders>
              <w:top w:val="nil"/>
              <w:left w:val="nil"/>
              <w:bottom w:val="single" w:sz="4" w:space="0" w:color="000000"/>
              <w:right w:val="single" w:sz="8" w:space="0" w:color="auto"/>
            </w:tcBorders>
            <w:shd w:val="clear" w:color="auto" w:fill="auto"/>
            <w:noWrap/>
            <w:vAlign w:val="bottom"/>
            <w:hideMark/>
          </w:tcPr>
          <w:p w14:paraId="31A3A509" w14:textId="77777777" w:rsidR="00175AA2" w:rsidRPr="001E5747" w:rsidRDefault="00175AA2" w:rsidP="00A0644E">
            <w:pPr>
              <w:rPr>
                <w:rFonts w:ascii="Calibri" w:hAnsi="Calibri" w:cs="Calibri"/>
                <w:color w:val="000000"/>
                <w:sz w:val="16"/>
                <w:szCs w:val="16"/>
                <w:lang w:val="en-GB"/>
              </w:rPr>
            </w:pPr>
          </w:p>
        </w:tc>
      </w:tr>
      <w:tr w:rsidR="00175AA2" w:rsidRPr="001E5747" w14:paraId="39BBB3D4" w14:textId="77777777" w:rsidTr="00A0644E">
        <w:trPr>
          <w:trHeight w:val="565"/>
        </w:trPr>
        <w:tc>
          <w:tcPr>
            <w:tcW w:w="648" w:type="dxa"/>
            <w:tcBorders>
              <w:top w:val="nil"/>
              <w:left w:val="single" w:sz="8" w:space="0" w:color="auto"/>
              <w:bottom w:val="nil"/>
              <w:right w:val="single" w:sz="8" w:space="0" w:color="auto"/>
            </w:tcBorders>
            <w:shd w:val="clear" w:color="000000" w:fill="8EA9DB"/>
            <w:noWrap/>
            <w:vAlign w:val="center"/>
            <w:hideMark/>
          </w:tcPr>
          <w:p w14:paraId="71246BD0" w14:textId="77777777"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II</w:t>
            </w:r>
          </w:p>
        </w:tc>
        <w:tc>
          <w:tcPr>
            <w:tcW w:w="6293" w:type="dxa"/>
            <w:gridSpan w:val="3"/>
            <w:tcBorders>
              <w:top w:val="single" w:sz="8" w:space="0" w:color="auto"/>
              <w:left w:val="nil"/>
              <w:bottom w:val="single" w:sz="8" w:space="0" w:color="auto"/>
              <w:right w:val="single" w:sz="4" w:space="0" w:color="000000"/>
            </w:tcBorders>
            <w:shd w:val="clear" w:color="000000" w:fill="8EA9DB"/>
            <w:vAlign w:val="center"/>
            <w:hideMark/>
          </w:tcPr>
          <w:p w14:paraId="1D490AC4" w14:textId="77777777" w:rsidR="00175AA2" w:rsidRPr="001E5747" w:rsidRDefault="00175AA2" w:rsidP="00A0644E">
            <w:pPr>
              <w:rPr>
                <w:rFonts w:ascii="Calibri" w:hAnsi="Calibri" w:cs="Calibri"/>
                <w:b/>
                <w:bCs/>
                <w:color w:val="FFFFFF"/>
                <w:sz w:val="16"/>
                <w:szCs w:val="16"/>
                <w:lang w:val="en-GB"/>
              </w:rPr>
            </w:pPr>
            <w:r w:rsidRPr="001E5747">
              <w:rPr>
                <w:rFonts w:ascii="Calibri" w:hAnsi="Calibri" w:cs="Calibri"/>
                <w:b/>
                <w:bCs/>
                <w:color w:val="FFFFFF"/>
                <w:sz w:val="16"/>
                <w:szCs w:val="16"/>
                <w:lang w:val="en-GB"/>
              </w:rPr>
              <w:t>Participation, consultation and inclusion of  citizens</w:t>
            </w:r>
          </w:p>
        </w:tc>
        <w:tc>
          <w:tcPr>
            <w:tcW w:w="574" w:type="dxa"/>
            <w:tcBorders>
              <w:top w:val="nil"/>
              <w:left w:val="nil"/>
              <w:bottom w:val="single" w:sz="8" w:space="0" w:color="auto"/>
              <w:right w:val="single" w:sz="4" w:space="0" w:color="auto"/>
            </w:tcBorders>
            <w:shd w:val="clear" w:color="000000" w:fill="8EA9DB"/>
            <w:vAlign w:val="center"/>
            <w:hideMark/>
          </w:tcPr>
          <w:p w14:paraId="162ED2F4" w14:textId="0DF43F37" w:rsidR="00175AA2" w:rsidRPr="001E5747" w:rsidRDefault="00175AA2" w:rsidP="00AF23F5">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1</w:t>
            </w:r>
            <w:r w:rsidR="00310D3C">
              <w:rPr>
                <w:rFonts w:ascii="Calibri" w:hAnsi="Calibri" w:cs="Calibri"/>
                <w:b/>
                <w:bCs/>
                <w:color w:val="FFFFFF"/>
                <w:sz w:val="16"/>
                <w:szCs w:val="16"/>
                <w:lang w:val="en-GB"/>
              </w:rPr>
              <w:t>2</w:t>
            </w:r>
          </w:p>
        </w:tc>
        <w:tc>
          <w:tcPr>
            <w:tcW w:w="1004" w:type="dxa"/>
            <w:tcBorders>
              <w:top w:val="nil"/>
              <w:left w:val="nil"/>
              <w:bottom w:val="single" w:sz="8" w:space="0" w:color="auto"/>
              <w:right w:val="single" w:sz="4" w:space="0" w:color="auto"/>
            </w:tcBorders>
            <w:shd w:val="clear" w:color="000000" w:fill="8EA9DB"/>
            <w:vAlign w:val="center"/>
            <w:hideMark/>
          </w:tcPr>
          <w:p w14:paraId="1D5F94A3" w14:textId="77777777"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0</w:t>
            </w:r>
          </w:p>
        </w:tc>
        <w:tc>
          <w:tcPr>
            <w:tcW w:w="1562" w:type="dxa"/>
            <w:tcBorders>
              <w:top w:val="nil"/>
              <w:left w:val="nil"/>
              <w:bottom w:val="single" w:sz="8" w:space="0" w:color="auto"/>
              <w:right w:val="single" w:sz="4" w:space="0" w:color="auto"/>
            </w:tcBorders>
            <w:shd w:val="clear" w:color="000000" w:fill="8EA9DB"/>
            <w:vAlign w:val="center"/>
            <w:hideMark/>
          </w:tcPr>
          <w:p w14:paraId="76D5FB51" w14:textId="77777777" w:rsidR="00175AA2" w:rsidRPr="001E5747" w:rsidRDefault="00175AA2" w:rsidP="00A0644E">
            <w:pPr>
              <w:jc w:val="center"/>
              <w:rPr>
                <w:rFonts w:ascii="Calibri" w:hAnsi="Calibri" w:cs="Calibri"/>
                <w:b/>
                <w:bCs/>
                <w:color w:val="FFFFFF"/>
                <w:sz w:val="16"/>
                <w:szCs w:val="16"/>
                <w:lang w:val="en-GB"/>
              </w:rPr>
            </w:pPr>
          </w:p>
        </w:tc>
        <w:tc>
          <w:tcPr>
            <w:tcW w:w="1085" w:type="dxa"/>
            <w:tcBorders>
              <w:top w:val="nil"/>
              <w:left w:val="nil"/>
              <w:bottom w:val="single" w:sz="8" w:space="0" w:color="auto"/>
              <w:right w:val="single" w:sz="8" w:space="0" w:color="auto"/>
            </w:tcBorders>
            <w:shd w:val="clear" w:color="000000" w:fill="8EA9DB"/>
            <w:vAlign w:val="center"/>
            <w:hideMark/>
          </w:tcPr>
          <w:p w14:paraId="0A1744EB" w14:textId="77777777" w:rsidR="00175AA2" w:rsidRPr="001E5747" w:rsidRDefault="00175AA2" w:rsidP="00A0644E">
            <w:pPr>
              <w:jc w:val="center"/>
              <w:rPr>
                <w:rFonts w:ascii="Calibri" w:hAnsi="Calibri" w:cs="Calibri"/>
                <w:b/>
                <w:bCs/>
                <w:color w:val="FFFFFF"/>
                <w:sz w:val="16"/>
                <w:szCs w:val="16"/>
                <w:lang w:val="en-GB"/>
              </w:rPr>
            </w:pPr>
          </w:p>
        </w:tc>
      </w:tr>
      <w:tr w:rsidR="00175AA2" w:rsidRPr="001E5747" w14:paraId="1BAAD4F2" w14:textId="77777777" w:rsidTr="00D25AD4">
        <w:trPr>
          <w:trHeight w:val="2400"/>
        </w:trPr>
        <w:tc>
          <w:tcPr>
            <w:tcW w:w="648"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0EE984A" w14:textId="77777777" w:rsidR="00175AA2" w:rsidRPr="00D25AD4" w:rsidRDefault="00175AA2" w:rsidP="00A0644E">
            <w:pPr>
              <w:jc w:val="center"/>
              <w:rPr>
                <w:rFonts w:ascii="Calibri" w:hAnsi="Calibri" w:cs="Calibri"/>
                <w:b/>
                <w:bCs/>
                <w:color w:val="000000"/>
                <w:sz w:val="16"/>
                <w:szCs w:val="16"/>
                <w:lang w:val="en-GB"/>
              </w:rPr>
            </w:pPr>
            <w:r w:rsidRPr="00D25AD4">
              <w:rPr>
                <w:rFonts w:ascii="Calibri" w:hAnsi="Calibri" w:cs="Calibri"/>
                <w:b/>
                <w:bCs/>
                <w:color w:val="000000"/>
                <w:sz w:val="16"/>
                <w:szCs w:val="16"/>
                <w:lang w:val="en-GB"/>
              </w:rPr>
              <w:t>6</w:t>
            </w:r>
          </w:p>
        </w:tc>
        <w:tc>
          <w:tcPr>
            <w:tcW w:w="3089" w:type="dxa"/>
            <w:tcBorders>
              <w:top w:val="nil"/>
              <w:left w:val="nil"/>
              <w:bottom w:val="single" w:sz="4" w:space="0" w:color="000000"/>
              <w:right w:val="nil"/>
            </w:tcBorders>
            <w:shd w:val="clear" w:color="auto" w:fill="auto"/>
            <w:vAlign w:val="center"/>
            <w:hideMark/>
          </w:tcPr>
          <w:p w14:paraId="0C554BA4" w14:textId="77777777" w:rsidR="00175AA2" w:rsidRPr="00D25AD4" w:rsidRDefault="00175AA2" w:rsidP="00A0644E">
            <w:pPr>
              <w:rPr>
                <w:rFonts w:ascii="Calibri" w:hAnsi="Calibri" w:cs="Calibri"/>
                <w:sz w:val="16"/>
                <w:szCs w:val="16"/>
                <w:lang w:val="en-GB"/>
              </w:rPr>
            </w:pPr>
            <w:r w:rsidRPr="00D25AD4">
              <w:rPr>
                <w:rFonts w:ascii="Calibri" w:hAnsi="Calibri" w:cs="Calibri"/>
                <w:sz w:val="16"/>
                <w:szCs w:val="16"/>
                <w:lang w:val="en-GB"/>
              </w:rPr>
              <w:br/>
            </w:r>
            <w:r w:rsidRPr="00D25AD4">
              <w:rPr>
                <w:rFonts w:ascii="Calibri" w:hAnsi="Calibri" w:cs="Calibri"/>
                <w:color w:val="000000"/>
                <w:sz w:val="16"/>
                <w:szCs w:val="16"/>
                <w:lang w:val="en-GB"/>
              </w:rPr>
              <w:t>Citizen participation in public consultations, disaggregated by gender</w:t>
            </w:r>
          </w:p>
        </w:tc>
        <w:tc>
          <w:tcPr>
            <w:tcW w:w="2546" w:type="dxa"/>
            <w:tcBorders>
              <w:top w:val="nil"/>
              <w:left w:val="single" w:sz="4" w:space="0" w:color="000000"/>
              <w:bottom w:val="single" w:sz="4" w:space="0" w:color="000000"/>
              <w:right w:val="single" w:sz="4" w:space="0" w:color="000000"/>
            </w:tcBorders>
            <w:shd w:val="clear" w:color="auto" w:fill="auto"/>
            <w:vAlign w:val="center"/>
            <w:hideMark/>
          </w:tcPr>
          <w:p w14:paraId="3F4396B0" w14:textId="77777777" w:rsidR="00175AA2" w:rsidRPr="00D25AD4" w:rsidRDefault="00175AA2" w:rsidP="00A0644E">
            <w:pPr>
              <w:jc w:val="both"/>
              <w:rPr>
                <w:rFonts w:ascii="Calibri" w:hAnsi="Calibri" w:cs="Calibri"/>
                <w:sz w:val="16"/>
                <w:szCs w:val="16"/>
                <w:lang w:val="en-GB"/>
              </w:rPr>
            </w:pPr>
            <w:r w:rsidRPr="00D25AD4">
              <w:rPr>
                <w:rFonts w:ascii="Calibri" w:hAnsi="Calibri" w:cs="Calibri"/>
                <w:sz w:val="16"/>
                <w:szCs w:val="16"/>
                <w:lang w:val="en-GB"/>
              </w:rPr>
              <w:t xml:space="preserve">• 0 points if the average of two indicators of the result in MPMS is lower than 39.99%, </w:t>
            </w:r>
          </w:p>
          <w:p w14:paraId="1EF8BC0D" w14:textId="77777777" w:rsidR="00175AA2" w:rsidRPr="00D25AD4" w:rsidRDefault="00175AA2" w:rsidP="00A0644E">
            <w:pPr>
              <w:jc w:val="both"/>
              <w:rPr>
                <w:rFonts w:ascii="Calibri" w:hAnsi="Calibri" w:cs="Calibri"/>
                <w:sz w:val="16"/>
                <w:szCs w:val="16"/>
                <w:lang w:val="en-GB"/>
              </w:rPr>
            </w:pPr>
            <w:r w:rsidRPr="00D25AD4">
              <w:rPr>
                <w:rFonts w:ascii="Calibri" w:hAnsi="Calibri" w:cs="Calibri"/>
                <w:sz w:val="16"/>
                <w:szCs w:val="16"/>
                <w:lang w:val="en-GB"/>
              </w:rPr>
              <w:t xml:space="preserve">• 1 point if the average of two indicators in MPMS is from 40% - 69.99%, </w:t>
            </w:r>
          </w:p>
          <w:p w14:paraId="4752F798" w14:textId="77777777" w:rsidR="00175AA2" w:rsidRPr="00D25AD4" w:rsidRDefault="00175AA2" w:rsidP="00A0644E">
            <w:pPr>
              <w:jc w:val="both"/>
              <w:rPr>
                <w:rFonts w:ascii="Calibri" w:hAnsi="Calibri" w:cs="Calibri"/>
                <w:sz w:val="16"/>
                <w:szCs w:val="16"/>
                <w:lang w:val="en-GB"/>
              </w:rPr>
            </w:pPr>
            <w:r w:rsidRPr="00D25AD4">
              <w:rPr>
                <w:rFonts w:ascii="Calibri" w:hAnsi="Calibri" w:cs="Calibri"/>
                <w:sz w:val="16"/>
                <w:szCs w:val="16"/>
                <w:lang w:val="en-GB"/>
              </w:rPr>
              <w:t xml:space="preserve">• 2 points if the average of two indicators in MPMS is form 70% - 89.99%, </w:t>
            </w:r>
          </w:p>
          <w:p w14:paraId="54F156E3" w14:textId="77777777" w:rsidR="00175AA2" w:rsidRPr="00D25AD4" w:rsidRDefault="00175AA2" w:rsidP="00A0644E">
            <w:pPr>
              <w:jc w:val="both"/>
              <w:rPr>
                <w:rFonts w:ascii="Calibri" w:hAnsi="Calibri" w:cs="Calibri"/>
                <w:sz w:val="16"/>
                <w:szCs w:val="16"/>
                <w:lang w:val="en-GB"/>
              </w:rPr>
            </w:pPr>
            <w:r w:rsidRPr="00D25AD4">
              <w:rPr>
                <w:rFonts w:ascii="Calibri" w:hAnsi="Calibri" w:cs="Calibri"/>
                <w:sz w:val="16"/>
                <w:szCs w:val="16"/>
                <w:lang w:val="en-GB"/>
              </w:rPr>
              <w:t>• 4 points if the average of two indicators in MPMS is equal to or higher than 90%.</w:t>
            </w:r>
          </w:p>
        </w:tc>
        <w:tc>
          <w:tcPr>
            <w:tcW w:w="658" w:type="dxa"/>
            <w:tcBorders>
              <w:top w:val="nil"/>
              <w:left w:val="single" w:sz="4" w:space="0" w:color="000000"/>
              <w:bottom w:val="single" w:sz="8" w:space="0" w:color="000000"/>
              <w:right w:val="single" w:sz="4" w:space="0" w:color="000000"/>
            </w:tcBorders>
            <w:shd w:val="clear" w:color="auto" w:fill="auto"/>
            <w:vAlign w:val="center"/>
            <w:hideMark/>
          </w:tcPr>
          <w:p w14:paraId="499F260B" w14:textId="77777777" w:rsidR="00175AA2" w:rsidRPr="00D25AD4" w:rsidRDefault="00175AA2" w:rsidP="00A0644E">
            <w:pPr>
              <w:jc w:val="center"/>
              <w:rPr>
                <w:rFonts w:ascii="Calibri" w:hAnsi="Calibri" w:cs="Calibri"/>
                <w:color w:val="000000"/>
                <w:sz w:val="16"/>
                <w:szCs w:val="16"/>
                <w:lang w:val="en-GB"/>
              </w:rPr>
            </w:pPr>
            <w:r w:rsidRPr="00D25AD4">
              <w:rPr>
                <w:rFonts w:ascii="Calibri" w:hAnsi="Calibri" w:cs="Calibri"/>
                <w:color w:val="000000"/>
                <w:sz w:val="16"/>
                <w:szCs w:val="16"/>
                <w:lang w:val="en-GB"/>
              </w:rPr>
              <w:t>0.00%</w:t>
            </w:r>
          </w:p>
        </w:tc>
        <w:tc>
          <w:tcPr>
            <w:tcW w:w="574" w:type="dxa"/>
            <w:tcBorders>
              <w:top w:val="nil"/>
              <w:left w:val="single" w:sz="4" w:space="0" w:color="000000"/>
              <w:bottom w:val="single" w:sz="8" w:space="0" w:color="000000"/>
              <w:right w:val="single" w:sz="4" w:space="0" w:color="000000"/>
            </w:tcBorders>
            <w:shd w:val="clear" w:color="auto" w:fill="auto"/>
            <w:noWrap/>
            <w:vAlign w:val="center"/>
            <w:hideMark/>
          </w:tcPr>
          <w:p w14:paraId="79835D31" w14:textId="6E29E8FC" w:rsidR="00175AA2" w:rsidRPr="00D25AD4" w:rsidRDefault="00310D3C" w:rsidP="00AF23F5">
            <w:pPr>
              <w:jc w:val="center"/>
              <w:rPr>
                <w:rFonts w:ascii="Calibri" w:hAnsi="Calibri" w:cs="Calibri"/>
                <w:color w:val="000000"/>
                <w:sz w:val="16"/>
                <w:szCs w:val="16"/>
                <w:lang w:val="en-GB"/>
              </w:rPr>
            </w:pPr>
            <w:r>
              <w:rPr>
                <w:rFonts w:ascii="Calibri" w:hAnsi="Calibri" w:cs="Calibri"/>
                <w:color w:val="000000"/>
                <w:sz w:val="16"/>
                <w:szCs w:val="16"/>
                <w:lang w:val="en-GB"/>
              </w:rPr>
              <w:t>4</w:t>
            </w:r>
          </w:p>
        </w:tc>
        <w:tc>
          <w:tcPr>
            <w:tcW w:w="1004" w:type="dxa"/>
            <w:tcBorders>
              <w:top w:val="nil"/>
              <w:left w:val="single" w:sz="4" w:space="0" w:color="000000"/>
              <w:bottom w:val="single" w:sz="4" w:space="0" w:color="000000"/>
              <w:right w:val="single" w:sz="4" w:space="0" w:color="000000"/>
            </w:tcBorders>
            <w:shd w:val="clear" w:color="auto" w:fill="auto"/>
            <w:noWrap/>
            <w:vAlign w:val="center"/>
            <w:hideMark/>
          </w:tcPr>
          <w:p w14:paraId="3F9B21E7" w14:textId="77777777" w:rsidR="00175AA2" w:rsidRPr="00D25AD4" w:rsidRDefault="00175AA2" w:rsidP="00A0644E">
            <w:pPr>
              <w:jc w:val="center"/>
              <w:rPr>
                <w:rFonts w:ascii="Calibri" w:hAnsi="Calibri" w:cs="Calibri"/>
                <w:color w:val="000000"/>
                <w:sz w:val="16"/>
                <w:szCs w:val="16"/>
                <w:lang w:val="en-GB"/>
              </w:rPr>
            </w:pPr>
            <w:r w:rsidRPr="00D25AD4">
              <w:rPr>
                <w:rFonts w:ascii="Calibri" w:hAnsi="Calibri" w:cs="Calibri"/>
                <w:color w:val="000000"/>
                <w:sz w:val="16"/>
                <w:szCs w:val="16"/>
                <w:lang w:val="en-GB"/>
              </w:rPr>
              <w:t>0</w:t>
            </w:r>
          </w:p>
        </w:tc>
        <w:tc>
          <w:tcPr>
            <w:tcW w:w="1562" w:type="dxa"/>
            <w:tcBorders>
              <w:top w:val="nil"/>
              <w:left w:val="nil"/>
              <w:bottom w:val="single" w:sz="4" w:space="0" w:color="000000"/>
              <w:right w:val="single" w:sz="4" w:space="0" w:color="000000"/>
            </w:tcBorders>
            <w:shd w:val="clear" w:color="auto" w:fill="auto"/>
            <w:vAlign w:val="center"/>
            <w:hideMark/>
          </w:tcPr>
          <w:p w14:paraId="3D70738F" w14:textId="77777777" w:rsidR="00175AA2" w:rsidRPr="00D25AD4" w:rsidRDefault="00175AA2" w:rsidP="00A0644E">
            <w:pPr>
              <w:jc w:val="center"/>
              <w:rPr>
                <w:rFonts w:ascii="Calibri" w:hAnsi="Calibri" w:cs="Calibri"/>
                <w:sz w:val="16"/>
                <w:szCs w:val="16"/>
                <w:lang w:val="en-GB"/>
              </w:rPr>
            </w:pPr>
            <w:r w:rsidRPr="00D25AD4">
              <w:rPr>
                <w:rFonts w:ascii="Calibri" w:hAnsi="Calibri" w:cs="Calibri"/>
                <w:sz w:val="16"/>
                <w:szCs w:val="16"/>
                <w:lang w:val="en-GB"/>
              </w:rPr>
              <w:t>MPMS report,</w:t>
            </w:r>
            <w:r w:rsidRPr="00D25AD4">
              <w:rPr>
                <w:rFonts w:ascii="Calibri" w:hAnsi="Calibri" w:cs="Calibri"/>
                <w:sz w:val="16"/>
                <w:szCs w:val="16"/>
                <w:lang w:val="en-GB"/>
              </w:rPr>
              <w:br/>
            </w:r>
            <w:r w:rsidRPr="00D25AD4">
              <w:rPr>
                <w:rFonts w:ascii="Calibri" w:hAnsi="Calibri" w:cs="Calibri"/>
                <w:color w:val="000000"/>
                <w:sz w:val="16"/>
                <w:szCs w:val="16"/>
                <w:lang w:val="en-GB"/>
              </w:rPr>
              <w:t xml:space="preserve"> Indicators 3.1.2 and 16.2.3</w:t>
            </w:r>
          </w:p>
        </w:tc>
        <w:tc>
          <w:tcPr>
            <w:tcW w:w="1085" w:type="dxa"/>
            <w:tcBorders>
              <w:top w:val="nil"/>
              <w:left w:val="nil"/>
              <w:bottom w:val="single" w:sz="4" w:space="0" w:color="000000"/>
              <w:right w:val="single" w:sz="8" w:space="0" w:color="auto"/>
            </w:tcBorders>
            <w:shd w:val="clear" w:color="auto" w:fill="auto"/>
            <w:noWrap/>
            <w:vAlign w:val="bottom"/>
            <w:hideMark/>
          </w:tcPr>
          <w:p w14:paraId="1E0E0A38" w14:textId="0A2F13C8" w:rsidR="00175AA2" w:rsidRPr="00D25AD4" w:rsidRDefault="00175AA2" w:rsidP="00A0644E">
            <w:pPr>
              <w:rPr>
                <w:rFonts w:ascii="Calibri" w:hAnsi="Calibri" w:cs="Calibri"/>
                <w:color w:val="000000"/>
                <w:sz w:val="16"/>
                <w:szCs w:val="16"/>
                <w:lang w:val="en-GB"/>
              </w:rPr>
            </w:pPr>
          </w:p>
        </w:tc>
      </w:tr>
      <w:tr w:rsidR="00175AA2" w:rsidRPr="001E5747" w14:paraId="7D6557A8" w14:textId="77777777" w:rsidTr="00A0644E">
        <w:trPr>
          <w:trHeight w:val="1500"/>
        </w:trPr>
        <w:tc>
          <w:tcPr>
            <w:tcW w:w="648" w:type="dxa"/>
            <w:tcBorders>
              <w:top w:val="nil"/>
              <w:left w:val="single" w:sz="8" w:space="0" w:color="auto"/>
              <w:bottom w:val="single" w:sz="4" w:space="0" w:color="000000"/>
              <w:right w:val="single" w:sz="8" w:space="0" w:color="auto"/>
            </w:tcBorders>
            <w:shd w:val="clear" w:color="000000" w:fill="8EA9DB"/>
            <w:noWrap/>
            <w:vAlign w:val="center"/>
            <w:hideMark/>
          </w:tcPr>
          <w:p w14:paraId="03B81026" w14:textId="77777777" w:rsidR="00175AA2" w:rsidRPr="001E5747" w:rsidRDefault="00175AA2" w:rsidP="00A0644E">
            <w:pPr>
              <w:jc w:val="center"/>
              <w:rPr>
                <w:rFonts w:ascii="Calibri" w:hAnsi="Calibri" w:cs="Calibri"/>
                <w:b/>
                <w:bCs/>
                <w:color w:val="000000"/>
                <w:sz w:val="16"/>
                <w:szCs w:val="16"/>
                <w:lang w:val="en-GB"/>
              </w:rPr>
            </w:pPr>
            <w:r w:rsidRPr="001E5747">
              <w:rPr>
                <w:rFonts w:ascii="Calibri" w:hAnsi="Calibri" w:cs="Calibri"/>
                <w:b/>
                <w:bCs/>
                <w:color w:val="000000"/>
                <w:sz w:val="16"/>
                <w:szCs w:val="16"/>
                <w:lang w:val="en-GB"/>
              </w:rPr>
              <w:t>7</w:t>
            </w:r>
          </w:p>
        </w:tc>
        <w:tc>
          <w:tcPr>
            <w:tcW w:w="3089" w:type="dxa"/>
            <w:tcBorders>
              <w:top w:val="nil"/>
              <w:left w:val="nil"/>
              <w:bottom w:val="single" w:sz="4" w:space="0" w:color="000000"/>
              <w:right w:val="single" w:sz="4" w:space="0" w:color="000000"/>
            </w:tcBorders>
            <w:shd w:val="clear" w:color="auto" w:fill="auto"/>
            <w:vAlign w:val="center"/>
            <w:hideMark/>
          </w:tcPr>
          <w:p w14:paraId="4750392D"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Municipal acts and local policy documents consulted with the public</w:t>
            </w:r>
          </w:p>
        </w:tc>
        <w:tc>
          <w:tcPr>
            <w:tcW w:w="2546" w:type="dxa"/>
            <w:tcBorders>
              <w:top w:val="nil"/>
              <w:left w:val="nil"/>
              <w:bottom w:val="single" w:sz="4" w:space="0" w:color="000000"/>
              <w:right w:val="single" w:sz="4" w:space="0" w:color="000000"/>
            </w:tcBorders>
            <w:shd w:val="clear" w:color="auto" w:fill="auto"/>
            <w:vAlign w:val="center"/>
            <w:hideMark/>
          </w:tcPr>
          <w:p w14:paraId="6BAE561A" w14:textId="77777777" w:rsidR="00175AA2" w:rsidRPr="001E5747" w:rsidRDefault="00175AA2" w:rsidP="00A0644E">
            <w:pPr>
              <w:jc w:val="both"/>
              <w:rPr>
                <w:rFonts w:ascii="Calibri" w:hAnsi="Calibri" w:cs="Calibri"/>
                <w:color w:val="000000"/>
                <w:sz w:val="16"/>
                <w:szCs w:val="16"/>
                <w:lang w:val="en-GB"/>
              </w:rPr>
            </w:pPr>
            <w:r w:rsidRPr="001E5747">
              <w:rPr>
                <w:rFonts w:ascii="Calibri" w:hAnsi="Calibri" w:cs="Calibri"/>
                <w:color w:val="000000"/>
                <w:sz w:val="16"/>
                <w:szCs w:val="16"/>
                <w:lang w:val="en-GB"/>
              </w:rPr>
              <w:t>• 0 points if the result in MPMS is up to 39.99%,</w:t>
            </w:r>
          </w:p>
          <w:p w14:paraId="1A2A0CB9" w14:textId="77777777" w:rsidR="00175AA2" w:rsidRPr="001E5747" w:rsidRDefault="00175AA2" w:rsidP="00A0644E">
            <w:pPr>
              <w:jc w:val="both"/>
              <w:rPr>
                <w:rFonts w:ascii="Calibri" w:hAnsi="Calibri" w:cs="Calibri"/>
                <w:color w:val="000000"/>
                <w:sz w:val="16"/>
                <w:szCs w:val="16"/>
                <w:lang w:val="en-GB"/>
              </w:rPr>
            </w:pPr>
            <w:r w:rsidRPr="001E5747">
              <w:rPr>
                <w:rFonts w:ascii="Calibri" w:hAnsi="Calibri" w:cs="Calibri"/>
                <w:color w:val="000000"/>
                <w:sz w:val="16"/>
                <w:szCs w:val="16"/>
                <w:lang w:val="en-GB"/>
              </w:rPr>
              <w:t xml:space="preserve">• 1 point if the result in MPMS is 40% - 69.99%, </w:t>
            </w:r>
          </w:p>
          <w:p w14:paraId="5A36D0A0" w14:textId="77777777" w:rsidR="00175AA2" w:rsidRPr="001E5747" w:rsidRDefault="00175AA2" w:rsidP="00A0644E">
            <w:pPr>
              <w:jc w:val="both"/>
              <w:rPr>
                <w:rFonts w:ascii="Calibri" w:hAnsi="Calibri" w:cs="Calibri"/>
                <w:color w:val="000000"/>
                <w:sz w:val="16"/>
                <w:szCs w:val="16"/>
                <w:lang w:val="en-GB"/>
              </w:rPr>
            </w:pPr>
            <w:r w:rsidRPr="001E5747">
              <w:rPr>
                <w:rFonts w:ascii="Calibri" w:hAnsi="Calibri" w:cs="Calibri"/>
                <w:color w:val="000000"/>
                <w:sz w:val="16"/>
                <w:szCs w:val="16"/>
                <w:lang w:val="en-GB"/>
              </w:rPr>
              <w:t xml:space="preserve">• 2 points if the result in MPMS is 70% - 89.99%, </w:t>
            </w:r>
          </w:p>
          <w:p w14:paraId="03EE658B" w14:textId="77777777" w:rsidR="00175AA2" w:rsidRPr="001E5747" w:rsidRDefault="00175AA2" w:rsidP="00A0644E">
            <w:pPr>
              <w:jc w:val="both"/>
              <w:rPr>
                <w:rFonts w:ascii="Calibri" w:hAnsi="Calibri" w:cs="Calibri"/>
                <w:color w:val="000000"/>
                <w:sz w:val="16"/>
                <w:szCs w:val="16"/>
                <w:lang w:val="en-GB"/>
              </w:rPr>
            </w:pPr>
            <w:r w:rsidRPr="001E5747">
              <w:rPr>
                <w:rFonts w:ascii="Calibri" w:hAnsi="Calibri" w:cs="Calibri"/>
                <w:color w:val="000000"/>
                <w:sz w:val="16"/>
                <w:szCs w:val="16"/>
                <w:lang w:val="en-GB"/>
              </w:rPr>
              <w:t>• 4 points if the result in MPMS is equal to or higher than 90%.</w:t>
            </w:r>
          </w:p>
        </w:tc>
        <w:tc>
          <w:tcPr>
            <w:tcW w:w="658" w:type="dxa"/>
            <w:tcBorders>
              <w:top w:val="nil"/>
              <w:left w:val="single" w:sz="4" w:space="0" w:color="000000"/>
              <w:bottom w:val="single" w:sz="8" w:space="0" w:color="000000"/>
              <w:right w:val="single" w:sz="4" w:space="0" w:color="000000"/>
            </w:tcBorders>
            <w:shd w:val="clear" w:color="auto" w:fill="auto"/>
            <w:vAlign w:val="center"/>
            <w:hideMark/>
          </w:tcPr>
          <w:p w14:paraId="6BBA29AF"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0.00%</w:t>
            </w:r>
          </w:p>
        </w:tc>
        <w:tc>
          <w:tcPr>
            <w:tcW w:w="574" w:type="dxa"/>
            <w:tcBorders>
              <w:top w:val="nil"/>
              <w:left w:val="single" w:sz="4" w:space="0" w:color="000000"/>
              <w:bottom w:val="single" w:sz="4" w:space="0" w:color="000000"/>
              <w:right w:val="single" w:sz="4" w:space="0" w:color="000000"/>
            </w:tcBorders>
            <w:shd w:val="clear" w:color="auto" w:fill="auto"/>
            <w:noWrap/>
            <w:vAlign w:val="center"/>
            <w:hideMark/>
          </w:tcPr>
          <w:p w14:paraId="5FDE1482"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4</w:t>
            </w:r>
          </w:p>
        </w:tc>
        <w:tc>
          <w:tcPr>
            <w:tcW w:w="1004" w:type="dxa"/>
            <w:tcBorders>
              <w:top w:val="single" w:sz="8" w:space="0" w:color="auto"/>
              <w:left w:val="single" w:sz="4" w:space="0" w:color="000000"/>
              <w:bottom w:val="single" w:sz="4" w:space="0" w:color="000000"/>
              <w:right w:val="single" w:sz="4" w:space="0" w:color="000000"/>
            </w:tcBorders>
            <w:shd w:val="clear" w:color="auto" w:fill="auto"/>
            <w:noWrap/>
            <w:vAlign w:val="center"/>
            <w:hideMark/>
          </w:tcPr>
          <w:p w14:paraId="65C5BBD5"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w:t>
            </w:r>
          </w:p>
        </w:tc>
        <w:tc>
          <w:tcPr>
            <w:tcW w:w="1562" w:type="dxa"/>
            <w:tcBorders>
              <w:top w:val="nil"/>
              <w:left w:val="nil"/>
              <w:bottom w:val="single" w:sz="4" w:space="0" w:color="000000"/>
              <w:right w:val="single" w:sz="4" w:space="0" w:color="000000"/>
            </w:tcBorders>
            <w:shd w:val="clear" w:color="auto" w:fill="auto"/>
            <w:vAlign w:val="center"/>
            <w:hideMark/>
          </w:tcPr>
          <w:p w14:paraId="6DC3B6D7" w14:textId="77777777" w:rsidR="00175AA2" w:rsidRPr="001E5747" w:rsidRDefault="00175AA2" w:rsidP="00A0644E">
            <w:pPr>
              <w:jc w:val="center"/>
              <w:rPr>
                <w:rFonts w:ascii="Calibri" w:hAnsi="Calibri" w:cs="Calibri"/>
                <w:sz w:val="16"/>
                <w:szCs w:val="16"/>
                <w:lang w:val="en-GB"/>
              </w:rPr>
            </w:pPr>
            <w:r w:rsidRPr="001E5747">
              <w:rPr>
                <w:rFonts w:ascii="Calibri" w:hAnsi="Calibri" w:cs="Calibri"/>
                <w:sz w:val="16"/>
                <w:szCs w:val="16"/>
                <w:lang w:val="en-GB"/>
              </w:rPr>
              <w:t>MPMS report,</w:t>
            </w:r>
          </w:p>
          <w:p w14:paraId="084A357E" w14:textId="77777777" w:rsidR="00175AA2" w:rsidRPr="001E5747" w:rsidRDefault="00175AA2" w:rsidP="00A0644E">
            <w:pPr>
              <w:jc w:val="center"/>
              <w:rPr>
                <w:rFonts w:ascii="Calibri" w:hAnsi="Calibri" w:cs="Calibri"/>
                <w:sz w:val="16"/>
                <w:szCs w:val="16"/>
                <w:lang w:val="en-GB"/>
              </w:rPr>
            </w:pPr>
            <w:r w:rsidRPr="001E5747">
              <w:rPr>
                <w:rFonts w:ascii="Calibri" w:hAnsi="Calibri" w:cs="Calibri"/>
                <w:sz w:val="16"/>
                <w:szCs w:val="16"/>
                <w:lang w:val="en-GB"/>
              </w:rPr>
              <w:t>Indicator 3.1.3</w:t>
            </w:r>
            <w:r w:rsidRPr="001E5747">
              <w:rPr>
                <w:rFonts w:ascii="Calibri" w:hAnsi="Calibri" w:cs="Calibri"/>
                <w:sz w:val="16"/>
                <w:szCs w:val="16"/>
                <w:lang w:val="en-GB"/>
              </w:rPr>
              <w:br/>
            </w:r>
          </w:p>
        </w:tc>
        <w:tc>
          <w:tcPr>
            <w:tcW w:w="1085" w:type="dxa"/>
            <w:tcBorders>
              <w:top w:val="nil"/>
              <w:left w:val="nil"/>
              <w:bottom w:val="single" w:sz="4" w:space="0" w:color="000000"/>
              <w:right w:val="single" w:sz="8" w:space="0" w:color="auto"/>
            </w:tcBorders>
            <w:shd w:val="clear" w:color="auto" w:fill="auto"/>
            <w:noWrap/>
            <w:vAlign w:val="bottom"/>
            <w:hideMark/>
          </w:tcPr>
          <w:p w14:paraId="21F2DF18" w14:textId="77777777" w:rsidR="00175AA2" w:rsidRPr="001E5747" w:rsidRDefault="00175AA2" w:rsidP="00A0644E">
            <w:pPr>
              <w:rPr>
                <w:rFonts w:ascii="Calibri" w:hAnsi="Calibri" w:cs="Calibri"/>
                <w:color w:val="000000"/>
                <w:sz w:val="16"/>
                <w:szCs w:val="16"/>
                <w:lang w:val="en-GB"/>
              </w:rPr>
            </w:pPr>
          </w:p>
        </w:tc>
      </w:tr>
      <w:tr w:rsidR="00175AA2" w:rsidRPr="001E5747" w14:paraId="0E991337" w14:textId="77777777" w:rsidTr="00A0644E">
        <w:trPr>
          <w:trHeight w:val="1500"/>
        </w:trPr>
        <w:tc>
          <w:tcPr>
            <w:tcW w:w="648" w:type="dxa"/>
            <w:tcBorders>
              <w:top w:val="single" w:sz="8" w:space="0" w:color="auto"/>
              <w:left w:val="single" w:sz="8" w:space="0" w:color="auto"/>
              <w:bottom w:val="single" w:sz="8" w:space="0" w:color="000000"/>
              <w:right w:val="single" w:sz="8" w:space="0" w:color="auto"/>
            </w:tcBorders>
            <w:shd w:val="clear" w:color="000000" w:fill="8EA9DB"/>
            <w:noWrap/>
            <w:vAlign w:val="center"/>
            <w:hideMark/>
          </w:tcPr>
          <w:p w14:paraId="33E0D439" w14:textId="77777777" w:rsidR="00175AA2" w:rsidRPr="001E5747" w:rsidRDefault="00175AA2" w:rsidP="00A0644E">
            <w:pPr>
              <w:jc w:val="center"/>
              <w:rPr>
                <w:rFonts w:ascii="Calibri" w:hAnsi="Calibri" w:cs="Calibri"/>
                <w:b/>
                <w:bCs/>
                <w:color w:val="000000"/>
                <w:sz w:val="16"/>
                <w:szCs w:val="16"/>
                <w:lang w:val="en-GB"/>
              </w:rPr>
            </w:pPr>
            <w:r w:rsidRPr="001E5747">
              <w:rPr>
                <w:rFonts w:ascii="Calibri" w:hAnsi="Calibri" w:cs="Calibri"/>
                <w:b/>
                <w:bCs/>
                <w:color w:val="000000"/>
                <w:sz w:val="16"/>
                <w:szCs w:val="16"/>
                <w:lang w:val="en-GB"/>
              </w:rPr>
              <w:lastRenderedPageBreak/>
              <w:t>8</w:t>
            </w:r>
          </w:p>
        </w:tc>
        <w:tc>
          <w:tcPr>
            <w:tcW w:w="3089" w:type="dxa"/>
            <w:tcBorders>
              <w:top w:val="single" w:sz="8" w:space="0" w:color="auto"/>
              <w:left w:val="nil"/>
              <w:bottom w:val="single" w:sz="4" w:space="0" w:color="000000"/>
              <w:right w:val="nil"/>
            </w:tcBorders>
            <w:shd w:val="clear" w:color="auto" w:fill="auto"/>
            <w:vAlign w:val="center"/>
            <w:hideMark/>
          </w:tcPr>
          <w:p w14:paraId="533A62DA"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Public hearing on the Medium Term Budget Framework (MTBF) and municipal budget</w:t>
            </w:r>
          </w:p>
        </w:tc>
        <w:tc>
          <w:tcPr>
            <w:tcW w:w="2546" w:type="dxa"/>
            <w:tcBorders>
              <w:top w:val="single" w:sz="8" w:space="0" w:color="auto"/>
              <w:left w:val="single" w:sz="4" w:space="0" w:color="000000"/>
              <w:bottom w:val="single" w:sz="4" w:space="0" w:color="000000"/>
              <w:right w:val="single" w:sz="4" w:space="0" w:color="000000"/>
            </w:tcBorders>
            <w:shd w:val="clear" w:color="auto" w:fill="auto"/>
            <w:vAlign w:val="center"/>
            <w:hideMark/>
          </w:tcPr>
          <w:p w14:paraId="01EF1E5D"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 xml:space="preserve">• 0 points if the </w:t>
            </w:r>
            <w:r w:rsidRPr="001E5747">
              <w:rPr>
                <w:rFonts w:ascii="Calibri" w:hAnsi="Calibri" w:cs="Calibri"/>
                <w:color w:val="000000"/>
                <w:sz w:val="16"/>
                <w:szCs w:val="16"/>
                <w:lang w:val="en-GB"/>
              </w:rPr>
              <w:t xml:space="preserve">result </w:t>
            </w:r>
            <w:r w:rsidRPr="001E5747">
              <w:rPr>
                <w:rFonts w:ascii="Calibri" w:hAnsi="Calibri" w:cs="Calibri"/>
                <w:sz w:val="16"/>
                <w:szCs w:val="16"/>
                <w:lang w:val="en-GB"/>
              </w:rPr>
              <w:t xml:space="preserve">in MPMS is up to 39.99%, </w:t>
            </w:r>
          </w:p>
          <w:p w14:paraId="4D6C8F1B"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 1 point if the</w:t>
            </w:r>
            <w:r w:rsidRPr="001E5747">
              <w:rPr>
                <w:rFonts w:ascii="Calibri" w:hAnsi="Calibri" w:cs="Calibri"/>
                <w:color w:val="000000"/>
                <w:sz w:val="16"/>
                <w:szCs w:val="16"/>
                <w:lang w:val="en-GB"/>
              </w:rPr>
              <w:t xml:space="preserve"> result</w:t>
            </w:r>
            <w:r w:rsidRPr="001E5747">
              <w:rPr>
                <w:rFonts w:ascii="Calibri" w:hAnsi="Calibri" w:cs="Calibri"/>
                <w:sz w:val="16"/>
                <w:szCs w:val="16"/>
                <w:lang w:val="en-GB"/>
              </w:rPr>
              <w:t xml:space="preserve"> in MPMS is 40% - 69.99%, </w:t>
            </w:r>
          </w:p>
          <w:p w14:paraId="58BAD6ED"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 2 points if the</w:t>
            </w:r>
            <w:r w:rsidRPr="001E5747">
              <w:rPr>
                <w:rFonts w:ascii="Calibri" w:hAnsi="Calibri" w:cs="Calibri"/>
                <w:color w:val="000000"/>
                <w:sz w:val="16"/>
                <w:szCs w:val="16"/>
                <w:lang w:val="en-GB"/>
              </w:rPr>
              <w:t xml:space="preserve"> result</w:t>
            </w:r>
            <w:r w:rsidRPr="001E5747">
              <w:rPr>
                <w:rFonts w:ascii="Calibri" w:hAnsi="Calibri" w:cs="Calibri"/>
                <w:sz w:val="16"/>
                <w:szCs w:val="16"/>
                <w:lang w:val="en-GB"/>
              </w:rPr>
              <w:t xml:space="preserve"> in MPMS is 70% - 89.99%, </w:t>
            </w:r>
          </w:p>
          <w:p w14:paraId="12D423F5"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 xml:space="preserve">• 4 points if </w:t>
            </w:r>
            <w:r w:rsidR="00CC4DF7" w:rsidRPr="001E5747">
              <w:rPr>
                <w:rFonts w:ascii="Calibri" w:hAnsi="Calibri" w:cs="Calibri"/>
                <w:sz w:val="16"/>
                <w:szCs w:val="16"/>
                <w:lang w:val="en-GB"/>
              </w:rPr>
              <w:t xml:space="preserve">the </w:t>
            </w:r>
            <w:r w:rsidR="00CC4DF7" w:rsidRPr="001E5747">
              <w:rPr>
                <w:rFonts w:ascii="Calibri" w:hAnsi="Calibri" w:cs="Calibri"/>
                <w:color w:val="000000"/>
                <w:sz w:val="16"/>
                <w:szCs w:val="16"/>
                <w:lang w:val="en-GB"/>
              </w:rPr>
              <w:t>result</w:t>
            </w:r>
            <w:r w:rsidRPr="001E5747">
              <w:rPr>
                <w:rFonts w:ascii="Calibri" w:hAnsi="Calibri" w:cs="Calibri"/>
                <w:sz w:val="16"/>
                <w:szCs w:val="16"/>
                <w:lang w:val="en-GB"/>
              </w:rPr>
              <w:t xml:space="preserve"> in MPMS is higher or equal to 90%.</w:t>
            </w:r>
          </w:p>
        </w:tc>
        <w:tc>
          <w:tcPr>
            <w:tcW w:w="658" w:type="dxa"/>
            <w:tcBorders>
              <w:top w:val="nil"/>
              <w:left w:val="single" w:sz="4" w:space="0" w:color="000000"/>
              <w:bottom w:val="single" w:sz="8" w:space="0" w:color="000000"/>
              <w:right w:val="single" w:sz="4" w:space="0" w:color="000000"/>
            </w:tcBorders>
            <w:shd w:val="clear" w:color="auto" w:fill="auto"/>
            <w:vAlign w:val="center"/>
            <w:hideMark/>
          </w:tcPr>
          <w:p w14:paraId="6F742A05"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0.00%</w:t>
            </w:r>
          </w:p>
        </w:tc>
        <w:tc>
          <w:tcPr>
            <w:tcW w:w="574" w:type="dxa"/>
            <w:tcBorders>
              <w:top w:val="single" w:sz="8" w:space="0" w:color="auto"/>
              <w:left w:val="single" w:sz="4" w:space="0" w:color="000000"/>
              <w:bottom w:val="single" w:sz="8" w:space="0" w:color="000000"/>
              <w:right w:val="single" w:sz="4" w:space="0" w:color="000000"/>
            </w:tcBorders>
            <w:shd w:val="clear" w:color="auto" w:fill="auto"/>
            <w:noWrap/>
            <w:vAlign w:val="center"/>
            <w:hideMark/>
          </w:tcPr>
          <w:p w14:paraId="567CEE9C"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4</w:t>
            </w:r>
          </w:p>
        </w:tc>
        <w:tc>
          <w:tcPr>
            <w:tcW w:w="1004" w:type="dxa"/>
            <w:tcBorders>
              <w:top w:val="single" w:sz="8" w:space="0" w:color="auto"/>
              <w:left w:val="single" w:sz="4" w:space="0" w:color="000000"/>
              <w:bottom w:val="single" w:sz="8" w:space="0" w:color="000000"/>
              <w:right w:val="single" w:sz="4" w:space="0" w:color="000000"/>
            </w:tcBorders>
            <w:shd w:val="clear" w:color="auto" w:fill="auto"/>
            <w:noWrap/>
            <w:vAlign w:val="center"/>
            <w:hideMark/>
          </w:tcPr>
          <w:p w14:paraId="11DACCFD"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w:t>
            </w:r>
          </w:p>
        </w:tc>
        <w:tc>
          <w:tcPr>
            <w:tcW w:w="1562" w:type="dxa"/>
            <w:tcBorders>
              <w:top w:val="single" w:sz="8" w:space="0" w:color="auto"/>
              <w:left w:val="nil"/>
              <w:bottom w:val="single" w:sz="4" w:space="0" w:color="000000"/>
              <w:right w:val="single" w:sz="4" w:space="0" w:color="000000"/>
            </w:tcBorders>
            <w:shd w:val="clear" w:color="auto" w:fill="auto"/>
            <w:vAlign w:val="center"/>
            <w:hideMark/>
          </w:tcPr>
          <w:p w14:paraId="11F6B21F" w14:textId="77777777" w:rsidR="00175AA2" w:rsidRPr="001E5747" w:rsidRDefault="00175AA2" w:rsidP="00A0644E">
            <w:pPr>
              <w:jc w:val="center"/>
              <w:rPr>
                <w:rFonts w:ascii="Calibri" w:hAnsi="Calibri" w:cs="Calibri"/>
                <w:sz w:val="16"/>
                <w:szCs w:val="16"/>
                <w:lang w:val="en-GB"/>
              </w:rPr>
            </w:pPr>
            <w:r w:rsidRPr="001E5747">
              <w:rPr>
                <w:rFonts w:ascii="Calibri" w:hAnsi="Calibri" w:cs="Calibri"/>
                <w:sz w:val="16"/>
                <w:szCs w:val="16"/>
                <w:lang w:val="en-GB"/>
              </w:rPr>
              <w:t>MPMS Report, Indicator 3.1.4</w:t>
            </w:r>
            <w:r w:rsidRPr="001E5747">
              <w:rPr>
                <w:rFonts w:ascii="Calibri" w:hAnsi="Calibri" w:cs="Calibri"/>
                <w:sz w:val="16"/>
                <w:szCs w:val="16"/>
                <w:lang w:val="en-GB"/>
              </w:rPr>
              <w:br/>
            </w:r>
          </w:p>
        </w:tc>
        <w:tc>
          <w:tcPr>
            <w:tcW w:w="1085" w:type="dxa"/>
            <w:tcBorders>
              <w:top w:val="single" w:sz="8" w:space="0" w:color="auto"/>
              <w:left w:val="nil"/>
              <w:bottom w:val="single" w:sz="4" w:space="0" w:color="000000"/>
              <w:right w:val="single" w:sz="8" w:space="0" w:color="auto"/>
            </w:tcBorders>
            <w:shd w:val="clear" w:color="auto" w:fill="auto"/>
            <w:vAlign w:val="bottom"/>
            <w:hideMark/>
          </w:tcPr>
          <w:p w14:paraId="401C092E" w14:textId="77777777" w:rsidR="00175AA2" w:rsidRPr="001E5747" w:rsidRDefault="00175AA2" w:rsidP="00A0644E">
            <w:pPr>
              <w:rPr>
                <w:rFonts w:ascii="Calibri" w:hAnsi="Calibri" w:cs="Calibri"/>
                <w:color w:val="000000"/>
                <w:sz w:val="16"/>
                <w:szCs w:val="16"/>
                <w:lang w:val="en-GB"/>
              </w:rPr>
            </w:pPr>
          </w:p>
        </w:tc>
      </w:tr>
      <w:tr w:rsidR="00175AA2" w:rsidRPr="001E5747" w14:paraId="67E507C5" w14:textId="77777777" w:rsidTr="00A0644E">
        <w:trPr>
          <w:trHeight w:val="317"/>
        </w:trPr>
        <w:tc>
          <w:tcPr>
            <w:tcW w:w="648" w:type="dxa"/>
            <w:tcBorders>
              <w:top w:val="nil"/>
              <w:left w:val="single" w:sz="8" w:space="0" w:color="auto"/>
              <w:bottom w:val="nil"/>
              <w:right w:val="single" w:sz="8" w:space="0" w:color="auto"/>
            </w:tcBorders>
            <w:shd w:val="clear" w:color="000000" w:fill="8EA9DB"/>
            <w:noWrap/>
            <w:vAlign w:val="center"/>
            <w:hideMark/>
          </w:tcPr>
          <w:p w14:paraId="2182CEDE" w14:textId="77777777"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III</w:t>
            </w:r>
          </w:p>
        </w:tc>
        <w:tc>
          <w:tcPr>
            <w:tcW w:w="6293" w:type="dxa"/>
            <w:gridSpan w:val="3"/>
            <w:tcBorders>
              <w:top w:val="single" w:sz="8" w:space="0" w:color="auto"/>
              <w:left w:val="nil"/>
              <w:bottom w:val="single" w:sz="8" w:space="0" w:color="auto"/>
              <w:right w:val="single" w:sz="4" w:space="0" w:color="000000"/>
            </w:tcBorders>
            <w:shd w:val="clear" w:color="000000" w:fill="8EA9DB"/>
            <w:vAlign w:val="center"/>
            <w:hideMark/>
          </w:tcPr>
          <w:p w14:paraId="3246E2BB" w14:textId="77777777" w:rsidR="00175AA2" w:rsidRPr="001E5747" w:rsidRDefault="00175AA2" w:rsidP="00A0644E">
            <w:pPr>
              <w:rPr>
                <w:rFonts w:ascii="Calibri" w:hAnsi="Calibri" w:cs="Calibri"/>
                <w:b/>
                <w:bCs/>
                <w:color w:val="FFFFFF"/>
                <w:sz w:val="16"/>
                <w:szCs w:val="16"/>
                <w:lang w:val="en-GB"/>
              </w:rPr>
            </w:pPr>
            <w:r w:rsidRPr="001E5747">
              <w:rPr>
                <w:rFonts w:ascii="Calibri" w:hAnsi="Calibri" w:cs="Calibri"/>
                <w:b/>
                <w:bCs/>
                <w:color w:val="FFFFFF"/>
                <w:sz w:val="16"/>
                <w:szCs w:val="16"/>
                <w:lang w:val="en-GB"/>
              </w:rPr>
              <w:t>Transparency, access to information and integrity</w:t>
            </w:r>
          </w:p>
        </w:tc>
        <w:tc>
          <w:tcPr>
            <w:tcW w:w="574" w:type="dxa"/>
            <w:tcBorders>
              <w:top w:val="nil"/>
              <w:left w:val="nil"/>
              <w:bottom w:val="single" w:sz="8" w:space="0" w:color="auto"/>
              <w:right w:val="single" w:sz="4" w:space="0" w:color="auto"/>
            </w:tcBorders>
            <w:shd w:val="clear" w:color="000000" w:fill="8EA9DB"/>
            <w:vAlign w:val="center"/>
            <w:hideMark/>
          </w:tcPr>
          <w:p w14:paraId="6474EFBB" w14:textId="77777777"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15</w:t>
            </w:r>
          </w:p>
        </w:tc>
        <w:tc>
          <w:tcPr>
            <w:tcW w:w="1004" w:type="dxa"/>
            <w:tcBorders>
              <w:top w:val="nil"/>
              <w:left w:val="nil"/>
              <w:bottom w:val="single" w:sz="8" w:space="0" w:color="auto"/>
              <w:right w:val="single" w:sz="4" w:space="0" w:color="auto"/>
            </w:tcBorders>
            <w:shd w:val="clear" w:color="000000" w:fill="8EA9DB"/>
            <w:vAlign w:val="center"/>
            <w:hideMark/>
          </w:tcPr>
          <w:p w14:paraId="751DC3EE" w14:textId="77777777"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0</w:t>
            </w:r>
          </w:p>
        </w:tc>
        <w:tc>
          <w:tcPr>
            <w:tcW w:w="1562" w:type="dxa"/>
            <w:tcBorders>
              <w:top w:val="nil"/>
              <w:left w:val="nil"/>
              <w:bottom w:val="single" w:sz="8" w:space="0" w:color="auto"/>
              <w:right w:val="single" w:sz="4" w:space="0" w:color="auto"/>
            </w:tcBorders>
            <w:shd w:val="clear" w:color="000000" w:fill="8EA9DB"/>
            <w:vAlign w:val="center"/>
            <w:hideMark/>
          </w:tcPr>
          <w:p w14:paraId="11F269FD" w14:textId="77777777" w:rsidR="00175AA2" w:rsidRPr="001E5747" w:rsidRDefault="00175AA2" w:rsidP="00A0644E">
            <w:pPr>
              <w:jc w:val="center"/>
              <w:rPr>
                <w:rFonts w:ascii="Calibri" w:hAnsi="Calibri" w:cs="Calibri"/>
                <w:b/>
                <w:bCs/>
                <w:color w:val="FFFFFF"/>
                <w:sz w:val="16"/>
                <w:szCs w:val="16"/>
                <w:lang w:val="en-GB"/>
              </w:rPr>
            </w:pPr>
          </w:p>
        </w:tc>
        <w:tc>
          <w:tcPr>
            <w:tcW w:w="1085" w:type="dxa"/>
            <w:tcBorders>
              <w:top w:val="nil"/>
              <w:left w:val="nil"/>
              <w:bottom w:val="single" w:sz="8" w:space="0" w:color="auto"/>
              <w:right w:val="single" w:sz="8" w:space="0" w:color="auto"/>
            </w:tcBorders>
            <w:shd w:val="clear" w:color="000000" w:fill="8EA9DB"/>
            <w:vAlign w:val="center"/>
            <w:hideMark/>
          </w:tcPr>
          <w:p w14:paraId="1BD8D160" w14:textId="77777777" w:rsidR="00175AA2" w:rsidRPr="001E5747" w:rsidRDefault="00175AA2" w:rsidP="00A0644E">
            <w:pPr>
              <w:jc w:val="center"/>
              <w:rPr>
                <w:rFonts w:ascii="Calibri" w:hAnsi="Calibri" w:cs="Calibri"/>
                <w:b/>
                <w:bCs/>
                <w:color w:val="FFFFFF"/>
                <w:sz w:val="16"/>
                <w:szCs w:val="16"/>
                <w:lang w:val="en-GB"/>
              </w:rPr>
            </w:pPr>
          </w:p>
        </w:tc>
      </w:tr>
      <w:tr w:rsidR="00175AA2" w:rsidRPr="001E5747" w14:paraId="654981CC" w14:textId="77777777" w:rsidTr="00A0644E">
        <w:trPr>
          <w:trHeight w:val="1500"/>
        </w:trPr>
        <w:tc>
          <w:tcPr>
            <w:tcW w:w="648" w:type="dxa"/>
            <w:tcBorders>
              <w:top w:val="single" w:sz="8" w:space="0" w:color="auto"/>
              <w:left w:val="single" w:sz="8" w:space="0" w:color="auto"/>
              <w:bottom w:val="single" w:sz="8" w:space="0" w:color="000000"/>
              <w:right w:val="single" w:sz="8" w:space="0" w:color="auto"/>
            </w:tcBorders>
            <w:shd w:val="clear" w:color="000000" w:fill="8EA9DB"/>
            <w:noWrap/>
            <w:vAlign w:val="center"/>
            <w:hideMark/>
          </w:tcPr>
          <w:p w14:paraId="5867FDBC" w14:textId="77777777" w:rsidR="00175AA2" w:rsidRPr="001E5747" w:rsidRDefault="00175AA2" w:rsidP="00A0644E">
            <w:pPr>
              <w:jc w:val="center"/>
              <w:rPr>
                <w:rFonts w:ascii="Calibri" w:hAnsi="Calibri" w:cs="Calibri"/>
                <w:b/>
                <w:bCs/>
                <w:color w:val="000000"/>
                <w:sz w:val="16"/>
                <w:szCs w:val="16"/>
                <w:lang w:val="en-GB"/>
              </w:rPr>
            </w:pPr>
            <w:r w:rsidRPr="001E5747">
              <w:rPr>
                <w:rFonts w:ascii="Calibri" w:hAnsi="Calibri" w:cs="Calibri"/>
                <w:b/>
                <w:bCs/>
                <w:color w:val="000000"/>
                <w:sz w:val="16"/>
                <w:szCs w:val="16"/>
                <w:lang w:val="en-GB"/>
              </w:rPr>
              <w:t>9</w:t>
            </w:r>
          </w:p>
        </w:tc>
        <w:tc>
          <w:tcPr>
            <w:tcW w:w="3089" w:type="dxa"/>
            <w:tcBorders>
              <w:top w:val="nil"/>
              <w:left w:val="nil"/>
              <w:bottom w:val="single" w:sz="4" w:space="0" w:color="000000"/>
              <w:right w:val="single" w:sz="4" w:space="0" w:color="000000"/>
            </w:tcBorders>
            <w:shd w:val="clear" w:color="auto" w:fill="auto"/>
            <w:vAlign w:val="center"/>
            <w:hideMark/>
          </w:tcPr>
          <w:p w14:paraId="287E0817"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Assembly meetings made public and broadcasted live online</w:t>
            </w:r>
          </w:p>
        </w:tc>
        <w:tc>
          <w:tcPr>
            <w:tcW w:w="2546" w:type="dxa"/>
            <w:tcBorders>
              <w:top w:val="nil"/>
              <w:left w:val="nil"/>
              <w:bottom w:val="single" w:sz="4" w:space="0" w:color="000000"/>
              <w:right w:val="single" w:sz="4" w:space="0" w:color="000000"/>
            </w:tcBorders>
            <w:shd w:val="clear" w:color="auto" w:fill="auto"/>
            <w:vAlign w:val="center"/>
            <w:hideMark/>
          </w:tcPr>
          <w:p w14:paraId="06091853"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 xml:space="preserve">• 0 points if the result in MPMS is up to 39.99%, </w:t>
            </w:r>
          </w:p>
          <w:p w14:paraId="25F6E3F2"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 xml:space="preserve">• 1 point if the result in MPMS is 40% - 59.99%, </w:t>
            </w:r>
          </w:p>
          <w:p w14:paraId="0B9392CF"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 xml:space="preserve">• 2 points if the result in MPMS is 60% - 89.99%, </w:t>
            </w:r>
          </w:p>
          <w:p w14:paraId="3773C526"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 3 points if the result in MPMS is equal to or higher than 90%.</w:t>
            </w:r>
          </w:p>
        </w:tc>
        <w:tc>
          <w:tcPr>
            <w:tcW w:w="658" w:type="dxa"/>
            <w:tcBorders>
              <w:top w:val="nil"/>
              <w:left w:val="single" w:sz="4" w:space="0" w:color="000000"/>
              <w:bottom w:val="single" w:sz="8" w:space="0" w:color="000000"/>
              <w:right w:val="single" w:sz="4" w:space="0" w:color="000000"/>
            </w:tcBorders>
            <w:shd w:val="clear" w:color="auto" w:fill="auto"/>
            <w:vAlign w:val="center"/>
            <w:hideMark/>
          </w:tcPr>
          <w:p w14:paraId="6F5F1440"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0.00%</w:t>
            </w:r>
          </w:p>
        </w:tc>
        <w:tc>
          <w:tcPr>
            <w:tcW w:w="574" w:type="dxa"/>
            <w:tcBorders>
              <w:top w:val="nil"/>
              <w:left w:val="single" w:sz="4" w:space="0" w:color="000000"/>
              <w:bottom w:val="single" w:sz="8" w:space="0" w:color="000000"/>
              <w:right w:val="single" w:sz="4" w:space="0" w:color="000000"/>
            </w:tcBorders>
            <w:shd w:val="clear" w:color="auto" w:fill="auto"/>
            <w:noWrap/>
            <w:vAlign w:val="center"/>
            <w:hideMark/>
          </w:tcPr>
          <w:p w14:paraId="2D98C619"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3</w:t>
            </w:r>
          </w:p>
        </w:tc>
        <w:tc>
          <w:tcPr>
            <w:tcW w:w="1004" w:type="dxa"/>
            <w:tcBorders>
              <w:top w:val="nil"/>
              <w:left w:val="single" w:sz="4" w:space="0" w:color="000000"/>
              <w:bottom w:val="single" w:sz="8" w:space="0" w:color="000000"/>
              <w:right w:val="single" w:sz="4" w:space="0" w:color="000000"/>
            </w:tcBorders>
            <w:shd w:val="clear" w:color="auto" w:fill="auto"/>
            <w:noWrap/>
            <w:vAlign w:val="center"/>
            <w:hideMark/>
          </w:tcPr>
          <w:p w14:paraId="58F487D2"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w:t>
            </w:r>
          </w:p>
        </w:tc>
        <w:tc>
          <w:tcPr>
            <w:tcW w:w="1562" w:type="dxa"/>
            <w:tcBorders>
              <w:top w:val="nil"/>
              <w:left w:val="nil"/>
              <w:bottom w:val="single" w:sz="4" w:space="0" w:color="000000"/>
              <w:right w:val="single" w:sz="4" w:space="0" w:color="000000"/>
            </w:tcBorders>
            <w:shd w:val="clear" w:color="auto" w:fill="auto"/>
            <w:vAlign w:val="center"/>
            <w:hideMark/>
          </w:tcPr>
          <w:p w14:paraId="380B5BDB" w14:textId="77777777" w:rsidR="00175AA2" w:rsidRPr="001E5747" w:rsidRDefault="00175AA2" w:rsidP="00A0644E">
            <w:pPr>
              <w:jc w:val="center"/>
              <w:rPr>
                <w:rFonts w:ascii="Calibri" w:hAnsi="Calibri" w:cs="Calibri"/>
                <w:sz w:val="16"/>
                <w:szCs w:val="16"/>
                <w:lang w:val="en-GB"/>
              </w:rPr>
            </w:pPr>
            <w:r w:rsidRPr="001E5747">
              <w:rPr>
                <w:rFonts w:ascii="Calibri" w:hAnsi="Calibri" w:cs="Calibri"/>
                <w:sz w:val="16"/>
                <w:szCs w:val="16"/>
                <w:lang w:val="en-GB"/>
              </w:rPr>
              <w:t>MPMS report,</w:t>
            </w:r>
          </w:p>
          <w:p w14:paraId="26CFAEDC" w14:textId="77777777" w:rsidR="00175AA2" w:rsidRPr="001E5747" w:rsidRDefault="00175AA2" w:rsidP="00A0644E">
            <w:pPr>
              <w:jc w:val="center"/>
              <w:rPr>
                <w:rFonts w:ascii="Calibri" w:hAnsi="Calibri" w:cs="Calibri"/>
                <w:sz w:val="16"/>
                <w:szCs w:val="16"/>
                <w:lang w:val="en-GB"/>
              </w:rPr>
            </w:pPr>
            <w:r w:rsidRPr="001E5747">
              <w:rPr>
                <w:rFonts w:ascii="Calibri" w:hAnsi="Calibri" w:cs="Calibri"/>
                <w:sz w:val="16"/>
                <w:szCs w:val="16"/>
                <w:lang w:val="en-GB"/>
              </w:rPr>
              <w:t>Indicator 2.1.1</w:t>
            </w:r>
            <w:r w:rsidRPr="001E5747">
              <w:rPr>
                <w:rFonts w:ascii="Calibri" w:hAnsi="Calibri" w:cs="Calibri"/>
                <w:sz w:val="16"/>
                <w:szCs w:val="16"/>
                <w:lang w:val="en-GB"/>
              </w:rPr>
              <w:br/>
            </w:r>
          </w:p>
        </w:tc>
        <w:tc>
          <w:tcPr>
            <w:tcW w:w="1085" w:type="dxa"/>
            <w:tcBorders>
              <w:top w:val="nil"/>
              <w:left w:val="nil"/>
              <w:bottom w:val="single" w:sz="4" w:space="0" w:color="000000"/>
              <w:right w:val="single" w:sz="8" w:space="0" w:color="auto"/>
            </w:tcBorders>
            <w:shd w:val="clear" w:color="auto" w:fill="auto"/>
            <w:vAlign w:val="bottom"/>
            <w:hideMark/>
          </w:tcPr>
          <w:p w14:paraId="087400A5" w14:textId="77777777" w:rsidR="00175AA2" w:rsidRPr="001E5747" w:rsidRDefault="00175AA2" w:rsidP="00A0644E">
            <w:pPr>
              <w:rPr>
                <w:rFonts w:ascii="Calibri" w:hAnsi="Calibri" w:cs="Calibri"/>
                <w:color w:val="000000"/>
                <w:sz w:val="16"/>
                <w:szCs w:val="16"/>
                <w:lang w:val="en-GB"/>
              </w:rPr>
            </w:pPr>
          </w:p>
        </w:tc>
      </w:tr>
      <w:tr w:rsidR="00175AA2" w:rsidRPr="001E5747" w14:paraId="60245FF1" w14:textId="77777777" w:rsidTr="00A0644E">
        <w:trPr>
          <w:trHeight w:val="1500"/>
        </w:trPr>
        <w:tc>
          <w:tcPr>
            <w:tcW w:w="648" w:type="dxa"/>
            <w:tcBorders>
              <w:top w:val="nil"/>
              <w:left w:val="single" w:sz="8" w:space="0" w:color="auto"/>
              <w:bottom w:val="single" w:sz="8" w:space="0" w:color="000000"/>
              <w:right w:val="single" w:sz="8" w:space="0" w:color="auto"/>
            </w:tcBorders>
            <w:shd w:val="clear" w:color="000000" w:fill="8EA9DB"/>
            <w:noWrap/>
            <w:vAlign w:val="center"/>
            <w:hideMark/>
          </w:tcPr>
          <w:p w14:paraId="5005505E" w14:textId="77777777" w:rsidR="00175AA2" w:rsidRPr="001E5747" w:rsidRDefault="00175AA2" w:rsidP="00A0644E">
            <w:pPr>
              <w:jc w:val="center"/>
              <w:rPr>
                <w:rFonts w:ascii="Calibri" w:hAnsi="Calibri" w:cs="Calibri"/>
                <w:b/>
                <w:bCs/>
                <w:color w:val="000000"/>
                <w:sz w:val="16"/>
                <w:szCs w:val="16"/>
                <w:lang w:val="en-GB"/>
              </w:rPr>
            </w:pPr>
            <w:r w:rsidRPr="001E5747">
              <w:rPr>
                <w:rFonts w:ascii="Calibri" w:hAnsi="Calibri" w:cs="Calibri"/>
                <w:b/>
                <w:bCs/>
                <w:color w:val="000000"/>
                <w:sz w:val="16"/>
                <w:szCs w:val="16"/>
                <w:lang w:val="en-GB"/>
              </w:rPr>
              <w:t>10</w:t>
            </w:r>
          </w:p>
        </w:tc>
        <w:tc>
          <w:tcPr>
            <w:tcW w:w="3089" w:type="dxa"/>
            <w:tcBorders>
              <w:top w:val="nil"/>
              <w:left w:val="nil"/>
              <w:bottom w:val="single" w:sz="4" w:space="0" w:color="000000"/>
              <w:right w:val="single" w:sz="4" w:space="0" w:color="000000"/>
            </w:tcBorders>
            <w:shd w:val="clear" w:color="000000" w:fill="FFFFFF"/>
            <w:vAlign w:val="center"/>
            <w:hideMark/>
          </w:tcPr>
          <w:p w14:paraId="76E8F725"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Meeting the criteria of the official website of the municipality</w:t>
            </w:r>
          </w:p>
        </w:tc>
        <w:tc>
          <w:tcPr>
            <w:tcW w:w="2546" w:type="dxa"/>
            <w:tcBorders>
              <w:top w:val="nil"/>
              <w:left w:val="nil"/>
              <w:bottom w:val="single" w:sz="4" w:space="0" w:color="000000"/>
              <w:right w:val="single" w:sz="4" w:space="0" w:color="000000"/>
            </w:tcBorders>
            <w:shd w:val="clear" w:color="000000" w:fill="FFFFFF"/>
            <w:vAlign w:val="center"/>
            <w:hideMark/>
          </w:tcPr>
          <w:p w14:paraId="625E2DD7"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 xml:space="preserve">• 0 points if the </w:t>
            </w:r>
            <w:r w:rsidRPr="001E5747">
              <w:rPr>
                <w:rFonts w:ascii="Calibri" w:hAnsi="Calibri" w:cs="Calibri"/>
                <w:color w:val="000000"/>
                <w:sz w:val="16"/>
                <w:szCs w:val="16"/>
                <w:lang w:val="en-GB"/>
              </w:rPr>
              <w:t>result</w:t>
            </w:r>
            <w:r w:rsidRPr="001E5747">
              <w:rPr>
                <w:rFonts w:ascii="Calibri" w:hAnsi="Calibri" w:cs="Calibri"/>
                <w:sz w:val="16"/>
                <w:szCs w:val="16"/>
                <w:lang w:val="en-GB"/>
              </w:rPr>
              <w:t xml:space="preserve"> in MPMS is up to 39.99% </w:t>
            </w:r>
          </w:p>
          <w:p w14:paraId="5211846B"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 xml:space="preserve">• 1 point if the </w:t>
            </w:r>
            <w:r w:rsidRPr="001E5747">
              <w:rPr>
                <w:rFonts w:ascii="Calibri" w:hAnsi="Calibri" w:cs="Calibri"/>
                <w:color w:val="000000"/>
                <w:sz w:val="16"/>
                <w:szCs w:val="16"/>
                <w:lang w:val="en-GB"/>
              </w:rPr>
              <w:t>result</w:t>
            </w:r>
            <w:r w:rsidRPr="001E5747">
              <w:rPr>
                <w:rFonts w:ascii="Calibri" w:hAnsi="Calibri" w:cs="Calibri"/>
                <w:sz w:val="16"/>
                <w:szCs w:val="16"/>
                <w:lang w:val="en-GB"/>
              </w:rPr>
              <w:t xml:space="preserve"> in MPMS is 40% - 59.99%, </w:t>
            </w:r>
          </w:p>
          <w:p w14:paraId="0511EB9E"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 xml:space="preserve">• 2 points if the </w:t>
            </w:r>
            <w:r w:rsidRPr="001E5747">
              <w:rPr>
                <w:rFonts w:ascii="Calibri" w:hAnsi="Calibri" w:cs="Calibri"/>
                <w:color w:val="000000"/>
                <w:sz w:val="16"/>
                <w:szCs w:val="16"/>
                <w:lang w:val="en-GB"/>
              </w:rPr>
              <w:t>result</w:t>
            </w:r>
            <w:r w:rsidRPr="001E5747">
              <w:rPr>
                <w:rFonts w:ascii="Calibri" w:hAnsi="Calibri" w:cs="Calibri"/>
                <w:sz w:val="16"/>
                <w:szCs w:val="16"/>
                <w:lang w:val="en-GB"/>
              </w:rPr>
              <w:t xml:space="preserve"> in MPMS is 60% - 89.99%, </w:t>
            </w:r>
          </w:p>
          <w:p w14:paraId="1B88D1B6"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 4 points if the</w:t>
            </w:r>
            <w:r w:rsidRPr="001E5747">
              <w:rPr>
                <w:rFonts w:ascii="Calibri" w:hAnsi="Calibri" w:cs="Calibri"/>
                <w:color w:val="000000"/>
                <w:sz w:val="16"/>
                <w:szCs w:val="16"/>
                <w:lang w:val="en-GB"/>
              </w:rPr>
              <w:t xml:space="preserve"> result</w:t>
            </w:r>
            <w:r w:rsidRPr="001E5747">
              <w:rPr>
                <w:rFonts w:ascii="Calibri" w:hAnsi="Calibri" w:cs="Calibri"/>
                <w:sz w:val="16"/>
                <w:szCs w:val="16"/>
                <w:lang w:val="en-GB"/>
              </w:rPr>
              <w:t xml:space="preserve"> in MPMS is higher or equal to 90%.</w:t>
            </w:r>
          </w:p>
        </w:tc>
        <w:tc>
          <w:tcPr>
            <w:tcW w:w="658" w:type="dxa"/>
            <w:tcBorders>
              <w:top w:val="nil"/>
              <w:left w:val="single" w:sz="4" w:space="0" w:color="000000"/>
              <w:bottom w:val="single" w:sz="8" w:space="0" w:color="000000"/>
              <w:right w:val="single" w:sz="4" w:space="0" w:color="000000"/>
            </w:tcBorders>
            <w:shd w:val="clear" w:color="000000" w:fill="FFFFFF"/>
            <w:vAlign w:val="center"/>
            <w:hideMark/>
          </w:tcPr>
          <w:p w14:paraId="6AE1E744"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0.00%</w:t>
            </w:r>
          </w:p>
        </w:tc>
        <w:tc>
          <w:tcPr>
            <w:tcW w:w="574" w:type="dxa"/>
            <w:tcBorders>
              <w:top w:val="nil"/>
              <w:left w:val="single" w:sz="4" w:space="0" w:color="000000"/>
              <w:bottom w:val="single" w:sz="8" w:space="0" w:color="000000"/>
              <w:right w:val="single" w:sz="4" w:space="0" w:color="000000"/>
            </w:tcBorders>
            <w:shd w:val="clear" w:color="000000" w:fill="FFFFFF"/>
            <w:noWrap/>
            <w:vAlign w:val="center"/>
            <w:hideMark/>
          </w:tcPr>
          <w:p w14:paraId="777205B9"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4</w:t>
            </w:r>
          </w:p>
        </w:tc>
        <w:tc>
          <w:tcPr>
            <w:tcW w:w="1004" w:type="dxa"/>
            <w:tcBorders>
              <w:top w:val="nil"/>
              <w:left w:val="single" w:sz="4" w:space="0" w:color="000000"/>
              <w:bottom w:val="single" w:sz="8" w:space="0" w:color="000000"/>
              <w:right w:val="single" w:sz="4" w:space="0" w:color="000000"/>
            </w:tcBorders>
            <w:shd w:val="clear" w:color="000000" w:fill="FFFFFF"/>
            <w:noWrap/>
            <w:vAlign w:val="center"/>
            <w:hideMark/>
          </w:tcPr>
          <w:p w14:paraId="6C528B4E"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w:t>
            </w:r>
          </w:p>
        </w:tc>
        <w:tc>
          <w:tcPr>
            <w:tcW w:w="1562" w:type="dxa"/>
            <w:tcBorders>
              <w:top w:val="nil"/>
              <w:left w:val="nil"/>
              <w:bottom w:val="single" w:sz="4" w:space="0" w:color="000000"/>
              <w:right w:val="single" w:sz="4" w:space="0" w:color="000000"/>
            </w:tcBorders>
            <w:shd w:val="clear" w:color="000000" w:fill="FFFFFF"/>
            <w:vAlign w:val="center"/>
            <w:hideMark/>
          </w:tcPr>
          <w:p w14:paraId="35B72E57" w14:textId="77777777" w:rsidR="00175AA2" w:rsidRPr="001E5747" w:rsidRDefault="00175AA2" w:rsidP="00A0644E">
            <w:pPr>
              <w:jc w:val="center"/>
              <w:rPr>
                <w:rFonts w:ascii="Calibri" w:hAnsi="Calibri" w:cs="Calibri"/>
                <w:sz w:val="16"/>
                <w:szCs w:val="16"/>
                <w:lang w:val="en-GB"/>
              </w:rPr>
            </w:pPr>
            <w:r w:rsidRPr="001E5747">
              <w:rPr>
                <w:rFonts w:ascii="Calibri" w:hAnsi="Calibri" w:cs="Calibri"/>
                <w:sz w:val="16"/>
                <w:szCs w:val="16"/>
                <w:lang w:val="en-GB"/>
              </w:rPr>
              <w:t>MPMS report,</w:t>
            </w:r>
          </w:p>
          <w:p w14:paraId="4F7994F3" w14:textId="77777777" w:rsidR="00175AA2" w:rsidRPr="001E5747" w:rsidRDefault="00175AA2" w:rsidP="00A0644E">
            <w:pPr>
              <w:jc w:val="center"/>
              <w:rPr>
                <w:rFonts w:ascii="Calibri" w:hAnsi="Calibri" w:cs="Calibri"/>
                <w:sz w:val="16"/>
                <w:szCs w:val="16"/>
                <w:lang w:val="en-GB"/>
              </w:rPr>
            </w:pPr>
            <w:r w:rsidRPr="001E5747">
              <w:rPr>
                <w:rFonts w:ascii="Calibri" w:hAnsi="Calibri" w:cs="Calibri"/>
                <w:sz w:val="16"/>
                <w:szCs w:val="16"/>
                <w:lang w:val="en-GB"/>
              </w:rPr>
              <w:t>Indicator 2.1.3</w:t>
            </w:r>
            <w:r w:rsidRPr="001E5747">
              <w:rPr>
                <w:rFonts w:ascii="Calibri" w:hAnsi="Calibri" w:cs="Calibri"/>
                <w:sz w:val="16"/>
                <w:szCs w:val="16"/>
                <w:lang w:val="en-GB"/>
              </w:rPr>
              <w:br/>
            </w:r>
          </w:p>
        </w:tc>
        <w:tc>
          <w:tcPr>
            <w:tcW w:w="1085" w:type="dxa"/>
            <w:tcBorders>
              <w:top w:val="nil"/>
              <w:left w:val="nil"/>
              <w:bottom w:val="single" w:sz="4" w:space="0" w:color="000000"/>
              <w:right w:val="single" w:sz="8" w:space="0" w:color="auto"/>
            </w:tcBorders>
            <w:shd w:val="clear" w:color="000000" w:fill="FFFFFF"/>
            <w:noWrap/>
            <w:vAlign w:val="bottom"/>
            <w:hideMark/>
          </w:tcPr>
          <w:p w14:paraId="065403D9" w14:textId="77777777" w:rsidR="00175AA2" w:rsidRPr="001E5747" w:rsidRDefault="00175AA2" w:rsidP="00A0644E">
            <w:pPr>
              <w:rPr>
                <w:rFonts w:ascii="Calibri" w:hAnsi="Calibri" w:cs="Calibri"/>
                <w:color w:val="000000"/>
                <w:sz w:val="16"/>
                <w:szCs w:val="16"/>
                <w:lang w:val="en-GB"/>
              </w:rPr>
            </w:pPr>
          </w:p>
        </w:tc>
      </w:tr>
      <w:tr w:rsidR="00175AA2" w:rsidRPr="001E5747" w14:paraId="6CB0CC9A" w14:textId="77777777" w:rsidTr="00A0644E">
        <w:trPr>
          <w:trHeight w:val="1200"/>
        </w:trPr>
        <w:tc>
          <w:tcPr>
            <w:tcW w:w="648" w:type="dxa"/>
            <w:tcBorders>
              <w:top w:val="nil"/>
              <w:left w:val="single" w:sz="8" w:space="0" w:color="auto"/>
              <w:bottom w:val="single" w:sz="8" w:space="0" w:color="000000"/>
              <w:right w:val="single" w:sz="8" w:space="0" w:color="auto"/>
            </w:tcBorders>
            <w:shd w:val="clear" w:color="000000" w:fill="8EA9DB"/>
            <w:noWrap/>
            <w:vAlign w:val="center"/>
            <w:hideMark/>
          </w:tcPr>
          <w:p w14:paraId="6E817EA8" w14:textId="77777777" w:rsidR="00175AA2" w:rsidRPr="001E5747" w:rsidRDefault="00175AA2" w:rsidP="00A0644E">
            <w:pPr>
              <w:jc w:val="center"/>
              <w:rPr>
                <w:rFonts w:ascii="Calibri" w:hAnsi="Calibri" w:cs="Calibri"/>
                <w:b/>
                <w:bCs/>
                <w:color w:val="000000"/>
                <w:sz w:val="16"/>
                <w:szCs w:val="16"/>
                <w:lang w:val="en-GB"/>
              </w:rPr>
            </w:pPr>
            <w:r w:rsidRPr="001E5747">
              <w:rPr>
                <w:rFonts w:ascii="Calibri" w:hAnsi="Calibri" w:cs="Calibri"/>
                <w:b/>
                <w:bCs/>
                <w:color w:val="000000"/>
                <w:sz w:val="16"/>
                <w:szCs w:val="16"/>
                <w:lang w:val="en-GB"/>
              </w:rPr>
              <w:t>11</w:t>
            </w:r>
          </w:p>
        </w:tc>
        <w:tc>
          <w:tcPr>
            <w:tcW w:w="3089" w:type="dxa"/>
            <w:tcBorders>
              <w:top w:val="nil"/>
              <w:left w:val="nil"/>
              <w:bottom w:val="single" w:sz="4" w:space="0" w:color="000000"/>
              <w:right w:val="single" w:sz="4" w:space="0" w:color="000000"/>
            </w:tcBorders>
            <w:shd w:val="clear" w:color="auto" w:fill="auto"/>
            <w:vAlign w:val="center"/>
            <w:hideMark/>
          </w:tcPr>
          <w:p w14:paraId="78E4F8A0"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Publication of public procurement documents of the municipality</w:t>
            </w:r>
          </w:p>
        </w:tc>
        <w:tc>
          <w:tcPr>
            <w:tcW w:w="2546" w:type="dxa"/>
            <w:tcBorders>
              <w:top w:val="nil"/>
              <w:left w:val="nil"/>
              <w:bottom w:val="single" w:sz="4" w:space="0" w:color="000000"/>
              <w:right w:val="single" w:sz="4" w:space="0" w:color="000000"/>
            </w:tcBorders>
            <w:shd w:val="clear" w:color="auto" w:fill="auto"/>
            <w:vAlign w:val="center"/>
            <w:hideMark/>
          </w:tcPr>
          <w:p w14:paraId="03230D3C"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 0 points if the</w:t>
            </w:r>
            <w:r w:rsidRPr="001E5747">
              <w:rPr>
                <w:rFonts w:ascii="Calibri" w:hAnsi="Calibri" w:cs="Calibri"/>
                <w:color w:val="000000"/>
                <w:sz w:val="16"/>
                <w:szCs w:val="16"/>
                <w:lang w:val="en-GB"/>
              </w:rPr>
              <w:t xml:space="preserve"> result</w:t>
            </w:r>
            <w:r w:rsidRPr="001E5747">
              <w:rPr>
                <w:rFonts w:ascii="Calibri" w:hAnsi="Calibri" w:cs="Calibri"/>
                <w:sz w:val="16"/>
                <w:szCs w:val="16"/>
                <w:lang w:val="en-GB"/>
              </w:rPr>
              <w:t xml:space="preserve"> in MPMS is up to 49.99%, </w:t>
            </w:r>
          </w:p>
          <w:p w14:paraId="72BF7B0E"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 1 point if the</w:t>
            </w:r>
            <w:r w:rsidRPr="001E5747">
              <w:rPr>
                <w:rFonts w:ascii="Calibri" w:hAnsi="Calibri" w:cs="Calibri"/>
                <w:color w:val="000000"/>
                <w:sz w:val="16"/>
                <w:szCs w:val="16"/>
                <w:lang w:val="en-GB"/>
              </w:rPr>
              <w:t xml:space="preserve"> result</w:t>
            </w:r>
            <w:r w:rsidRPr="001E5747">
              <w:rPr>
                <w:rFonts w:ascii="Calibri" w:hAnsi="Calibri" w:cs="Calibri"/>
                <w:sz w:val="16"/>
                <w:szCs w:val="16"/>
                <w:lang w:val="en-GB"/>
              </w:rPr>
              <w:t xml:space="preserve"> in MPMS is 50% - 89.99%, </w:t>
            </w:r>
          </w:p>
          <w:p w14:paraId="36E0B423"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 xml:space="preserve">• 2 points if the </w:t>
            </w:r>
            <w:r w:rsidRPr="001E5747">
              <w:rPr>
                <w:rFonts w:ascii="Calibri" w:hAnsi="Calibri" w:cs="Calibri"/>
                <w:color w:val="000000"/>
                <w:sz w:val="16"/>
                <w:szCs w:val="16"/>
                <w:lang w:val="en-GB"/>
              </w:rPr>
              <w:t>result</w:t>
            </w:r>
            <w:r w:rsidRPr="001E5747">
              <w:rPr>
                <w:rFonts w:ascii="Calibri" w:hAnsi="Calibri" w:cs="Calibri"/>
                <w:sz w:val="16"/>
                <w:szCs w:val="16"/>
                <w:lang w:val="en-GB"/>
              </w:rPr>
              <w:t xml:space="preserve"> in MPMS is equal to or higher than 90%</w:t>
            </w:r>
          </w:p>
        </w:tc>
        <w:tc>
          <w:tcPr>
            <w:tcW w:w="658" w:type="dxa"/>
            <w:tcBorders>
              <w:top w:val="nil"/>
              <w:left w:val="single" w:sz="4" w:space="0" w:color="000000"/>
              <w:bottom w:val="single" w:sz="8" w:space="0" w:color="000000"/>
              <w:right w:val="single" w:sz="4" w:space="0" w:color="000000"/>
            </w:tcBorders>
            <w:shd w:val="clear" w:color="auto" w:fill="auto"/>
            <w:vAlign w:val="center"/>
            <w:hideMark/>
          </w:tcPr>
          <w:p w14:paraId="656B6A6B"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0.00%</w:t>
            </w:r>
          </w:p>
        </w:tc>
        <w:tc>
          <w:tcPr>
            <w:tcW w:w="574" w:type="dxa"/>
            <w:tcBorders>
              <w:top w:val="nil"/>
              <w:left w:val="single" w:sz="4" w:space="0" w:color="000000"/>
              <w:bottom w:val="single" w:sz="8" w:space="0" w:color="000000"/>
              <w:right w:val="single" w:sz="4" w:space="0" w:color="000000"/>
            </w:tcBorders>
            <w:shd w:val="clear" w:color="auto" w:fill="auto"/>
            <w:noWrap/>
            <w:vAlign w:val="center"/>
            <w:hideMark/>
          </w:tcPr>
          <w:p w14:paraId="64DE848D"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2</w:t>
            </w:r>
          </w:p>
        </w:tc>
        <w:tc>
          <w:tcPr>
            <w:tcW w:w="1004" w:type="dxa"/>
            <w:tcBorders>
              <w:top w:val="nil"/>
              <w:left w:val="single" w:sz="4" w:space="0" w:color="000000"/>
              <w:bottom w:val="single" w:sz="8" w:space="0" w:color="000000"/>
              <w:right w:val="single" w:sz="4" w:space="0" w:color="000000"/>
            </w:tcBorders>
            <w:shd w:val="clear" w:color="auto" w:fill="auto"/>
            <w:noWrap/>
            <w:vAlign w:val="center"/>
            <w:hideMark/>
          </w:tcPr>
          <w:p w14:paraId="479014D3"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w:t>
            </w:r>
          </w:p>
        </w:tc>
        <w:tc>
          <w:tcPr>
            <w:tcW w:w="1562" w:type="dxa"/>
            <w:tcBorders>
              <w:top w:val="nil"/>
              <w:left w:val="nil"/>
              <w:bottom w:val="single" w:sz="4" w:space="0" w:color="000000"/>
              <w:right w:val="single" w:sz="4" w:space="0" w:color="000000"/>
            </w:tcBorders>
            <w:shd w:val="clear" w:color="auto" w:fill="auto"/>
            <w:vAlign w:val="center"/>
            <w:hideMark/>
          </w:tcPr>
          <w:p w14:paraId="7D7BC94D" w14:textId="77777777" w:rsidR="00175AA2" w:rsidRPr="001E5747" w:rsidRDefault="00175AA2" w:rsidP="00A0644E">
            <w:pPr>
              <w:jc w:val="center"/>
              <w:rPr>
                <w:rFonts w:ascii="Calibri" w:hAnsi="Calibri" w:cs="Calibri"/>
                <w:sz w:val="16"/>
                <w:szCs w:val="16"/>
                <w:lang w:val="en-GB"/>
              </w:rPr>
            </w:pPr>
            <w:r w:rsidRPr="001E5747">
              <w:rPr>
                <w:rFonts w:ascii="Calibri" w:hAnsi="Calibri" w:cs="Calibri"/>
                <w:sz w:val="16"/>
                <w:szCs w:val="16"/>
                <w:lang w:val="en-GB"/>
              </w:rPr>
              <w:t>MPMS report,</w:t>
            </w:r>
          </w:p>
          <w:p w14:paraId="10E68955" w14:textId="77777777" w:rsidR="00175AA2" w:rsidRPr="001E5747" w:rsidRDefault="00175AA2" w:rsidP="00A0644E">
            <w:pPr>
              <w:jc w:val="center"/>
              <w:rPr>
                <w:rFonts w:ascii="Calibri" w:hAnsi="Calibri" w:cs="Calibri"/>
                <w:sz w:val="16"/>
                <w:szCs w:val="16"/>
                <w:lang w:val="en-GB"/>
              </w:rPr>
            </w:pPr>
            <w:r w:rsidRPr="001E5747">
              <w:rPr>
                <w:rFonts w:ascii="Calibri" w:hAnsi="Calibri" w:cs="Calibri"/>
                <w:sz w:val="16"/>
                <w:szCs w:val="16"/>
                <w:lang w:val="en-GB"/>
              </w:rPr>
              <w:t>Indicator 2.2.2</w:t>
            </w:r>
          </w:p>
        </w:tc>
        <w:tc>
          <w:tcPr>
            <w:tcW w:w="1085" w:type="dxa"/>
            <w:tcBorders>
              <w:top w:val="nil"/>
              <w:left w:val="nil"/>
              <w:bottom w:val="single" w:sz="4" w:space="0" w:color="000000"/>
              <w:right w:val="single" w:sz="8" w:space="0" w:color="auto"/>
            </w:tcBorders>
            <w:shd w:val="clear" w:color="auto" w:fill="auto"/>
            <w:vAlign w:val="bottom"/>
            <w:hideMark/>
          </w:tcPr>
          <w:p w14:paraId="772F4D2E" w14:textId="77777777" w:rsidR="00175AA2" w:rsidRPr="001E5747" w:rsidRDefault="00175AA2" w:rsidP="00A0644E">
            <w:pPr>
              <w:rPr>
                <w:rFonts w:ascii="Calibri" w:hAnsi="Calibri" w:cs="Calibri"/>
                <w:color w:val="000000"/>
                <w:sz w:val="16"/>
                <w:szCs w:val="16"/>
                <w:lang w:val="en-GB"/>
              </w:rPr>
            </w:pPr>
          </w:p>
        </w:tc>
      </w:tr>
      <w:tr w:rsidR="00175AA2" w:rsidRPr="001E5747" w14:paraId="5224AF62" w14:textId="77777777" w:rsidTr="00A0644E">
        <w:trPr>
          <w:trHeight w:val="1500"/>
        </w:trPr>
        <w:tc>
          <w:tcPr>
            <w:tcW w:w="648" w:type="dxa"/>
            <w:tcBorders>
              <w:top w:val="nil"/>
              <w:left w:val="single" w:sz="8" w:space="0" w:color="auto"/>
              <w:bottom w:val="single" w:sz="8" w:space="0" w:color="000000"/>
              <w:right w:val="single" w:sz="8" w:space="0" w:color="auto"/>
            </w:tcBorders>
            <w:shd w:val="clear" w:color="000000" w:fill="8EA9DB"/>
            <w:noWrap/>
            <w:vAlign w:val="center"/>
            <w:hideMark/>
          </w:tcPr>
          <w:p w14:paraId="55A6298E" w14:textId="77777777" w:rsidR="00175AA2" w:rsidRPr="001E5747" w:rsidRDefault="00175AA2" w:rsidP="00A0644E">
            <w:pPr>
              <w:jc w:val="center"/>
              <w:rPr>
                <w:rFonts w:ascii="Calibri" w:hAnsi="Calibri" w:cs="Calibri"/>
                <w:b/>
                <w:bCs/>
                <w:color w:val="000000"/>
                <w:sz w:val="16"/>
                <w:szCs w:val="16"/>
                <w:lang w:val="en-GB"/>
              </w:rPr>
            </w:pPr>
            <w:r w:rsidRPr="001E5747">
              <w:rPr>
                <w:rFonts w:ascii="Calibri" w:hAnsi="Calibri" w:cs="Calibri"/>
                <w:b/>
                <w:bCs/>
                <w:color w:val="000000"/>
                <w:sz w:val="16"/>
                <w:szCs w:val="16"/>
                <w:lang w:val="en-GB"/>
              </w:rPr>
              <w:t>12</w:t>
            </w:r>
          </w:p>
        </w:tc>
        <w:tc>
          <w:tcPr>
            <w:tcW w:w="3089" w:type="dxa"/>
            <w:tcBorders>
              <w:top w:val="nil"/>
              <w:left w:val="nil"/>
              <w:bottom w:val="single" w:sz="4" w:space="0" w:color="000000"/>
              <w:right w:val="single" w:sz="4" w:space="0" w:color="000000"/>
            </w:tcBorders>
            <w:shd w:val="clear" w:color="auto" w:fill="auto"/>
            <w:vAlign w:val="center"/>
            <w:hideMark/>
          </w:tcPr>
          <w:p w14:paraId="6294FEEE"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Publication of reports of public consultation processes</w:t>
            </w:r>
            <w:r w:rsidRPr="001E5747" w:rsidDel="00E50D9B">
              <w:rPr>
                <w:rFonts w:asciiTheme="majorHAnsi" w:eastAsia="Calibri" w:hAnsiTheme="majorHAnsi" w:cstheme="majorHAnsi"/>
                <w:sz w:val="19"/>
                <w:szCs w:val="19"/>
                <w:lang w:val="en-GB"/>
              </w:rPr>
              <w:t xml:space="preserve"> </w:t>
            </w:r>
          </w:p>
        </w:tc>
        <w:tc>
          <w:tcPr>
            <w:tcW w:w="2546" w:type="dxa"/>
            <w:tcBorders>
              <w:top w:val="nil"/>
              <w:left w:val="nil"/>
              <w:bottom w:val="single" w:sz="4" w:space="0" w:color="000000"/>
              <w:right w:val="single" w:sz="4" w:space="0" w:color="000000"/>
            </w:tcBorders>
            <w:shd w:val="clear" w:color="auto" w:fill="auto"/>
            <w:vAlign w:val="center"/>
            <w:hideMark/>
          </w:tcPr>
          <w:p w14:paraId="0904E235"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 xml:space="preserve">• 0 points if the </w:t>
            </w:r>
            <w:r w:rsidRPr="001E5747">
              <w:rPr>
                <w:rFonts w:ascii="Calibri" w:hAnsi="Calibri" w:cs="Calibri"/>
                <w:color w:val="000000"/>
                <w:sz w:val="16"/>
                <w:szCs w:val="16"/>
                <w:lang w:val="en-GB"/>
              </w:rPr>
              <w:t>result</w:t>
            </w:r>
            <w:r w:rsidRPr="001E5747">
              <w:rPr>
                <w:rFonts w:ascii="Calibri" w:hAnsi="Calibri" w:cs="Calibri"/>
                <w:sz w:val="16"/>
                <w:szCs w:val="16"/>
                <w:lang w:val="en-GB"/>
              </w:rPr>
              <w:t xml:space="preserve"> in MPMS is up to 39.99%, </w:t>
            </w:r>
          </w:p>
          <w:p w14:paraId="1B66B464"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 xml:space="preserve">• 1 point if the </w:t>
            </w:r>
            <w:r w:rsidRPr="001E5747">
              <w:rPr>
                <w:rFonts w:ascii="Calibri" w:hAnsi="Calibri" w:cs="Calibri"/>
                <w:color w:val="000000"/>
                <w:sz w:val="16"/>
                <w:szCs w:val="16"/>
                <w:lang w:val="en-GB"/>
              </w:rPr>
              <w:t>result</w:t>
            </w:r>
            <w:r w:rsidRPr="001E5747">
              <w:rPr>
                <w:rFonts w:ascii="Calibri" w:hAnsi="Calibri" w:cs="Calibri"/>
                <w:sz w:val="16"/>
                <w:szCs w:val="16"/>
                <w:lang w:val="en-GB"/>
              </w:rPr>
              <w:t xml:space="preserve"> in MPMS is 40% - 59.99%, </w:t>
            </w:r>
          </w:p>
          <w:p w14:paraId="4E232F74"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 xml:space="preserve">• 2 points if the </w:t>
            </w:r>
            <w:r w:rsidRPr="001E5747">
              <w:rPr>
                <w:rFonts w:ascii="Calibri" w:hAnsi="Calibri" w:cs="Calibri"/>
                <w:color w:val="000000"/>
                <w:sz w:val="16"/>
                <w:szCs w:val="16"/>
                <w:lang w:val="en-GB"/>
              </w:rPr>
              <w:t>result</w:t>
            </w:r>
            <w:r w:rsidRPr="001E5747">
              <w:rPr>
                <w:rFonts w:ascii="Calibri" w:hAnsi="Calibri" w:cs="Calibri"/>
                <w:sz w:val="16"/>
                <w:szCs w:val="16"/>
                <w:lang w:val="en-GB"/>
              </w:rPr>
              <w:t xml:space="preserve"> in MPMS is 60% - 89.99%, </w:t>
            </w:r>
          </w:p>
          <w:p w14:paraId="36E047CA"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 4 points if the</w:t>
            </w:r>
            <w:r w:rsidRPr="001E5747">
              <w:rPr>
                <w:rFonts w:ascii="Calibri" w:hAnsi="Calibri" w:cs="Calibri"/>
                <w:color w:val="000000"/>
                <w:sz w:val="16"/>
                <w:szCs w:val="16"/>
                <w:lang w:val="en-GB"/>
              </w:rPr>
              <w:t xml:space="preserve"> result</w:t>
            </w:r>
            <w:r w:rsidRPr="001E5747">
              <w:rPr>
                <w:rFonts w:ascii="Calibri" w:hAnsi="Calibri" w:cs="Calibri"/>
                <w:sz w:val="16"/>
                <w:szCs w:val="16"/>
                <w:lang w:val="en-GB"/>
              </w:rPr>
              <w:t xml:space="preserve"> in MPMS is equal to or higher than 90%.</w:t>
            </w:r>
          </w:p>
        </w:tc>
        <w:tc>
          <w:tcPr>
            <w:tcW w:w="658" w:type="dxa"/>
            <w:tcBorders>
              <w:top w:val="nil"/>
              <w:left w:val="single" w:sz="4" w:space="0" w:color="000000"/>
              <w:bottom w:val="single" w:sz="8" w:space="0" w:color="000000"/>
              <w:right w:val="single" w:sz="4" w:space="0" w:color="000000"/>
            </w:tcBorders>
            <w:shd w:val="clear" w:color="auto" w:fill="auto"/>
            <w:vAlign w:val="center"/>
            <w:hideMark/>
          </w:tcPr>
          <w:p w14:paraId="552ED145"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0.00%</w:t>
            </w:r>
          </w:p>
        </w:tc>
        <w:tc>
          <w:tcPr>
            <w:tcW w:w="574" w:type="dxa"/>
            <w:tcBorders>
              <w:top w:val="nil"/>
              <w:left w:val="single" w:sz="4" w:space="0" w:color="000000"/>
              <w:bottom w:val="single" w:sz="8" w:space="0" w:color="000000"/>
              <w:right w:val="single" w:sz="4" w:space="0" w:color="000000"/>
            </w:tcBorders>
            <w:shd w:val="clear" w:color="auto" w:fill="auto"/>
            <w:noWrap/>
            <w:vAlign w:val="center"/>
            <w:hideMark/>
          </w:tcPr>
          <w:p w14:paraId="001F2973"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4</w:t>
            </w:r>
          </w:p>
        </w:tc>
        <w:tc>
          <w:tcPr>
            <w:tcW w:w="1004" w:type="dxa"/>
            <w:tcBorders>
              <w:top w:val="nil"/>
              <w:left w:val="single" w:sz="4" w:space="0" w:color="000000"/>
              <w:bottom w:val="single" w:sz="8" w:space="0" w:color="000000"/>
              <w:right w:val="single" w:sz="4" w:space="0" w:color="000000"/>
            </w:tcBorders>
            <w:shd w:val="clear" w:color="auto" w:fill="auto"/>
            <w:noWrap/>
            <w:vAlign w:val="center"/>
            <w:hideMark/>
          </w:tcPr>
          <w:p w14:paraId="4685CB09"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w:t>
            </w:r>
          </w:p>
        </w:tc>
        <w:tc>
          <w:tcPr>
            <w:tcW w:w="1562" w:type="dxa"/>
            <w:tcBorders>
              <w:top w:val="nil"/>
              <w:left w:val="nil"/>
              <w:bottom w:val="single" w:sz="4" w:space="0" w:color="000000"/>
              <w:right w:val="single" w:sz="4" w:space="0" w:color="000000"/>
            </w:tcBorders>
            <w:shd w:val="clear" w:color="auto" w:fill="auto"/>
            <w:vAlign w:val="center"/>
            <w:hideMark/>
          </w:tcPr>
          <w:p w14:paraId="15CB0332" w14:textId="77777777" w:rsidR="00175AA2" w:rsidRPr="001E5747" w:rsidRDefault="00175AA2" w:rsidP="00A0644E">
            <w:pPr>
              <w:jc w:val="center"/>
              <w:rPr>
                <w:rFonts w:ascii="Calibri" w:hAnsi="Calibri" w:cs="Calibri"/>
                <w:sz w:val="16"/>
                <w:szCs w:val="16"/>
                <w:lang w:val="en-GB"/>
              </w:rPr>
            </w:pPr>
            <w:r w:rsidRPr="001E5747">
              <w:rPr>
                <w:rFonts w:ascii="Calibri" w:hAnsi="Calibri" w:cs="Calibri"/>
                <w:sz w:val="16"/>
                <w:szCs w:val="16"/>
                <w:lang w:val="en-GB"/>
              </w:rPr>
              <w:t>MPMS report,</w:t>
            </w:r>
          </w:p>
          <w:p w14:paraId="28465EBF" w14:textId="77777777" w:rsidR="00175AA2" w:rsidRPr="001E5747" w:rsidRDefault="00175AA2" w:rsidP="00A0644E">
            <w:pPr>
              <w:jc w:val="center"/>
              <w:rPr>
                <w:rFonts w:ascii="Calibri" w:hAnsi="Calibri" w:cs="Calibri"/>
                <w:sz w:val="16"/>
                <w:szCs w:val="16"/>
                <w:lang w:val="en-GB"/>
              </w:rPr>
            </w:pPr>
            <w:r w:rsidRPr="001E5747">
              <w:rPr>
                <w:rFonts w:ascii="Calibri" w:hAnsi="Calibri" w:cs="Calibri"/>
                <w:sz w:val="16"/>
                <w:szCs w:val="16"/>
                <w:lang w:val="en-GB"/>
              </w:rPr>
              <w:t>Indicator 3.1.5</w:t>
            </w:r>
          </w:p>
        </w:tc>
        <w:tc>
          <w:tcPr>
            <w:tcW w:w="1085" w:type="dxa"/>
            <w:tcBorders>
              <w:top w:val="nil"/>
              <w:left w:val="nil"/>
              <w:bottom w:val="single" w:sz="4" w:space="0" w:color="000000"/>
              <w:right w:val="single" w:sz="8" w:space="0" w:color="auto"/>
            </w:tcBorders>
            <w:shd w:val="clear" w:color="auto" w:fill="auto"/>
            <w:vAlign w:val="bottom"/>
            <w:hideMark/>
          </w:tcPr>
          <w:p w14:paraId="2EAD871A" w14:textId="77777777" w:rsidR="00175AA2" w:rsidRPr="001E5747" w:rsidRDefault="00175AA2" w:rsidP="00A0644E">
            <w:pPr>
              <w:rPr>
                <w:rFonts w:ascii="Calibri" w:hAnsi="Calibri" w:cs="Calibri"/>
                <w:color w:val="000000"/>
                <w:sz w:val="16"/>
                <w:szCs w:val="16"/>
                <w:lang w:val="en-GB"/>
              </w:rPr>
            </w:pPr>
          </w:p>
        </w:tc>
      </w:tr>
      <w:tr w:rsidR="00175AA2" w:rsidRPr="001E5747" w14:paraId="1E3D3C48" w14:textId="77777777" w:rsidTr="00A0644E">
        <w:trPr>
          <w:trHeight w:val="900"/>
        </w:trPr>
        <w:tc>
          <w:tcPr>
            <w:tcW w:w="648" w:type="dxa"/>
            <w:tcBorders>
              <w:top w:val="nil"/>
              <w:left w:val="single" w:sz="8" w:space="0" w:color="auto"/>
              <w:bottom w:val="single" w:sz="8" w:space="0" w:color="000000"/>
              <w:right w:val="single" w:sz="8" w:space="0" w:color="auto"/>
            </w:tcBorders>
            <w:shd w:val="clear" w:color="000000" w:fill="8EA9DB"/>
            <w:noWrap/>
            <w:vAlign w:val="center"/>
            <w:hideMark/>
          </w:tcPr>
          <w:p w14:paraId="6469329E" w14:textId="77777777" w:rsidR="00175AA2" w:rsidRPr="001E5747" w:rsidRDefault="00175AA2" w:rsidP="00A0644E">
            <w:pPr>
              <w:jc w:val="center"/>
              <w:rPr>
                <w:rFonts w:ascii="Calibri" w:hAnsi="Calibri" w:cs="Calibri"/>
                <w:b/>
                <w:bCs/>
                <w:color w:val="000000"/>
                <w:sz w:val="16"/>
                <w:szCs w:val="16"/>
                <w:lang w:val="en-GB"/>
              </w:rPr>
            </w:pPr>
            <w:r w:rsidRPr="001E5747">
              <w:rPr>
                <w:rFonts w:ascii="Calibri" w:hAnsi="Calibri" w:cs="Calibri"/>
                <w:b/>
                <w:bCs/>
                <w:color w:val="000000"/>
                <w:sz w:val="16"/>
                <w:szCs w:val="16"/>
                <w:lang w:val="en-GB"/>
              </w:rPr>
              <w:t>13</w:t>
            </w:r>
          </w:p>
        </w:tc>
        <w:tc>
          <w:tcPr>
            <w:tcW w:w="3089" w:type="dxa"/>
            <w:tcBorders>
              <w:top w:val="nil"/>
              <w:left w:val="nil"/>
              <w:bottom w:val="single" w:sz="4" w:space="0" w:color="000000"/>
              <w:right w:val="single" w:sz="4" w:space="0" w:color="000000"/>
            </w:tcBorders>
            <w:shd w:val="clear" w:color="000000" w:fill="FFFFFF"/>
            <w:vAlign w:val="center"/>
            <w:hideMark/>
          </w:tcPr>
          <w:p w14:paraId="32C7C671"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Reporting the annual Integrity Plan before the Municipal Assembly</w:t>
            </w:r>
          </w:p>
        </w:tc>
        <w:tc>
          <w:tcPr>
            <w:tcW w:w="2546" w:type="dxa"/>
            <w:tcBorders>
              <w:top w:val="nil"/>
              <w:left w:val="nil"/>
              <w:bottom w:val="single" w:sz="4" w:space="0" w:color="000000"/>
              <w:right w:val="single" w:sz="4" w:space="0" w:color="000000"/>
            </w:tcBorders>
            <w:shd w:val="clear" w:color="000000" w:fill="FFFFFF"/>
            <w:vAlign w:val="center"/>
            <w:hideMark/>
          </w:tcPr>
          <w:p w14:paraId="3514BE3C"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 0 points if the r</w:t>
            </w:r>
            <w:r w:rsidRPr="001E5747">
              <w:rPr>
                <w:rFonts w:ascii="Calibri" w:hAnsi="Calibri" w:cs="Calibri"/>
                <w:color w:val="000000"/>
                <w:sz w:val="16"/>
                <w:szCs w:val="16"/>
                <w:lang w:val="en-GB"/>
              </w:rPr>
              <w:t>esult</w:t>
            </w:r>
            <w:r w:rsidRPr="001E5747">
              <w:rPr>
                <w:rFonts w:ascii="Calibri" w:hAnsi="Calibri" w:cs="Calibri"/>
                <w:sz w:val="16"/>
                <w:szCs w:val="16"/>
                <w:lang w:val="en-GB"/>
              </w:rPr>
              <w:t xml:space="preserve"> in MPMS is lower than 100%, </w:t>
            </w:r>
          </w:p>
          <w:p w14:paraId="77D2CDD3"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 xml:space="preserve">• 2 points if the </w:t>
            </w:r>
            <w:r w:rsidRPr="001E5747">
              <w:rPr>
                <w:rFonts w:ascii="Calibri" w:hAnsi="Calibri" w:cs="Calibri"/>
                <w:color w:val="000000"/>
                <w:sz w:val="16"/>
                <w:szCs w:val="16"/>
                <w:lang w:val="en-GB"/>
              </w:rPr>
              <w:t>result</w:t>
            </w:r>
            <w:r w:rsidRPr="001E5747">
              <w:rPr>
                <w:rFonts w:ascii="Calibri" w:hAnsi="Calibri" w:cs="Calibri"/>
                <w:sz w:val="16"/>
                <w:szCs w:val="16"/>
                <w:lang w:val="en-GB"/>
              </w:rPr>
              <w:t xml:space="preserve"> in MPMS is 100%.</w:t>
            </w:r>
          </w:p>
        </w:tc>
        <w:tc>
          <w:tcPr>
            <w:tcW w:w="658" w:type="dxa"/>
            <w:tcBorders>
              <w:top w:val="nil"/>
              <w:left w:val="single" w:sz="4" w:space="0" w:color="000000"/>
              <w:bottom w:val="single" w:sz="8" w:space="0" w:color="000000"/>
              <w:right w:val="single" w:sz="4" w:space="0" w:color="000000"/>
            </w:tcBorders>
            <w:shd w:val="clear" w:color="000000" w:fill="FFFFFF"/>
            <w:noWrap/>
            <w:vAlign w:val="center"/>
            <w:hideMark/>
          </w:tcPr>
          <w:p w14:paraId="6D2F032C"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0.00%</w:t>
            </w:r>
          </w:p>
        </w:tc>
        <w:tc>
          <w:tcPr>
            <w:tcW w:w="574" w:type="dxa"/>
            <w:tcBorders>
              <w:top w:val="nil"/>
              <w:left w:val="single" w:sz="4" w:space="0" w:color="000000"/>
              <w:bottom w:val="single" w:sz="8" w:space="0" w:color="000000"/>
              <w:right w:val="single" w:sz="4" w:space="0" w:color="000000"/>
            </w:tcBorders>
            <w:shd w:val="clear" w:color="000000" w:fill="FFFFFF"/>
            <w:noWrap/>
            <w:vAlign w:val="center"/>
            <w:hideMark/>
          </w:tcPr>
          <w:p w14:paraId="3F99A200"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2</w:t>
            </w:r>
          </w:p>
        </w:tc>
        <w:tc>
          <w:tcPr>
            <w:tcW w:w="1004" w:type="dxa"/>
            <w:tcBorders>
              <w:top w:val="nil"/>
              <w:left w:val="single" w:sz="4" w:space="0" w:color="000000"/>
              <w:bottom w:val="single" w:sz="8" w:space="0" w:color="000000"/>
              <w:right w:val="single" w:sz="4" w:space="0" w:color="000000"/>
            </w:tcBorders>
            <w:shd w:val="clear" w:color="000000" w:fill="FFFFFF"/>
            <w:noWrap/>
            <w:vAlign w:val="center"/>
            <w:hideMark/>
          </w:tcPr>
          <w:p w14:paraId="03E8ACF3"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w:t>
            </w:r>
          </w:p>
        </w:tc>
        <w:tc>
          <w:tcPr>
            <w:tcW w:w="1562" w:type="dxa"/>
            <w:tcBorders>
              <w:top w:val="nil"/>
              <w:left w:val="nil"/>
              <w:bottom w:val="single" w:sz="4" w:space="0" w:color="000000"/>
              <w:right w:val="single" w:sz="4" w:space="0" w:color="000000"/>
            </w:tcBorders>
            <w:shd w:val="clear" w:color="000000" w:fill="FFFFFF"/>
            <w:vAlign w:val="center"/>
            <w:hideMark/>
          </w:tcPr>
          <w:p w14:paraId="103F9CAE" w14:textId="77777777" w:rsidR="00175AA2" w:rsidRPr="001E5747" w:rsidRDefault="00175AA2" w:rsidP="00A0644E">
            <w:pPr>
              <w:jc w:val="center"/>
              <w:rPr>
                <w:rFonts w:ascii="Calibri" w:hAnsi="Calibri" w:cs="Calibri"/>
                <w:sz w:val="16"/>
                <w:szCs w:val="16"/>
                <w:lang w:val="en-GB"/>
              </w:rPr>
            </w:pPr>
            <w:r w:rsidRPr="001E5747">
              <w:rPr>
                <w:rFonts w:ascii="Calibri" w:hAnsi="Calibri" w:cs="Calibri"/>
                <w:sz w:val="16"/>
                <w:szCs w:val="16"/>
                <w:lang w:val="en-GB"/>
              </w:rPr>
              <w:t>MPMS report,</w:t>
            </w:r>
          </w:p>
          <w:p w14:paraId="736A6DBD" w14:textId="77777777" w:rsidR="00175AA2" w:rsidRPr="001E5747" w:rsidRDefault="00175AA2" w:rsidP="00A0644E">
            <w:pPr>
              <w:jc w:val="center"/>
              <w:rPr>
                <w:rFonts w:ascii="Calibri" w:hAnsi="Calibri" w:cs="Calibri"/>
                <w:sz w:val="16"/>
                <w:szCs w:val="16"/>
                <w:lang w:val="en-GB"/>
              </w:rPr>
            </w:pPr>
            <w:r w:rsidRPr="001E5747">
              <w:rPr>
                <w:rFonts w:ascii="Calibri" w:hAnsi="Calibri" w:cs="Calibri"/>
                <w:sz w:val="16"/>
                <w:szCs w:val="16"/>
                <w:lang w:val="en-GB"/>
              </w:rPr>
              <w:t>Indicator 3.4.1</w:t>
            </w:r>
          </w:p>
        </w:tc>
        <w:tc>
          <w:tcPr>
            <w:tcW w:w="1085" w:type="dxa"/>
            <w:tcBorders>
              <w:top w:val="nil"/>
              <w:left w:val="nil"/>
              <w:bottom w:val="single" w:sz="4" w:space="0" w:color="000000"/>
              <w:right w:val="single" w:sz="8" w:space="0" w:color="auto"/>
            </w:tcBorders>
            <w:shd w:val="clear" w:color="000000" w:fill="FFFFFF"/>
            <w:hideMark/>
          </w:tcPr>
          <w:p w14:paraId="5500E425" w14:textId="77777777" w:rsidR="00175AA2" w:rsidRPr="001E5747" w:rsidRDefault="00175AA2" w:rsidP="00A0644E">
            <w:pPr>
              <w:rPr>
                <w:rFonts w:ascii="Calibri" w:hAnsi="Calibri" w:cs="Calibri"/>
                <w:color w:val="000000"/>
                <w:sz w:val="16"/>
                <w:szCs w:val="16"/>
                <w:lang w:val="en-GB"/>
              </w:rPr>
            </w:pPr>
          </w:p>
        </w:tc>
      </w:tr>
      <w:tr w:rsidR="00175AA2" w:rsidRPr="001E5747" w14:paraId="20161D3D" w14:textId="77777777" w:rsidTr="00A0644E">
        <w:trPr>
          <w:trHeight w:val="435"/>
        </w:trPr>
        <w:tc>
          <w:tcPr>
            <w:tcW w:w="648" w:type="dxa"/>
            <w:tcBorders>
              <w:top w:val="nil"/>
              <w:left w:val="single" w:sz="8" w:space="0" w:color="auto"/>
              <w:bottom w:val="nil"/>
              <w:right w:val="single" w:sz="8" w:space="0" w:color="auto"/>
            </w:tcBorders>
            <w:shd w:val="clear" w:color="000000" w:fill="305496"/>
            <w:noWrap/>
            <w:vAlign w:val="center"/>
            <w:hideMark/>
          </w:tcPr>
          <w:p w14:paraId="2E3E4BA8" w14:textId="77777777"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2</w:t>
            </w:r>
          </w:p>
        </w:tc>
        <w:tc>
          <w:tcPr>
            <w:tcW w:w="6293" w:type="dxa"/>
            <w:gridSpan w:val="3"/>
            <w:tcBorders>
              <w:top w:val="single" w:sz="8" w:space="0" w:color="auto"/>
              <w:left w:val="nil"/>
              <w:bottom w:val="single" w:sz="8" w:space="0" w:color="auto"/>
              <w:right w:val="single" w:sz="4" w:space="0" w:color="auto"/>
            </w:tcBorders>
            <w:shd w:val="clear" w:color="000000" w:fill="305496"/>
            <w:vAlign w:val="center"/>
            <w:hideMark/>
          </w:tcPr>
          <w:p w14:paraId="26E93A09" w14:textId="77777777" w:rsidR="00175AA2" w:rsidRPr="001E5747" w:rsidRDefault="00175AA2" w:rsidP="00A0644E">
            <w:pPr>
              <w:rPr>
                <w:rFonts w:ascii="Calibri" w:hAnsi="Calibri" w:cs="Calibri"/>
                <w:b/>
                <w:bCs/>
                <w:color w:val="FFFFFF"/>
                <w:sz w:val="16"/>
                <w:szCs w:val="16"/>
                <w:lang w:val="en-GB"/>
              </w:rPr>
            </w:pPr>
            <w:r w:rsidRPr="001E5747">
              <w:rPr>
                <w:rFonts w:ascii="Calibri" w:hAnsi="Calibri" w:cs="Calibri"/>
                <w:b/>
                <w:bCs/>
                <w:color w:val="FFFFFF"/>
                <w:sz w:val="16"/>
                <w:szCs w:val="16"/>
                <w:lang w:val="en-GB"/>
              </w:rPr>
              <w:t>Municipal Management</w:t>
            </w:r>
          </w:p>
        </w:tc>
        <w:tc>
          <w:tcPr>
            <w:tcW w:w="574" w:type="dxa"/>
            <w:tcBorders>
              <w:top w:val="nil"/>
              <w:left w:val="nil"/>
              <w:bottom w:val="single" w:sz="8" w:space="0" w:color="auto"/>
              <w:right w:val="single" w:sz="4" w:space="0" w:color="auto"/>
            </w:tcBorders>
            <w:shd w:val="clear" w:color="000000" w:fill="305496"/>
            <w:vAlign w:val="center"/>
            <w:hideMark/>
          </w:tcPr>
          <w:p w14:paraId="5C64221E" w14:textId="77777777" w:rsidR="00175AA2" w:rsidRPr="001E5747" w:rsidRDefault="00AF23F5" w:rsidP="00AF23F5">
            <w:pPr>
              <w:jc w:val="center"/>
              <w:rPr>
                <w:rFonts w:ascii="Calibri" w:hAnsi="Calibri" w:cs="Calibri"/>
                <w:b/>
                <w:bCs/>
                <w:color w:val="FFFFFF"/>
                <w:sz w:val="16"/>
                <w:szCs w:val="16"/>
                <w:lang w:val="en-GB"/>
              </w:rPr>
            </w:pPr>
            <w:r>
              <w:rPr>
                <w:rFonts w:ascii="Calibri" w:hAnsi="Calibri" w:cs="Calibri"/>
                <w:b/>
                <w:bCs/>
                <w:color w:val="FFFFFF"/>
                <w:sz w:val="16"/>
                <w:szCs w:val="16"/>
                <w:lang w:val="en-GB"/>
              </w:rPr>
              <w:t>28</w:t>
            </w:r>
          </w:p>
        </w:tc>
        <w:tc>
          <w:tcPr>
            <w:tcW w:w="1004" w:type="dxa"/>
            <w:tcBorders>
              <w:top w:val="nil"/>
              <w:left w:val="nil"/>
              <w:bottom w:val="single" w:sz="8" w:space="0" w:color="auto"/>
              <w:right w:val="single" w:sz="4" w:space="0" w:color="auto"/>
            </w:tcBorders>
            <w:shd w:val="clear" w:color="000000" w:fill="305496"/>
            <w:vAlign w:val="center"/>
            <w:hideMark/>
          </w:tcPr>
          <w:p w14:paraId="087DB13E" w14:textId="77777777"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0</w:t>
            </w:r>
          </w:p>
        </w:tc>
        <w:tc>
          <w:tcPr>
            <w:tcW w:w="1562" w:type="dxa"/>
            <w:tcBorders>
              <w:top w:val="nil"/>
              <w:left w:val="nil"/>
              <w:bottom w:val="single" w:sz="8" w:space="0" w:color="auto"/>
              <w:right w:val="single" w:sz="4" w:space="0" w:color="auto"/>
            </w:tcBorders>
            <w:shd w:val="clear" w:color="000000" w:fill="305496"/>
            <w:vAlign w:val="center"/>
            <w:hideMark/>
          </w:tcPr>
          <w:p w14:paraId="590550EB" w14:textId="77777777" w:rsidR="00175AA2" w:rsidRPr="001E5747" w:rsidRDefault="00175AA2" w:rsidP="00A0644E">
            <w:pPr>
              <w:jc w:val="center"/>
              <w:rPr>
                <w:rFonts w:ascii="Calibri" w:hAnsi="Calibri" w:cs="Calibri"/>
                <w:b/>
                <w:bCs/>
                <w:color w:val="FFFFFF"/>
                <w:sz w:val="16"/>
                <w:szCs w:val="16"/>
                <w:lang w:val="en-GB"/>
              </w:rPr>
            </w:pPr>
          </w:p>
        </w:tc>
        <w:tc>
          <w:tcPr>
            <w:tcW w:w="1085" w:type="dxa"/>
            <w:tcBorders>
              <w:top w:val="nil"/>
              <w:left w:val="nil"/>
              <w:bottom w:val="single" w:sz="8" w:space="0" w:color="auto"/>
              <w:right w:val="single" w:sz="8" w:space="0" w:color="auto"/>
            </w:tcBorders>
            <w:shd w:val="clear" w:color="000000" w:fill="305496"/>
            <w:vAlign w:val="center"/>
            <w:hideMark/>
          </w:tcPr>
          <w:p w14:paraId="3BFE2675" w14:textId="77777777" w:rsidR="00175AA2" w:rsidRPr="001E5747" w:rsidRDefault="00175AA2" w:rsidP="00A0644E">
            <w:pPr>
              <w:jc w:val="center"/>
              <w:rPr>
                <w:rFonts w:ascii="Calibri" w:hAnsi="Calibri" w:cs="Calibri"/>
                <w:b/>
                <w:bCs/>
                <w:color w:val="FFFFFF"/>
                <w:sz w:val="16"/>
                <w:szCs w:val="16"/>
                <w:lang w:val="en-GB"/>
              </w:rPr>
            </w:pPr>
          </w:p>
        </w:tc>
      </w:tr>
      <w:tr w:rsidR="00175AA2" w:rsidRPr="001E5747" w14:paraId="54100D62" w14:textId="77777777" w:rsidTr="00A0644E">
        <w:trPr>
          <w:trHeight w:val="435"/>
        </w:trPr>
        <w:tc>
          <w:tcPr>
            <w:tcW w:w="648" w:type="dxa"/>
            <w:tcBorders>
              <w:top w:val="nil"/>
              <w:left w:val="single" w:sz="8" w:space="0" w:color="auto"/>
              <w:bottom w:val="nil"/>
              <w:right w:val="single" w:sz="8" w:space="0" w:color="auto"/>
            </w:tcBorders>
            <w:shd w:val="clear" w:color="000000" w:fill="8EA9DB"/>
            <w:noWrap/>
            <w:vAlign w:val="center"/>
            <w:hideMark/>
          </w:tcPr>
          <w:p w14:paraId="0B6C729F" w14:textId="77777777"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IV</w:t>
            </w:r>
          </w:p>
        </w:tc>
        <w:tc>
          <w:tcPr>
            <w:tcW w:w="6293" w:type="dxa"/>
            <w:gridSpan w:val="3"/>
            <w:tcBorders>
              <w:top w:val="single" w:sz="8" w:space="0" w:color="auto"/>
              <w:left w:val="nil"/>
              <w:bottom w:val="single" w:sz="8" w:space="0" w:color="auto"/>
              <w:right w:val="single" w:sz="4" w:space="0" w:color="auto"/>
            </w:tcBorders>
            <w:shd w:val="clear" w:color="000000" w:fill="8EA9DB"/>
            <w:vAlign w:val="center"/>
            <w:hideMark/>
          </w:tcPr>
          <w:p w14:paraId="5A75FFD9" w14:textId="77777777" w:rsidR="00175AA2" w:rsidRPr="001E5747" w:rsidRDefault="00175AA2" w:rsidP="00A0644E">
            <w:pPr>
              <w:rPr>
                <w:rFonts w:ascii="Calibri" w:hAnsi="Calibri" w:cs="Calibri"/>
                <w:b/>
                <w:bCs/>
                <w:color w:val="FFFFFF"/>
                <w:sz w:val="16"/>
                <w:szCs w:val="16"/>
                <w:lang w:val="en-GB"/>
              </w:rPr>
            </w:pPr>
            <w:r w:rsidRPr="001E5747">
              <w:rPr>
                <w:rFonts w:ascii="Calibri" w:hAnsi="Calibri" w:cs="Calibri"/>
                <w:b/>
                <w:bCs/>
                <w:color w:val="FFFFFF"/>
                <w:sz w:val="16"/>
                <w:szCs w:val="16"/>
                <w:lang w:val="en-GB"/>
              </w:rPr>
              <w:t>Financial management</w:t>
            </w:r>
          </w:p>
        </w:tc>
        <w:tc>
          <w:tcPr>
            <w:tcW w:w="574" w:type="dxa"/>
            <w:tcBorders>
              <w:top w:val="nil"/>
              <w:left w:val="nil"/>
              <w:bottom w:val="single" w:sz="8" w:space="0" w:color="auto"/>
              <w:right w:val="single" w:sz="4" w:space="0" w:color="auto"/>
            </w:tcBorders>
            <w:shd w:val="clear" w:color="000000" w:fill="8EA9DB"/>
            <w:vAlign w:val="center"/>
            <w:hideMark/>
          </w:tcPr>
          <w:p w14:paraId="7BE5099C" w14:textId="77777777"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13</w:t>
            </w:r>
          </w:p>
        </w:tc>
        <w:tc>
          <w:tcPr>
            <w:tcW w:w="1004" w:type="dxa"/>
            <w:tcBorders>
              <w:top w:val="nil"/>
              <w:left w:val="nil"/>
              <w:bottom w:val="single" w:sz="8" w:space="0" w:color="auto"/>
              <w:right w:val="single" w:sz="4" w:space="0" w:color="auto"/>
            </w:tcBorders>
            <w:shd w:val="clear" w:color="000000" w:fill="8EA9DB"/>
            <w:vAlign w:val="center"/>
            <w:hideMark/>
          </w:tcPr>
          <w:p w14:paraId="1CAEA773" w14:textId="77777777"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0</w:t>
            </w:r>
          </w:p>
        </w:tc>
        <w:tc>
          <w:tcPr>
            <w:tcW w:w="1562" w:type="dxa"/>
            <w:tcBorders>
              <w:top w:val="nil"/>
              <w:left w:val="nil"/>
              <w:bottom w:val="single" w:sz="8" w:space="0" w:color="auto"/>
              <w:right w:val="single" w:sz="4" w:space="0" w:color="auto"/>
            </w:tcBorders>
            <w:shd w:val="clear" w:color="000000" w:fill="8EA9DB"/>
            <w:vAlign w:val="center"/>
            <w:hideMark/>
          </w:tcPr>
          <w:p w14:paraId="735AB154" w14:textId="77777777" w:rsidR="00175AA2" w:rsidRPr="001E5747" w:rsidRDefault="00175AA2" w:rsidP="00A0644E">
            <w:pPr>
              <w:jc w:val="center"/>
              <w:rPr>
                <w:rFonts w:ascii="Calibri" w:hAnsi="Calibri" w:cs="Calibri"/>
                <w:b/>
                <w:bCs/>
                <w:color w:val="FFFFFF"/>
                <w:sz w:val="16"/>
                <w:szCs w:val="16"/>
                <w:lang w:val="en-GB"/>
              </w:rPr>
            </w:pPr>
          </w:p>
        </w:tc>
        <w:tc>
          <w:tcPr>
            <w:tcW w:w="1085" w:type="dxa"/>
            <w:tcBorders>
              <w:top w:val="nil"/>
              <w:left w:val="nil"/>
              <w:bottom w:val="single" w:sz="8" w:space="0" w:color="auto"/>
              <w:right w:val="single" w:sz="8" w:space="0" w:color="auto"/>
            </w:tcBorders>
            <w:shd w:val="clear" w:color="000000" w:fill="8EA9DB"/>
            <w:vAlign w:val="center"/>
            <w:hideMark/>
          </w:tcPr>
          <w:p w14:paraId="7951D973" w14:textId="77777777" w:rsidR="00175AA2" w:rsidRPr="001E5747" w:rsidRDefault="00175AA2" w:rsidP="00A0644E">
            <w:pPr>
              <w:jc w:val="center"/>
              <w:rPr>
                <w:rFonts w:ascii="Calibri" w:hAnsi="Calibri" w:cs="Calibri"/>
                <w:b/>
                <w:bCs/>
                <w:color w:val="FFFFFF"/>
                <w:sz w:val="16"/>
                <w:szCs w:val="16"/>
                <w:lang w:val="en-GB"/>
              </w:rPr>
            </w:pPr>
          </w:p>
        </w:tc>
      </w:tr>
      <w:tr w:rsidR="00175AA2" w:rsidRPr="001E5747" w14:paraId="6B1AF7A7" w14:textId="77777777" w:rsidTr="00A0644E">
        <w:trPr>
          <w:trHeight w:val="1200"/>
        </w:trPr>
        <w:tc>
          <w:tcPr>
            <w:tcW w:w="648" w:type="dxa"/>
            <w:tcBorders>
              <w:top w:val="single" w:sz="8" w:space="0" w:color="auto"/>
              <w:left w:val="single" w:sz="8" w:space="0" w:color="auto"/>
              <w:bottom w:val="single" w:sz="8" w:space="0" w:color="000000"/>
              <w:right w:val="single" w:sz="8" w:space="0" w:color="auto"/>
            </w:tcBorders>
            <w:shd w:val="clear" w:color="000000" w:fill="8EA9DB"/>
            <w:noWrap/>
            <w:vAlign w:val="center"/>
            <w:hideMark/>
          </w:tcPr>
          <w:p w14:paraId="06DE4524" w14:textId="77777777" w:rsidR="00175AA2" w:rsidRPr="001E5747" w:rsidRDefault="00175AA2" w:rsidP="00A0644E">
            <w:pPr>
              <w:jc w:val="center"/>
              <w:rPr>
                <w:rFonts w:ascii="Calibri" w:hAnsi="Calibri" w:cs="Calibri"/>
                <w:b/>
                <w:bCs/>
                <w:color w:val="000000"/>
                <w:sz w:val="16"/>
                <w:szCs w:val="16"/>
                <w:lang w:val="en-GB"/>
              </w:rPr>
            </w:pPr>
            <w:r w:rsidRPr="001E5747">
              <w:rPr>
                <w:rFonts w:ascii="Calibri" w:hAnsi="Calibri" w:cs="Calibri"/>
                <w:b/>
                <w:bCs/>
                <w:color w:val="000000"/>
                <w:sz w:val="16"/>
                <w:szCs w:val="16"/>
                <w:lang w:val="en-GB"/>
              </w:rPr>
              <w:t>14</w:t>
            </w:r>
          </w:p>
        </w:tc>
        <w:tc>
          <w:tcPr>
            <w:tcW w:w="3089" w:type="dxa"/>
            <w:tcBorders>
              <w:top w:val="nil"/>
              <w:left w:val="nil"/>
              <w:bottom w:val="single" w:sz="4" w:space="0" w:color="000000"/>
              <w:right w:val="single" w:sz="4" w:space="0" w:color="000000"/>
            </w:tcBorders>
            <w:shd w:val="clear" w:color="auto" w:fill="auto"/>
            <w:vAlign w:val="center"/>
            <w:hideMark/>
          </w:tcPr>
          <w:p w14:paraId="180F3612"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br/>
              <w:t>Level of updating the property tax register</w:t>
            </w:r>
          </w:p>
          <w:p w14:paraId="1A9A08AA" w14:textId="77777777" w:rsidR="00175AA2" w:rsidRPr="001E5747" w:rsidRDefault="00175AA2" w:rsidP="00A0644E">
            <w:pPr>
              <w:rPr>
                <w:rFonts w:ascii="Calibri" w:hAnsi="Calibri" w:cs="Calibri"/>
                <w:color w:val="000000"/>
                <w:sz w:val="16"/>
                <w:szCs w:val="16"/>
                <w:lang w:val="en-GB"/>
              </w:rPr>
            </w:pPr>
          </w:p>
        </w:tc>
        <w:tc>
          <w:tcPr>
            <w:tcW w:w="2546" w:type="dxa"/>
            <w:tcBorders>
              <w:top w:val="nil"/>
              <w:left w:val="nil"/>
              <w:bottom w:val="single" w:sz="4" w:space="0" w:color="000000"/>
              <w:right w:val="single" w:sz="4" w:space="0" w:color="000000"/>
            </w:tcBorders>
            <w:shd w:val="clear" w:color="auto" w:fill="auto"/>
            <w:vAlign w:val="center"/>
            <w:hideMark/>
          </w:tcPr>
          <w:p w14:paraId="224B171C"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 xml:space="preserve">• 0 points if the result in MPMS is up to 84.99%, </w:t>
            </w:r>
          </w:p>
          <w:p w14:paraId="35C24D3D"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 xml:space="preserve">• 1 point if the result in MPMS is 85% - 99.99%, </w:t>
            </w:r>
          </w:p>
          <w:p w14:paraId="7A19DC3F"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 3 points if the result in MPMS is 100%</w:t>
            </w:r>
          </w:p>
        </w:tc>
        <w:tc>
          <w:tcPr>
            <w:tcW w:w="658" w:type="dxa"/>
            <w:tcBorders>
              <w:top w:val="nil"/>
              <w:left w:val="single" w:sz="4" w:space="0" w:color="000000"/>
              <w:bottom w:val="single" w:sz="8" w:space="0" w:color="000000"/>
              <w:right w:val="single" w:sz="4" w:space="0" w:color="000000"/>
            </w:tcBorders>
            <w:shd w:val="clear" w:color="auto" w:fill="auto"/>
            <w:vAlign w:val="center"/>
            <w:hideMark/>
          </w:tcPr>
          <w:p w14:paraId="4D235AD7"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0.00%</w:t>
            </w:r>
          </w:p>
        </w:tc>
        <w:tc>
          <w:tcPr>
            <w:tcW w:w="574" w:type="dxa"/>
            <w:tcBorders>
              <w:top w:val="nil"/>
              <w:left w:val="single" w:sz="4" w:space="0" w:color="000000"/>
              <w:bottom w:val="single" w:sz="8" w:space="0" w:color="000000"/>
              <w:right w:val="single" w:sz="4" w:space="0" w:color="000000"/>
            </w:tcBorders>
            <w:shd w:val="clear" w:color="auto" w:fill="auto"/>
            <w:noWrap/>
            <w:vAlign w:val="center"/>
            <w:hideMark/>
          </w:tcPr>
          <w:p w14:paraId="6060D0FB"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3</w:t>
            </w:r>
          </w:p>
        </w:tc>
        <w:tc>
          <w:tcPr>
            <w:tcW w:w="1004" w:type="dxa"/>
            <w:tcBorders>
              <w:top w:val="nil"/>
              <w:left w:val="single" w:sz="4" w:space="0" w:color="000000"/>
              <w:bottom w:val="single" w:sz="8" w:space="0" w:color="000000"/>
              <w:right w:val="single" w:sz="4" w:space="0" w:color="000000"/>
            </w:tcBorders>
            <w:shd w:val="clear" w:color="auto" w:fill="auto"/>
            <w:noWrap/>
            <w:vAlign w:val="center"/>
            <w:hideMark/>
          </w:tcPr>
          <w:p w14:paraId="7D3E1614"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w:t>
            </w:r>
          </w:p>
        </w:tc>
        <w:tc>
          <w:tcPr>
            <w:tcW w:w="1562" w:type="dxa"/>
            <w:tcBorders>
              <w:top w:val="nil"/>
              <w:left w:val="nil"/>
              <w:bottom w:val="single" w:sz="4" w:space="0" w:color="000000"/>
              <w:right w:val="single" w:sz="4" w:space="0" w:color="000000"/>
            </w:tcBorders>
            <w:shd w:val="clear" w:color="auto" w:fill="auto"/>
            <w:vAlign w:val="center"/>
            <w:hideMark/>
          </w:tcPr>
          <w:p w14:paraId="51E208DB" w14:textId="77777777" w:rsidR="00175AA2" w:rsidRPr="001E5747" w:rsidRDefault="00175AA2" w:rsidP="00A0644E">
            <w:pPr>
              <w:jc w:val="center"/>
              <w:rPr>
                <w:rFonts w:ascii="Calibri" w:hAnsi="Calibri" w:cs="Calibri"/>
                <w:sz w:val="16"/>
                <w:szCs w:val="16"/>
                <w:lang w:val="en-GB"/>
              </w:rPr>
            </w:pPr>
            <w:r w:rsidRPr="001E5747">
              <w:rPr>
                <w:rFonts w:ascii="Calibri" w:hAnsi="Calibri" w:cs="Calibri"/>
                <w:sz w:val="16"/>
                <w:szCs w:val="16"/>
                <w:lang w:val="en-GB"/>
              </w:rPr>
              <w:t>MPMS report,</w:t>
            </w:r>
          </w:p>
          <w:p w14:paraId="677AA2AE" w14:textId="77777777" w:rsidR="00175AA2" w:rsidRPr="001E5747" w:rsidRDefault="00175AA2" w:rsidP="00A0644E">
            <w:pPr>
              <w:jc w:val="center"/>
              <w:rPr>
                <w:rFonts w:ascii="Calibri" w:hAnsi="Calibri" w:cs="Calibri"/>
                <w:sz w:val="16"/>
                <w:szCs w:val="16"/>
                <w:lang w:val="en-GB"/>
              </w:rPr>
            </w:pPr>
            <w:r w:rsidRPr="001E5747">
              <w:rPr>
                <w:rFonts w:ascii="Calibri" w:hAnsi="Calibri" w:cs="Calibri"/>
                <w:sz w:val="16"/>
                <w:szCs w:val="16"/>
                <w:lang w:val="en-GB"/>
              </w:rPr>
              <w:t>Indicator 19.1.3</w:t>
            </w:r>
          </w:p>
        </w:tc>
        <w:tc>
          <w:tcPr>
            <w:tcW w:w="1085" w:type="dxa"/>
            <w:tcBorders>
              <w:top w:val="nil"/>
              <w:left w:val="nil"/>
              <w:bottom w:val="single" w:sz="4" w:space="0" w:color="000000"/>
              <w:right w:val="single" w:sz="8" w:space="0" w:color="auto"/>
            </w:tcBorders>
            <w:shd w:val="clear" w:color="auto" w:fill="auto"/>
            <w:noWrap/>
            <w:vAlign w:val="bottom"/>
            <w:hideMark/>
          </w:tcPr>
          <w:p w14:paraId="66BFE758" w14:textId="77777777" w:rsidR="00175AA2" w:rsidRPr="001E5747" w:rsidRDefault="00175AA2" w:rsidP="00A0644E">
            <w:pPr>
              <w:rPr>
                <w:rFonts w:ascii="Calibri" w:hAnsi="Calibri" w:cs="Calibri"/>
                <w:color w:val="000000"/>
                <w:sz w:val="16"/>
                <w:szCs w:val="16"/>
                <w:lang w:val="en-GB"/>
              </w:rPr>
            </w:pPr>
          </w:p>
        </w:tc>
      </w:tr>
      <w:tr w:rsidR="00175AA2" w:rsidRPr="001E5747" w14:paraId="5B04190B" w14:textId="77777777" w:rsidTr="00A0644E">
        <w:trPr>
          <w:trHeight w:val="1500"/>
        </w:trPr>
        <w:tc>
          <w:tcPr>
            <w:tcW w:w="648" w:type="dxa"/>
            <w:tcBorders>
              <w:top w:val="nil"/>
              <w:left w:val="single" w:sz="8" w:space="0" w:color="auto"/>
              <w:bottom w:val="single" w:sz="4" w:space="0" w:color="000000"/>
              <w:right w:val="single" w:sz="8" w:space="0" w:color="auto"/>
            </w:tcBorders>
            <w:shd w:val="clear" w:color="000000" w:fill="8EA9DB"/>
            <w:noWrap/>
            <w:vAlign w:val="center"/>
            <w:hideMark/>
          </w:tcPr>
          <w:p w14:paraId="049BB5F6" w14:textId="77777777" w:rsidR="00175AA2" w:rsidRPr="001E5747" w:rsidRDefault="00175AA2" w:rsidP="00A0644E">
            <w:pPr>
              <w:jc w:val="center"/>
              <w:rPr>
                <w:rFonts w:ascii="Calibri" w:hAnsi="Calibri" w:cs="Calibri"/>
                <w:b/>
                <w:bCs/>
                <w:color w:val="000000"/>
                <w:sz w:val="16"/>
                <w:szCs w:val="16"/>
                <w:lang w:val="en-GB"/>
              </w:rPr>
            </w:pPr>
            <w:r w:rsidRPr="001E5747">
              <w:rPr>
                <w:rFonts w:ascii="Calibri" w:hAnsi="Calibri" w:cs="Calibri"/>
                <w:b/>
                <w:bCs/>
                <w:color w:val="000000"/>
                <w:sz w:val="16"/>
                <w:szCs w:val="16"/>
                <w:lang w:val="en-GB"/>
              </w:rPr>
              <w:t>15</w:t>
            </w:r>
          </w:p>
        </w:tc>
        <w:tc>
          <w:tcPr>
            <w:tcW w:w="3089" w:type="dxa"/>
            <w:tcBorders>
              <w:top w:val="nil"/>
              <w:left w:val="nil"/>
              <w:bottom w:val="single" w:sz="4" w:space="0" w:color="000000"/>
              <w:right w:val="single" w:sz="4" w:space="0" w:color="000000"/>
            </w:tcBorders>
            <w:shd w:val="clear" w:color="auto" w:fill="auto"/>
            <w:vAlign w:val="center"/>
            <w:hideMark/>
          </w:tcPr>
          <w:p w14:paraId="64A04E3F"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Level of property tax bill collection (no debts, interest, penalties)</w:t>
            </w:r>
          </w:p>
        </w:tc>
        <w:tc>
          <w:tcPr>
            <w:tcW w:w="2546" w:type="dxa"/>
            <w:tcBorders>
              <w:top w:val="nil"/>
              <w:left w:val="nil"/>
              <w:bottom w:val="single" w:sz="4" w:space="0" w:color="000000"/>
              <w:right w:val="single" w:sz="4" w:space="0" w:color="000000"/>
            </w:tcBorders>
            <w:shd w:val="clear" w:color="auto" w:fill="auto"/>
            <w:vAlign w:val="center"/>
            <w:hideMark/>
          </w:tcPr>
          <w:p w14:paraId="74E6A358"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xml:space="preserve">• 0 points if the result in MPMS is up to 39.99%, </w:t>
            </w:r>
          </w:p>
          <w:p w14:paraId="4F156CB7"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xml:space="preserve">• 1 point if the result in MPMS is 40% - 59.99%, </w:t>
            </w:r>
          </w:p>
          <w:p w14:paraId="03F88B2A"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xml:space="preserve">• 3 points if the result in MPMS is 60% - 84.99%, </w:t>
            </w:r>
          </w:p>
          <w:p w14:paraId="70FF8633"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5 points if the result in MPMS is equal to or higher than 85%</w:t>
            </w:r>
          </w:p>
        </w:tc>
        <w:tc>
          <w:tcPr>
            <w:tcW w:w="658" w:type="dxa"/>
            <w:tcBorders>
              <w:top w:val="nil"/>
              <w:left w:val="single" w:sz="4" w:space="0" w:color="000000"/>
              <w:bottom w:val="nil"/>
              <w:right w:val="single" w:sz="4" w:space="0" w:color="000000"/>
            </w:tcBorders>
            <w:shd w:val="clear" w:color="auto" w:fill="auto"/>
            <w:vAlign w:val="center"/>
            <w:hideMark/>
          </w:tcPr>
          <w:p w14:paraId="15CC385C"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0.00%</w:t>
            </w:r>
          </w:p>
        </w:tc>
        <w:tc>
          <w:tcPr>
            <w:tcW w:w="574" w:type="dxa"/>
            <w:tcBorders>
              <w:top w:val="nil"/>
              <w:left w:val="single" w:sz="4" w:space="0" w:color="000000"/>
              <w:bottom w:val="single" w:sz="4" w:space="0" w:color="000000"/>
              <w:right w:val="single" w:sz="4" w:space="0" w:color="000000"/>
            </w:tcBorders>
            <w:shd w:val="clear" w:color="auto" w:fill="auto"/>
            <w:noWrap/>
            <w:vAlign w:val="center"/>
            <w:hideMark/>
          </w:tcPr>
          <w:p w14:paraId="569ACF34"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5</w:t>
            </w:r>
          </w:p>
        </w:tc>
        <w:tc>
          <w:tcPr>
            <w:tcW w:w="1004" w:type="dxa"/>
            <w:tcBorders>
              <w:top w:val="nil"/>
              <w:left w:val="single" w:sz="4" w:space="0" w:color="000000"/>
              <w:bottom w:val="single" w:sz="4" w:space="0" w:color="000000"/>
              <w:right w:val="single" w:sz="4" w:space="0" w:color="000000"/>
            </w:tcBorders>
            <w:shd w:val="clear" w:color="auto" w:fill="auto"/>
            <w:noWrap/>
            <w:vAlign w:val="center"/>
            <w:hideMark/>
          </w:tcPr>
          <w:p w14:paraId="0C0BD70F"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w:t>
            </w:r>
          </w:p>
        </w:tc>
        <w:tc>
          <w:tcPr>
            <w:tcW w:w="1562" w:type="dxa"/>
            <w:tcBorders>
              <w:top w:val="nil"/>
              <w:left w:val="nil"/>
              <w:bottom w:val="single" w:sz="4" w:space="0" w:color="000000"/>
              <w:right w:val="single" w:sz="4" w:space="0" w:color="000000"/>
            </w:tcBorders>
            <w:shd w:val="clear" w:color="auto" w:fill="auto"/>
            <w:vAlign w:val="center"/>
            <w:hideMark/>
          </w:tcPr>
          <w:p w14:paraId="3D4613C5"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MPMS report</w:t>
            </w:r>
          </w:p>
          <w:p w14:paraId="447144AF"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Indicator 19.1.4</w:t>
            </w:r>
          </w:p>
        </w:tc>
        <w:tc>
          <w:tcPr>
            <w:tcW w:w="1085" w:type="dxa"/>
            <w:tcBorders>
              <w:top w:val="nil"/>
              <w:left w:val="nil"/>
              <w:bottom w:val="single" w:sz="4" w:space="0" w:color="000000"/>
              <w:right w:val="single" w:sz="8" w:space="0" w:color="auto"/>
            </w:tcBorders>
            <w:shd w:val="clear" w:color="auto" w:fill="auto"/>
            <w:noWrap/>
            <w:vAlign w:val="bottom"/>
            <w:hideMark/>
          </w:tcPr>
          <w:p w14:paraId="4864B86D" w14:textId="77777777" w:rsidR="00175AA2" w:rsidRPr="001E5747" w:rsidRDefault="00175AA2" w:rsidP="00A0644E">
            <w:pPr>
              <w:rPr>
                <w:rFonts w:ascii="Calibri" w:hAnsi="Calibri" w:cs="Calibri"/>
                <w:color w:val="000000"/>
                <w:sz w:val="16"/>
                <w:szCs w:val="16"/>
                <w:lang w:val="en-GB"/>
              </w:rPr>
            </w:pPr>
          </w:p>
        </w:tc>
      </w:tr>
      <w:tr w:rsidR="00175AA2" w:rsidRPr="001E5747" w14:paraId="47FA5E3D" w14:textId="77777777" w:rsidTr="00A0644E">
        <w:trPr>
          <w:trHeight w:val="1500"/>
        </w:trPr>
        <w:tc>
          <w:tcPr>
            <w:tcW w:w="648" w:type="dxa"/>
            <w:tcBorders>
              <w:top w:val="single" w:sz="8" w:space="0" w:color="auto"/>
              <w:left w:val="single" w:sz="8" w:space="0" w:color="auto"/>
              <w:bottom w:val="single" w:sz="8" w:space="0" w:color="000000"/>
              <w:right w:val="single" w:sz="8" w:space="0" w:color="auto"/>
            </w:tcBorders>
            <w:shd w:val="clear" w:color="000000" w:fill="8EA9DB"/>
            <w:noWrap/>
            <w:vAlign w:val="center"/>
            <w:hideMark/>
          </w:tcPr>
          <w:p w14:paraId="4741A6F8" w14:textId="77777777" w:rsidR="00175AA2" w:rsidRPr="001E5747" w:rsidRDefault="00175AA2" w:rsidP="00A0644E">
            <w:pPr>
              <w:jc w:val="center"/>
              <w:rPr>
                <w:rFonts w:ascii="Calibri" w:hAnsi="Calibri" w:cs="Calibri"/>
                <w:b/>
                <w:bCs/>
                <w:color w:val="000000"/>
                <w:sz w:val="16"/>
                <w:szCs w:val="16"/>
                <w:lang w:val="en-GB"/>
              </w:rPr>
            </w:pPr>
            <w:r w:rsidRPr="001E5747">
              <w:rPr>
                <w:rFonts w:ascii="Calibri" w:hAnsi="Calibri" w:cs="Calibri"/>
                <w:b/>
                <w:bCs/>
                <w:color w:val="000000"/>
                <w:sz w:val="16"/>
                <w:szCs w:val="16"/>
                <w:lang w:val="en-GB"/>
              </w:rPr>
              <w:lastRenderedPageBreak/>
              <w:t>16</w:t>
            </w:r>
          </w:p>
        </w:tc>
        <w:tc>
          <w:tcPr>
            <w:tcW w:w="3089" w:type="dxa"/>
            <w:tcBorders>
              <w:top w:val="single" w:sz="8" w:space="0" w:color="auto"/>
              <w:left w:val="nil"/>
              <w:bottom w:val="single" w:sz="4" w:space="0" w:color="000000"/>
              <w:right w:val="single" w:sz="4" w:space="0" w:color="000000"/>
            </w:tcBorders>
            <w:shd w:val="clear" w:color="auto" w:fill="auto"/>
            <w:vAlign w:val="center"/>
            <w:hideMark/>
          </w:tcPr>
          <w:p w14:paraId="3CAF481E"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Level of addressing the recommendations of the National Audit Office</w:t>
            </w:r>
          </w:p>
        </w:tc>
        <w:tc>
          <w:tcPr>
            <w:tcW w:w="2546" w:type="dxa"/>
            <w:tcBorders>
              <w:top w:val="single" w:sz="8" w:space="0" w:color="auto"/>
              <w:left w:val="nil"/>
              <w:bottom w:val="single" w:sz="4" w:space="0" w:color="000000"/>
              <w:right w:val="single" w:sz="4" w:space="0" w:color="000000"/>
            </w:tcBorders>
            <w:shd w:val="clear" w:color="000000" w:fill="FFFFFF"/>
            <w:vAlign w:val="center"/>
            <w:hideMark/>
          </w:tcPr>
          <w:p w14:paraId="2B6E8070"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 0 points if the</w:t>
            </w:r>
            <w:r w:rsidRPr="001E5747">
              <w:rPr>
                <w:rFonts w:ascii="Calibri" w:hAnsi="Calibri" w:cs="Calibri"/>
                <w:color w:val="000000"/>
                <w:sz w:val="16"/>
                <w:szCs w:val="16"/>
                <w:lang w:val="en-GB"/>
              </w:rPr>
              <w:t xml:space="preserve"> result</w:t>
            </w:r>
            <w:r w:rsidRPr="001E5747">
              <w:rPr>
                <w:rFonts w:ascii="Calibri" w:hAnsi="Calibri" w:cs="Calibri"/>
                <w:sz w:val="16"/>
                <w:szCs w:val="16"/>
                <w:lang w:val="en-GB"/>
              </w:rPr>
              <w:t xml:space="preserve"> in MPMS is up to 29.99%, </w:t>
            </w:r>
          </w:p>
          <w:p w14:paraId="494224D9"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 1 point if the</w:t>
            </w:r>
            <w:r w:rsidRPr="001E5747">
              <w:rPr>
                <w:rFonts w:ascii="Calibri" w:hAnsi="Calibri" w:cs="Calibri"/>
                <w:color w:val="000000"/>
                <w:sz w:val="16"/>
                <w:szCs w:val="16"/>
                <w:lang w:val="en-GB"/>
              </w:rPr>
              <w:t xml:space="preserve"> result</w:t>
            </w:r>
            <w:r w:rsidRPr="001E5747">
              <w:rPr>
                <w:rFonts w:ascii="Calibri" w:hAnsi="Calibri" w:cs="Calibri"/>
                <w:sz w:val="16"/>
                <w:szCs w:val="16"/>
                <w:lang w:val="en-GB"/>
              </w:rPr>
              <w:t xml:space="preserve"> in MPMS is 30% - 49.99%, </w:t>
            </w:r>
          </w:p>
          <w:p w14:paraId="098C82B6"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 2 points if the</w:t>
            </w:r>
            <w:r w:rsidRPr="001E5747">
              <w:rPr>
                <w:rFonts w:ascii="Calibri" w:hAnsi="Calibri" w:cs="Calibri"/>
                <w:color w:val="000000"/>
                <w:sz w:val="16"/>
                <w:szCs w:val="16"/>
                <w:lang w:val="en-GB"/>
              </w:rPr>
              <w:t xml:space="preserve"> result</w:t>
            </w:r>
            <w:r w:rsidRPr="001E5747">
              <w:rPr>
                <w:rFonts w:ascii="Calibri" w:hAnsi="Calibri" w:cs="Calibri"/>
                <w:sz w:val="16"/>
                <w:szCs w:val="16"/>
                <w:lang w:val="en-GB"/>
              </w:rPr>
              <w:t xml:space="preserve"> in MPMS is 50% - 84.99%, </w:t>
            </w:r>
          </w:p>
          <w:p w14:paraId="6E7F267A"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 xml:space="preserve">• 5 points if the </w:t>
            </w:r>
            <w:r w:rsidRPr="001E5747">
              <w:rPr>
                <w:rFonts w:ascii="Calibri" w:hAnsi="Calibri" w:cs="Calibri"/>
                <w:color w:val="000000"/>
                <w:sz w:val="16"/>
                <w:szCs w:val="16"/>
                <w:lang w:val="en-GB"/>
              </w:rPr>
              <w:t>result</w:t>
            </w:r>
            <w:r w:rsidRPr="001E5747">
              <w:rPr>
                <w:rFonts w:ascii="Calibri" w:hAnsi="Calibri" w:cs="Calibri"/>
                <w:sz w:val="16"/>
                <w:szCs w:val="16"/>
                <w:lang w:val="en-GB"/>
              </w:rPr>
              <w:t xml:space="preserve"> in MPMS is equal to or higher than 85%.</w:t>
            </w:r>
          </w:p>
        </w:tc>
        <w:tc>
          <w:tcPr>
            <w:tcW w:w="658" w:type="dxa"/>
            <w:tcBorders>
              <w:top w:val="single" w:sz="8" w:space="0" w:color="auto"/>
              <w:left w:val="single" w:sz="4" w:space="0" w:color="000000"/>
              <w:bottom w:val="single" w:sz="8" w:space="0" w:color="000000"/>
              <w:right w:val="single" w:sz="4" w:space="0" w:color="000000"/>
            </w:tcBorders>
            <w:shd w:val="clear" w:color="auto" w:fill="auto"/>
            <w:vAlign w:val="center"/>
            <w:hideMark/>
          </w:tcPr>
          <w:p w14:paraId="1EF41686"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0.00%</w:t>
            </w:r>
          </w:p>
        </w:tc>
        <w:tc>
          <w:tcPr>
            <w:tcW w:w="574" w:type="dxa"/>
            <w:tcBorders>
              <w:top w:val="single" w:sz="8" w:space="0" w:color="auto"/>
              <w:left w:val="single" w:sz="4" w:space="0" w:color="000000"/>
              <w:bottom w:val="single" w:sz="8" w:space="0" w:color="000000"/>
              <w:right w:val="single" w:sz="4" w:space="0" w:color="000000"/>
            </w:tcBorders>
            <w:shd w:val="clear" w:color="auto" w:fill="auto"/>
            <w:noWrap/>
            <w:vAlign w:val="center"/>
            <w:hideMark/>
          </w:tcPr>
          <w:p w14:paraId="1510E46E"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5</w:t>
            </w:r>
          </w:p>
        </w:tc>
        <w:tc>
          <w:tcPr>
            <w:tcW w:w="1004" w:type="dxa"/>
            <w:tcBorders>
              <w:top w:val="single" w:sz="8" w:space="0" w:color="auto"/>
              <w:left w:val="single" w:sz="4" w:space="0" w:color="000000"/>
              <w:bottom w:val="single" w:sz="8" w:space="0" w:color="000000"/>
              <w:right w:val="single" w:sz="4" w:space="0" w:color="000000"/>
            </w:tcBorders>
            <w:shd w:val="clear" w:color="auto" w:fill="auto"/>
            <w:noWrap/>
            <w:vAlign w:val="center"/>
            <w:hideMark/>
          </w:tcPr>
          <w:p w14:paraId="441809F5"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w:t>
            </w:r>
          </w:p>
        </w:tc>
        <w:tc>
          <w:tcPr>
            <w:tcW w:w="1562" w:type="dxa"/>
            <w:tcBorders>
              <w:top w:val="single" w:sz="8" w:space="0" w:color="auto"/>
              <w:left w:val="nil"/>
              <w:bottom w:val="single" w:sz="4" w:space="0" w:color="000000"/>
              <w:right w:val="single" w:sz="4" w:space="0" w:color="000000"/>
            </w:tcBorders>
            <w:shd w:val="clear" w:color="000000" w:fill="FFFFFF"/>
            <w:vAlign w:val="center"/>
            <w:hideMark/>
          </w:tcPr>
          <w:p w14:paraId="6942C61B"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MPMS report,</w:t>
            </w:r>
          </w:p>
          <w:p w14:paraId="41B6EC4D"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Indicator 3.3.3</w:t>
            </w:r>
          </w:p>
        </w:tc>
        <w:tc>
          <w:tcPr>
            <w:tcW w:w="1085" w:type="dxa"/>
            <w:tcBorders>
              <w:top w:val="single" w:sz="8" w:space="0" w:color="auto"/>
              <w:left w:val="nil"/>
              <w:bottom w:val="single" w:sz="4" w:space="0" w:color="000000"/>
              <w:right w:val="single" w:sz="8" w:space="0" w:color="auto"/>
            </w:tcBorders>
            <w:shd w:val="clear" w:color="auto" w:fill="auto"/>
            <w:noWrap/>
            <w:vAlign w:val="bottom"/>
            <w:hideMark/>
          </w:tcPr>
          <w:p w14:paraId="21940E6E" w14:textId="77777777" w:rsidR="00175AA2" w:rsidRPr="001E5747" w:rsidRDefault="00175AA2" w:rsidP="00A0644E">
            <w:pPr>
              <w:rPr>
                <w:rFonts w:ascii="Calibri" w:hAnsi="Calibri" w:cs="Calibri"/>
                <w:color w:val="000000"/>
                <w:sz w:val="16"/>
                <w:szCs w:val="16"/>
                <w:lang w:val="en-GB"/>
              </w:rPr>
            </w:pPr>
          </w:p>
        </w:tc>
      </w:tr>
      <w:tr w:rsidR="00175AA2" w:rsidRPr="001E5747" w14:paraId="359C7D70" w14:textId="77777777" w:rsidTr="00A0644E">
        <w:trPr>
          <w:trHeight w:val="385"/>
        </w:trPr>
        <w:tc>
          <w:tcPr>
            <w:tcW w:w="648" w:type="dxa"/>
            <w:tcBorders>
              <w:top w:val="nil"/>
              <w:left w:val="single" w:sz="8" w:space="0" w:color="auto"/>
              <w:bottom w:val="single" w:sz="8" w:space="0" w:color="auto"/>
              <w:right w:val="single" w:sz="8" w:space="0" w:color="auto"/>
            </w:tcBorders>
            <w:shd w:val="clear" w:color="000000" w:fill="8EA9DB"/>
            <w:noWrap/>
            <w:vAlign w:val="center"/>
            <w:hideMark/>
          </w:tcPr>
          <w:p w14:paraId="6AFE208D" w14:textId="77777777"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V</w:t>
            </w:r>
          </w:p>
        </w:tc>
        <w:tc>
          <w:tcPr>
            <w:tcW w:w="6293" w:type="dxa"/>
            <w:gridSpan w:val="3"/>
            <w:tcBorders>
              <w:top w:val="single" w:sz="8" w:space="0" w:color="auto"/>
              <w:left w:val="nil"/>
              <w:bottom w:val="single" w:sz="8" w:space="0" w:color="auto"/>
              <w:right w:val="single" w:sz="4" w:space="0" w:color="auto"/>
            </w:tcBorders>
            <w:shd w:val="clear" w:color="000000" w:fill="8EA9DB"/>
            <w:vAlign w:val="center"/>
            <w:hideMark/>
          </w:tcPr>
          <w:p w14:paraId="3233AB9F" w14:textId="77777777" w:rsidR="00175AA2" w:rsidRPr="001E5747" w:rsidRDefault="00175AA2" w:rsidP="00A0644E">
            <w:pPr>
              <w:rPr>
                <w:rFonts w:ascii="Calibri" w:hAnsi="Calibri" w:cs="Calibri"/>
                <w:b/>
                <w:bCs/>
                <w:color w:val="FFFFFF"/>
                <w:sz w:val="16"/>
                <w:szCs w:val="16"/>
                <w:lang w:val="en-GB"/>
              </w:rPr>
            </w:pPr>
            <w:r w:rsidRPr="001E5747">
              <w:rPr>
                <w:rFonts w:ascii="Calibri" w:hAnsi="Calibri" w:cs="Calibri"/>
                <w:b/>
                <w:bCs/>
                <w:color w:val="FFFFFF"/>
                <w:sz w:val="16"/>
                <w:szCs w:val="16"/>
                <w:lang w:val="en-GB"/>
              </w:rPr>
              <w:t xml:space="preserve">Contract management </w:t>
            </w:r>
          </w:p>
        </w:tc>
        <w:tc>
          <w:tcPr>
            <w:tcW w:w="574" w:type="dxa"/>
            <w:tcBorders>
              <w:top w:val="nil"/>
              <w:left w:val="nil"/>
              <w:bottom w:val="single" w:sz="8" w:space="0" w:color="auto"/>
              <w:right w:val="single" w:sz="4" w:space="0" w:color="auto"/>
            </w:tcBorders>
            <w:shd w:val="clear" w:color="000000" w:fill="8EA9DB"/>
            <w:vAlign w:val="center"/>
            <w:hideMark/>
          </w:tcPr>
          <w:p w14:paraId="034BC9E8" w14:textId="77777777"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7</w:t>
            </w:r>
          </w:p>
        </w:tc>
        <w:tc>
          <w:tcPr>
            <w:tcW w:w="1004" w:type="dxa"/>
            <w:tcBorders>
              <w:top w:val="nil"/>
              <w:left w:val="nil"/>
              <w:bottom w:val="single" w:sz="8" w:space="0" w:color="auto"/>
              <w:right w:val="single" w:sz="4" w:space="0" w:color="auto"/>
            </w:tcBorders>
            <w:shd w:val="clear" w:color="000000" w:fill="8EA9DB"/>
            <w:vAlign w:val="center"/>
            <w:hideMark/>
          </w:tcPr>
          <w:p w14:paraId="0D8D8647" w14:textId="77777777"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0</w:t>
            </w:r>
          </w:p>
        </w:tc>
        <w:tc>
          <w:tcPr>
            <w:tcW w:w="1562" w:type="dxa"/>
            <w:tcBorders>
              <w:top w:val="nil"/>
              <w:left w:val="nil"/>
              <w:bottom w:val="single" w:sz="8" w:space="0" w:color="auto"/>
              <w:right w:val="single" w:sz="4" w:space="0" w:color="auto"/>
            </w:tcBorders>
            <w:shd w:val="clear" w:color="000000" w:fill="8EA9DB"/>
            <w:vAlign w:val="center"/>
            <w:hideMark/>
          </w:tcPr>
          <w:p w14:paraId="0964FFBB" w14:textId="77777777" w:rsidR="00175AA2" w:rsidRPr="001E5747" w:rsidRDefault="00175AA2" w:rsidP="00A0644E">
            <w:pPr>
              <w:jc w:val="center"/>
              <w:rPr>
                <w:rFonts w:ascii="Calibri" w:hAnsi="Calibri" w:cs="Calibri"/>
                <w:b/>
                <w:bCs/>
                <w:color w:val="FFFFFF"/>
                <w:sz w:val="16"/>
                <w:szCs w:val="16"/>
                <w:lang w:val="en-GB"/>
              </w:rPr>
            </w:pPr>
          </w:p>
        </w:tc>
        <w:tc>
          <w:tcPr>
            <w:tcW w:w="1085" w:type="dxa"/>
            <w:tcBorders>
              <w:top w:val="nil"/>
              <w:left w:val="nil"/>
              <w:bottom w:val="single" w:sz="8" w:space="0" w:color="auto"/>
              <w:right w:val="single" w:sz="8" w:space="0" w:color="auto"/>
            </w:tcBorders>
            <w:shd w:val="clear" w:color="000000" w:fill="8EA9DB"/>
            <w:vAlign w:val="center"/>
            <w:hideMark/>
          </w:tcPr>
          <w:p w14:paraId="02B35A51" w14:textId="77777777" w:rsidR="00175AA2" w:rsidRPr="001E5747" w:rsidRDefault="00175AA2" w:rsidP="00A0644E">
            <w:pPr>
              <w:jc w:val="center"/>
              <w:rPr>
                <w:rFonts w:ascii="Calibri" w:hAnsi="Calibri" w:cs="Calibri"/>
                <w:b/>
                <w:bCs/>
                <w:color w:val="FFFFFF"/>
                <w:sz w:val="16"/>
                <w:szCs w:val="16"/>
                <w:lang w:val="en-GB"/>
              </w:rPr>
            </w:pPr>
          </w:p>
        </w:tc>
      </w:tr>
      <w:tr w:rsidR="00175AA2" w:rsidRPr="001E5747" w14:paraId="26DAFD51" w14:textId="77777777" w:rsidTr="00A0644E">
        <w:trPr>
          <w:trHeight w:val="1200"/>
        </w:trPr>
        <w:tc>
          <w:tcPr>
            <w:tcW w:w="648" w:type="dxa"/>
            <w:tcBorders>
              <w:top w:val="nil"/>
              <w:left w:val="single" w:sz="8" w:space="0" w:color="auto"/>
              <w:bottom w:val="single" w:sz="8" w:space="0" w:color="000000"/>
              <w:right w:val="single" w:sz="8" w:space="0" w:color="auto"/>
            </w:tcBorders>
            <w:shd w:val="clear" w:color="000000" w:fill="8EA9DB"/>
            <w:noWrap/>
            <w:vAlign w:val="center"/>
            <w:hideMark/>
          </w:tcPr>
          <w:p w14:paraId="4F850B61" w14:textId="77777777" w:rsidR="00175AA2" w:rsidRPr="001E5747" w:rsidRDefault="00175AA2" w:rsidP="00A0644E">
            <w:pPr>
              <w:jc w:val="center"/>
              <w:rPr>
                <w:rFonts w:ascii="Calibri" w:hAnsi="Calibri" w:cs="Calibri"/>
                <w:b/>
                <w:bCs/>
                <w:color w:val="000000"/>
                <w:sz w:val="16"/>
                <w:szCs w:val="16"/>
                <w:lang w:val="en-GB"/>
              </w:rPr>
            </w:pPr>
            <w:r w:rsidRPr="001E5747">
              <w:rPr>
                <w:rFonts w:ascii="Calibri" w:hAnsi="Calibri" w:cs="Calibri"/>
                <w:b/>
                <w:bCs/>
                <w:color w:val="000000"/>
                <w:sz w:val="16"/>
                <w:szCs w:val="16"/>
                <w:lang w:val="en-GB"/>
              </w:rPr>
              <w:t>17</w:t>
            </w:r>
          </w:p>
        </w:tc>
        <w:tc>
          <w:tcPr>
            <w:tcW w:w="3089" w:type="dxa"/>
            <w:tcBorders>
              <w:top w:val="nil"/>
              <w:left w:val="nil"/>
              <w:bottom w:val="single" w:sz="4" w:space="0" w:color="000000"/>
              <w:right w:val="single" w:sz="4" w:space="0" w:color="000000"/>
            </w:tcBorders>
            <w:shd w:val="clear" w:color="auto" w:fill="auto"/>
            <w:vAlign w:val="center"/>
            <w:hideMark/>
          </w:tcPr>
          <w:p w14:paraId="3E1262FA"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Level of implementation of the procurement plan</w:t>
            </w:r>
          </w:p>
        </w:tc>
        <w:tc>
          <w:tcPr>
            <w:tcW w:w="2546" w:type="dxa"/>
            <w:tcBorders>
              <w:top w:val="nil"/>
              <w:left w:val="nil"/>
              <w:bottom w:val="single" w:sz="4" w:space="0" w:color="000000"/>
              <w:right w:val="single" w:sz="4" w:space="0" w:color="000000"/>
            </w:tcBorders>
            <w:shd w:val="clear" w:color="auto" w:fill="auto"/>
            <w:vAlign w:val="center"/>
            <w:hideMark/>
          </w:tcPr>
          <w:p w14:paraId="626BE962"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xml:space="preserve">• 0 points if the result in MPMS is up to 59.99%, </w:t>
            </w:r>
          </w:p>
          <w:p w14:paraId="60E54943"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xml:space="preserve">• 1 point if the result in MPMS is 60% - 89.99%, </w:t>
            </w:r>
          </w:p>
          <w:p w14:paraId="5738886C"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3 points if the result in MPMS is equal to or higher than 90%.</w:t>
            </w:r>
          </w:p>
        </w:tc>
        <w:tc>
          <w:tcPr>
            <w:tcW w:w="658" w:type="dxa"/>
            <w:tcBorders>
              <w:top w:val="nil"/>
              <w:left w:val="single" w:sz="4" w:space="0" w:color="000000"/>
              <w:bottom w:val="single" w:sz="8" w:space="0" w:color="000000"/>
              <w:right w:val="single" w:sz="4" w:space="0" w:color="000000"/>
            </w:tcBorders>
            <w:shd w:val="clear" w:color="auto" w:fill="auto"/>
            <w:vAlign w:val="center"/>
            <w:hideMark/>
          </w:tcPr>
          <w:p w14:paraId="2ED68575"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0.00%</w:t>
            </w:r>
          </w:p>
        </w:tc>
        <w:tc>
          <w:tcPr>
            <w:tcW w:w="574" w:type="dxa"/>
            <w:tcBorders>
              <w:top w:val="nil"/>
              <w:left w:val="single" w:sz="4" w:space="0" w:color="000000"/>
              <w:bottom w:val="single" w:sz="8" w:space="0" w:color="000000"/>
              <w:right w:val="single" w:sz="4" w:space="0" w:color="000000"/>
            </w:tcBorders>
            <w:shd w:val="clear" w:color="auto" w:fill="auto"/>
            <w:noWrap/>
            <w:vAlign w:val="center"/>
            <w:hideMark/>
          </w:tcPr>
          <w:p w14:paraId="76CA9465"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3</w:t>
            </w:r>
          </w:p>
        </w:tc>
        <w:tc>
          <w:tcPr>
            <w:tcW w:w="1004" w:type="dxa"/>
            <w:tcBorders>
              <w:top w:val="nil"/>
              <w:left w:val="single" w:sz="4" w:space="0" w:color="000000"/>
              <w:bottom w:val="single" w:sz="8" w:space="0" w:color="000000"/>
              <w:right w:val="single" w:sz="4" w:space="0" w:color="000000"/>
            </w:tcBorders>
            <w:shd w:val="clear" w:color="auto" w:fill="auto"/>
            <w:noWrap/>
            <w:vAlign w:val="center"/>
            <w:hideMark/>
          </w:tcPr>
          <w:p w14:paraId="54ABDE0D"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w:t>
            </w:r>
          </w:p>
        </w:tc>
        <w:tc>
          <w:tcPr>
            <w:tcW w:w="1562" w:type="dxa"/>
            <w:tcBorders>
              <w:top w:val="nil"/>
              <w:left w:val="nil"/>
              <w:bottom w:val="single" w:sz="4" w:space="0" w:color="000000"/>
              <w:right w:val="single" w:sz="4" w:space="0" w:color="000000"/>
            </w:tcBorders>
            <w:shd w:val="clear" w:color="000000" w:fill="FFFFFF"/>
            <w:vAlign w:val="center"/>
            <w:hideMark/>
          </w:tcPr>
          <w:p w14:paraId="60728032"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MPMS report,</w:t>
            </w:r>
          </w:p>
          <w:p w14:paraId="23ACF873"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Indicator 3.3.1</w:t>
            </w:r>
          </w:p>
        </w:tc>
        <w:tc>
          <w:tcPr>
            <w:tcW w:w="1085" w:type="dxa"/>
            <w:tcBorders>
              <w:top w:val="nil"/>
              <w:left w:val="nil"/>
              <w:bottom w:val="single" w:sz="4" w:space="0" w:color="000000"/>
              <w:right w:val="single" w:sz="8" w:space="0" w:color="auto"/>
            </w:tcBorders>
            <w:shd w:val="clear" w:color="000000" w:fill="FFFFFF"/>
            <w:hideMark/>
          </w:tcPr>
          <w:p w14:paraId="3DC4180A" w14:textId="77777777" w:rsidR="00175AA2" w:rsidRPr="001E5747" w:rsidRDefault="00175AA2" w:rsidP="00A0644E">
            <w:pPr>
              <w:rPr>
                <w:rFonts w:ascii="Calibri" w:hAnsi="Calibri" w:cs="Calibri"/>
                <w:color w:val="000000"/>
                <w:sz w:val="16"/>
                <w:szCs w:val="16"/>
                <w:lang w:val="en-GB"/>
              </w:rPr>
            </w:pPr>
          </w:p>
        </w:tc>
      </w:tr>
      <w:tr w:rsidR="00175AA2" w:rsidRPr="001E5747" w14:paraId="6BFB0758" w14:textId="77777777" w:rsidTr="00A0644E">
        <w:trPr>
          <w:trHeight w:val="1235"/>
        </w:trPr>
        <w:tc>
          <w:tcPr>
            <w:tcW w:w="648" w:type="dxa"/>
            <w:tcBorders>
              <w:top w:val="nil"/>
              <w:left w:val="single" w:sz="8" w:space="0" w:color="auto"/>
              <w:bottom w:val="single" w:sz="8" w:space="0" w:color="000000"/>
              <w:right w:val="single" w:sz="8" w:space="0" w:color="auto"/>
            </w:tcBorders>
            <w:shd w:val="clear" w:color="000000" w:fill="8EA9DB"/>
            <w:noWrap/>
            <w:vAlign w:val="center"/>
            <w:hideMark/>
          </w:tcPr>
          <w:p w14:paraId="3A34E36B" w14:textId="77777777" w:rsidR="00175AA2" w:rsidRPr="001E5747" w:rsidRDefault="00175AA2" w:rsidP="00A0644E">
            <w:pPr>
              <w:jc w:val="center"/>
              <w:rPr>
                <w:rFonts w:ascii="Calibri" w:hAnsi="Calibri" w:cs="Calibri"/>
                <w:b/>
                <w:bCs/>
                <w:color w:val="000000"/>
                <w:sz w:val="16"/>
                <w:szCs w:val="16"/>
                <w:lang w:val="en-GB"/>
              </w:rPr>
            </w:pPr>
            <w:r w:rsidRPr="001E5747">
              <w:rPr>
                <w:rFonts w:ascii="Calibri" w:hAnsi="Calibri" w:cs="Calibri"/>
                <w:b/>
                <w:bCs/>
                <w:color w:val="000000"/>
                <w:sz w:val="16"/>
                <w:szCs w:val="16"/>
                <w:lang w:val="en-GB"/>
              </w:rPr>
              <w:t>18</w:t>
            </w:r>
          </w:p>
        </w:tc>
        <w:tc>
          <w:tcPr>
            <w:tcW w:w="3089" w:type="dxa"/>
            <w:tcBorders>
              <w:top w:val="nil"/>
              <w:left w:val="nil"/>
              <w:bottom w:val="single" w:sz="4" w:space="0" w:color="000000"/>
              <w:right w:val="single" w:sz="4" w:space="0" w:color="000000"/>
            </w:tcBorders>
            <w:shd w:val="clear" w:color="auto" w:fill="auto"/>
            <w:vAlign w:val="center"/>
            <w:hideMark/>
          </w:tcPr>
          <w:p w14:paraId="1A05554B"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br/>
              <w:t>Preparation and publication of the list of municipal properties planned for commissioning</w:t>
            </w:r>
          </w:p>
        </w:tc>
        <w:tc>
          <w:tcPr>
            <w:tcW w:w="2546" w:type="dxa"/>
            <w:tcBorders>
              <w:top w:val="nil"/>
              <w:left w:val="nil"/>
              <w:bottom w:val="single" w:sz="4" w:space="0" w:color="000000"/>
              <w:right w:val="single" w:sz="4" w:space="0" w:color="000000"/>
            </w:tcBorders>
            <w:shd w:val="clear" w:color="auto" w:fill="auto"/>
            <w:vAlign w:val="center"/>
            <w:hideMark/>
          </w:tcPr>
          <w:p w14:paraId="59A5D46B"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xml:space="preserve">• 0 points if the result in MPMS is up to 49.99%, </w:t>
            </w:r>
          </w:p>
          <w:p w14:paraId="49D2F339"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2 points if the result in MPMS is 50%,</w:t>
            </w:r>
          </w:p>
          <w:p w14:paraId="3CC9B031"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4 points if the result in MPMS is 100%.</w:t>
            </w:r>
          </w:p>
        </w:tc>
        <w:tc>
          <w:tcPr>
            <w:tcW w:w="658" w:type="dxa"/>
            <w:tcBorders>
              <w:top w:val="nil"/>
              <w:left w:val="single" w:sz="4" w:space="0" w:color="000000"/>
              <w:bottom w:val="single" w:sz="8" w:space="0" w:color="000000"/>
              <w:right w:val="single" w:sz="4" w:space="0" w:color="000000"/>
            </w:tcBorders>
            <w:shd w:val="clear" w:color="auto" w:fill="auto"/>
            <w:vAlign w:val="center"/>
            <w:hideMark/>
          </w:tcPr>
          <w:p w14:paraId="20792384"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0.00%</w:t>
            </w:r>
          </w:p>
        </w:tc>
        <w:tc>
          <w:tcPr>
            <w:tcW w:w="574" w:type="dxa"/>
            <w:tcBorders>
              <w:top w:val="nil"/>
              <w:left w:val="single" w:sz="4" w:space="0" w:color="000000"/>
              <w:bottom w:val="single" w:sz="8" w:space="0" w:color="000000"/>
              <w:right w:val="single" w:sz="4" w:space="0" w:color="000000"/>
            </w:tcBorders>
            <w:shd w:val="clear" w:color="auto" w:fill="auto"/>
            <w:noWrap/>
            <w:vAlign w:val="center"/>
            <w:hideMark/>
          </w:tcPr>
          <w:p w14:paraId="62543F04"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4</w:t>
            </w:r>
          </w:p>
        </w:tc>
        <w:tc>
          <w:tcPr>
            <w:tcW w:w="1004" w:type="dxa"/>
            <w:tcBorders>
              <w:top w:val="nil"/>
              <w:left w:val="single" w:sz="4" w:space="0" w:color="000000"/>
              <w:bottom w:val="single" w:sz="8" w:space="0" w:color="000000"/>
              <w:right w:val="single" w:sz="4" w:space="0" w:color="000000"/>
            </w:tcBorders>
            <w:shd w:val="clear" w:color="auto" w:fill="auto"/>
            <w:noWrap/>
            <w:vAlign w:val="center"/>
            <w:hideMark/>
          </w:tcPr>
          <w:p w14:paraId="550261E8"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w:t>
            </w:r>
          </w:p>
        </w:tc>
        <w:tc>
          <w:tcPr>
            <w:tcW w:w="1562" w:type="dxa"/>
            <w:tcBorders>
              <w:top w:val="nil"/>
              <w:left w:val="nil"/>
              <w:bottom w:val="single" w:sz="4" w:space="0" w:color="000000"/>
              <w:right w:val="single" w:sz="4" w:space="0" w:color="000000"/>
            </w:tcBorders>
            <w:shd w:val="clear" w:color="auto" w:fill="auto"/>
            <w:vAlign w:val="center"/>
            <w:hideMark/>
          </w:tcPr>
          <w:p w14:paraId="5772D8DF"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MPMS report,</w:t>
            </w:r>
          </w:p>
          <w:p w14:paraId="6BF6C9D0"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Indicator 19.1.2</w:t>
            </w:r>
          </w:p>
          <w:p w14:paraId="75A9127E" w14:textId="77777777" w:rsidR="00175AA2" w:rsidRPr="001E5747" w:rsidRDefault="00175AA2" w:rsidP="00A0644E">
            <w:pPr>
              <w:jc w:val="center"/>
              <w:rPr>
                <w:rFonts w:ascii="Calibri" w:hAnsi="Calibri" w:cs="Calibri"/>
                <w:color w:val="000000"/>
                <w:sz w:val="16"/>
                <w:szCs w:val="16"/>
                <w:lang w:val="en-GB"/>
              </w:rPr>
            </w:pPr>
          </w:p>
          <w:p w14:paraId="72375532" w14:textId="77777777" w:rsidR="00175AA2" w:rsidRPr="001E5747" w:rsidRDefault="00175AA2" w:rsidP="00A0644E">
            <w:pPr>
              <w:jc w:val="center"/>
              <w:rPr>
                <w:rFonts w:ascii="Calibri" w:hAnsi="Calibri" w:cs="Calibri"/>
                <w:color w:val="000000"/>
                <w:sz w:val="16"/>
                <w:szCs w:val="16"/>
                <w:lang w:val="en-GB"/>
              </w:rPr>
            </w:pPr>
          </w:p>
        </w:tc>
        <w:tc>
          <w:tcPr>
            <w:tcW w:w="1085" w:type="dxa"/>
            <w:tcBorders>
              <w:top w:val="nil"/>
              <w:left w:val="nil"/>
              <w:bottom w:val="single" w:sz="4" w:space="0" w:color="000000"/>
              <w:right w:val="single" w:sz="8" w:space="0" w:color="auto"/>
            </w:tcBorders>
            <w:shd w:val="clear" w:color="auto" w:fill="auto"/>
            <w:hideMark/>
          </w:tcPr>
          <w:p w14:paraId="4FCC4EE2" w14:textId="77777777" w:rsidR="00175AA2" w:rsidRPr="001E5747" w:rsidRDefault="00175AA2" w:rsidP="00A0644E">
            <w:pPr>
              <w:rPr>
                <w:rFonts w:ascii="Calibri" w:hAnsi="Calibri" w:cs="Calibri"/>
                <w:color w:val="000000"/>
                <w:sz w:val="16"/>
                <w:szCs w:val="16"/>
                <w:lang w:val="en-GB"/>
              </w:rPr>
            </w:pPr>
          </w:p>
        </w:tc>
      </w:tr>
      <w:tr w:rsidR="00175AA2" w:rsidRPr="001E5747" w14:paraId="03BEC5C3" w14:textId="77777777" w:rsidTr="00A0644E">
        <w:trPr>
          <w:trHeight w:val="322"/>
        </w:trPr>
        <w:tc>
          <w:tcPr>
            <w:tcW w:w="648" w:type="dxa"/>
            <w:tcBorders>
              <w:top w:val="nil"/>
              <w:left w:val="single" w:sz="8" w:space="0" w:color="auto"/>
              <w:bottom w:val="single" w:sz="8" w:space="0" w:color="auto"/>
              <w:right w:val="single" w:sz="8" w:space="0" w:color="auto"/>
            </w:tcBorders>
            <w:shd w:val="clear" w:color="000000" w:fill="8EA9DB"/>
            <w:noWrap/>
            <w:vAlign w:val="center"/>
            <w:hideMark/>
          </w:tcPr>
          <w:p w14:paraId="1855B39B" w14:textId="77777777"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VI</w:t>
            </w:r>
          </w:p>
        </w:tc>
        <w:tc>
          <w:tcPr>
            <w:tcW w:w="6293" w:type="dxa"/>
            <w:gridSpan w:val="3"/>
            <w:tcBorders>
              <w:top w:val="single" w:sz="8" w:space="0" w:color="auto"/>
              <w:left w:val="nil"/>
              <w:bottom w:val="single" w:sz="8" w:space="0" w:color="auto"/>
              <w:right w:val="single" w:sz="4" w:space="0" w:color="auto"/>
            </w:tcBorders>
            <w:shd w:val="clear" w:color="000000" w:fill="8EA9DB"/>
            <w:vAlign w:val="center"/>
            <w:hideMark/>
          </w:tcPr>
          <w:p w14:paraId="2AD805DF" w14:textId="77777777" w:rsidR="00175AA2" w:rsidRPr="001E5747" w:rsidRDefault="00175AA2" w:rsidP="00A0644E">
            <w:pPr>
              <w:rPr>
                <w:rFonts w:ascii="Calibri" w:hAnsi="Calibri" w:cs="Calibri"/>
                <w:b/>
                <w:bCs/>
                <w:color w:val="FFFFFF"/>
                <w:sz w:val="16"/>
                <w:szCs w:val="16"/>
                <w:lang w:val="en-GB"/>
              </w:rPr>
            </w:pPr>
            <w:r w:rsidRPr="001E5747">
              <w:rPr>
                <w:rFonts w:ascii="Calibri" w:hAnsi="Calibri" w:cs="Calibri"/>
                <w:b/>
                <w:bCs/>
                <w:color w:val="FFFFFF"/>
                <w:sz w:val="16"/>
                <w:szCs w:val="16"/>
                <w:lang w:val="en-GB"/>
              </w:rPr>
              <w:t xml:space="preserve">Human resource Management </w:t>
            </w:r>
          </w:p>
        </w:tc>
        <w:tc>
          <w:tcPr>
            <w:tcW w:w="574" w:type="dxa"/>
            <w:tcBorders>
              <w:top w:val="nil"/>
              <w:left w:val="nil"/>
              <w:bottom w:val="single" w:sz="8" w:space="0" w:color="auto"/>
              <w:right w:val="single" w:sz="4" w:space="0" w:color="auto"/>
            </w:tcBorders>
            <w:shd w:val="clear" w:color="000000" w:fill="8EA9DB"/>
            <w:vAlign w:val="center"/>
            <w:hideMark/>
          </w:tcPr>
          <w:p w14:paraId="3C65F735" w14:textId="77777777" w:rsidR="00175AA2" w:rsidRPr="001E5747" w:rsidRDefault="00AF23F5" w:rsidP="00AF23F5">
            <w:pPr>
              <w:jc w:val="center"/>
              <w:rPr>
                <w:rFonts w:ascii="Calibri" w:hAnsi="Calibri" w:cs="Calibri"/>
                <w:b/>
                <w:bCs/>
                <w:color w:val="FFFFFF"/>
                <w:sz w:val="16"/>
                <w:szCs w:val="16"/>
                <w:lang w:val="en-GB"/>
              </w:rPr>
            </w:pPr>
            <w:r>
              <w:rPr>
                <w:rFonts w:ascii="Calibri" w:hAnsi="Calibri" w:cs="Calibri"/>
                <w:b/>
                <w:bCs/>
                <w:color w:val="FFFFFF"/>
                <w:sz w:val="16"/>
                <w:szCs w:val="16"/>
                <w:lang w:val="en-GB"/>
              </w:rPr>
              <w:t>8</w:t>
            </w:r>
          </w:p>
        </w:tc>
        <w:tc>
          <w:tcPr>
            <w:tcW w:w="1004" w:type="dxa"/>
            <w:tcBorders>
              <w:top w:val="nil"/>
              <w:left w:val="nil"/>
              <w:bottom w:val="single" w:sz="8" w:space="0" w:color="auto"/>
              <w:right w:val="single" w:sz="4" w:space="0" w:color="auto"/>
            </w:tcBorders>
            <w:shd w:val="clear" w:color="000000" w:fill="8EA9DB"/>
            <w:vAlign w:val="center"/>
            <w:hideMark/>
          </w:tcPr>
          <w:p w14:paraId="2EC972C3" w14:textId="77777777"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0</w:t>
            </w:r>
          </w:p>
        </w:tc>
        <w:tc>
          <w:tcPr>
            <w:tcW w:w="1562" w:type="dxa"/>
            <w:tcBorders>
              <w:top w:val="nil"/>
              <w:left w:val="nil"/>
              <w:bottom w:val="single" w:sz="8" w:space="0" w:color="auto"/>
              <w:right w:val="single" w:sz="4" w:space="0" w:color="auto"/>
            </w:tcBorders>
            <w:shd w:val="clear" w:color="000000" w:fill="8EA9DB"/>
            <w:vAlign w:val="center"/>
            <w:hideMark/>
          </w:tcPr>
          <w:p w14:paraId="014479C3" w14:textId="77777777" w:rsidR="00175AA2" w:rsidRPr="001E5747" w:rsidRDefault="00175AA2" w:rsidP="00A0644E">
            <w:pPr>
              <w:jc w:val="center"/>
              <w:rPr>
                <w:rFonts w:ascii="Calibri" w:hAnsi="Calibri" w:cs="Calibri"/>
                <w:b/>
                <w:bCs/>
                <w:color w:val="FFFFFF"/>
                <w:sz w:val="16"/>
                <w:szCs w:val="16"/>
                <w:lang w:val="en-GB"/>
              </w:rPr>
            </w:pPr>
          </w:p>
        </w:tc>
        <w:tc>
          <w:tcPr>
            <w:tcW w:w="1085" w:type="dxa"/>
            <w:tcBorders>
              <w:top w:val="nil"/>
              <w:left w:val="nil"/>
              <w:bottom w:val="single" w:sz="8" w:space="0" w:color="auto"/>
              <w:right w:val="single" w:sz="8" w:space="0" w:color="auto"/>
            </w:tcBorders>
            <w:shd w:val="clear" w:color="000000" w:fill="8EA9DB"/>
            <w:vAlign w:val="center"/>
            <w:hideMark/>
          </w:tcPr>
          <w:p w14:paraId="3AFFD5ED" w14:textId="77777777" w:rsidR="00175AA2" w:rsidRPr="001E5747" w:rsidRDefault="00175AA2" w:rsidP="00A0644E">
            <w:pPr>
              <w:jc w:val="center"/>
              <w:rPr>
                <w:rFonts w:ascii="Calibri" w:hAnsi="Calibri" w:cs="Calibri"/>
                <w:b/>
                <w:bCs/>
                <w:color w:val="FFFFFF"/>
                <w:sz w:val="16"/>
                <w:szCs w:val="16"/>
                <w:lang w:val="en-GB"/>
              </w:rPr>
            </w:pPr>
          </w:p>
        </w:tc>
      </w:tr>
      <w:tr w:rsidR="00175AA2" w:rsidRPr="001E5747" w14:paraId="199C15DA" w14:textId="77777777" w:rsidTr="00D25AD4">
        <w:trPr>
          <w:trHeight w:val="1200"/>
        </w:trPr>
        <w:tc>
          <w:tcPr>
            <w:tcW w:w="648" w:type="dxa"/>
            <w:tcBorders>
              <w:top w:val="nil"/>
              <w:left w:val="single" w:sz="8" w:space="0" w:color="auto"/>
              <w:bottom w:val="single" w:sz="4" w:space="0" w:color="000000"/>
              <w:right w:val="single" w:sz="8" w:space="0" w:color="auto"/>
            </w:tcBorders>
            <w:shd w:val="clear" w:color="000000" w:fill="8EA9DB"/>
            <w:noWrap/>
            <w:vAlign w:val="center"/>
            <w:hideMark/>
          </w:tcPr>
          <w:p w14:paraId="48B56E8E" w14:textId="77777777" w:rsidR="00175AA2" w:rsidRPr="001E5747" w:rsidRDefault="00175AA2" w:rsidP="00A0644E">
            <w:pPr>
              <w:jc w:val="center"/>
              <w:rPr>
                <w:rFonts w:ascii="Calibri" w:hAnsi="Calibri" w:cs="Calibri"/>
                <w:b/>
                <w:bCs/>
                <w:color w:val="000000"/>
                <w:sz w:val="16"/>
                <w:szCs w:val="16"/>
                <w:lang w:val="en-GB"/>
              </w:rPr>
            </w:pPr>
            <w:r w:rsidRPr="001E5747">
              <w:rPr>
                <w:rFonts w:ascii="Calibri" w:hAnsi="Calibri" w:cs="Calibri"/>
                <w:b/>
                <w:bCs/>
                <w:color w:val="000000"/>
                <w:sz w:val="16"/>
                <w:szCs w:val="16"/>
                <w:lang w:val="en-GB"/>
              </w:rPr>
              <w:t>19</w:t>
            </w:r>
          </w:p>
        </w:tc>
        <w:tc>
          <w:tcPr>
            <w:tcW w:w="3089" w:type="dxa"/>
            <w:tcBorders>
              <w:top w:val="nil"/>
              <w:left w:val="nil"/>
              <w:bottom w:val="single" w:sz="4" w:space="0" w:color="000000"/>
              <w:right w:val="single" w:sz="4" w:space="0" w:color="000000"/>
            </w:tcBorders>
            <w:shd w:val="clear" w:color="auto" w:fill="FFC000"/>
            <w:vAlign w:val="center"/>
            <w:hideMark/>
          </w:tcPr>
          <w:p w14:paraId="735F1792"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br/>
              <w:t>Vacancies processed through HRMIS</w:t>
            </w:r>
          </w:p>
        </w:tc>
        <w:tc>
          <w:tcPr>
            <w:tcW w:w="2546" w:type="dxa"/>
            <w:tcBorders>
              <w:top w:val="nil"/>
              <w:left w:val="nil"/>
              <w:bottom w:val="single" w:sz="4" w:space="0" w:color="000000"/>
              <w:right w:val="single" w:sz="4" w:space="0" w:color="000000"/>
            </w:tcBorders>
            <w:shd w:val="clear" w:color="auto" w:fill="FFC000"/>
            <w:vAlign w:val="center"/>
            <w:hideMark/>
          </w:tcPr>
          <w:p w14:paraId="22184203"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xml:space="preserve">• 0 points if the result in MPMS is up to 49.99%, </w:t>
            </w:r>
          </w:p>
          <w:p w14:paraId="17A93E3D"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xml:space="preserve">• 1 point if the result in MPMS is 50% - 89.99%, </w:t>
            </w:r>
          </w:p>
          <w:p w14:paraId="52C57922"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2 points if the result in MPMS is equal to or higher than 90%.</w:t>
            </w:r>
          </w:p>
        </w:tc>
        <w:tc>
          <w:tcPr>
            <w:tcW w:w="658" w:type="dxa"/>
            <w:tcBorders>
              <w:top w:val="nil"/>
              <w:left w:val="single" w:sz="4" w:space="0" w:color="000000"/>
              <w:bottom w:val="nil"/>
              <w:right w:val="single" w:sz="4" w:space="0" w:color="000000"/>
            </w:tcBorders>
            <w:shd w:val="clear" w:color="auto" w:fill="FFC000"/>
            <w:vAlign w:val="center"/>
            <w:hideMark/>
          </w:tcPr>
          <w:p w14:paraId="7CC4F86C"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0.00%</w:t>
            </w:r>
          </w:p>
        </w:tc>
        <w:tc>
          <w:tcPr>
            <w:tcW w:w="574" w:type="dxa"/>
            <w:tcBorders>
              <w:top w:val="nil"/>
              <w:left w:val="single" w:sz="4" w:space="0" w:color="000000"/>
              <w:bottom w:val="single" w:sz="4" w:space="0" w:color="000000"/>
              <w:right w:val="single" w:sz="4" w:space="0" w:color="000000"/>
            </w:tcBorders>
            <w:shd w:val="clear" w:color="auto" w:fill="FFC000"/>
            <w:noWrap/>
            <w:vAlign w:val="center"/>
            <w:hideMark/>
          </w:tcPr>
          <w:p w14:paraId="2B7B36BB"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2</w:t>
            </w:r>
          </w:p>
        </w:tc>
        <w:tc>
          <w:tcPr>
            <w:tcW w:w="1004" w:type="dxa"/>
            <w:tcBorders>
              <w:top w:val="nil"/>
              <w:left w:val="single" w:sz="4" w:space="0" w:color="000000"/>
              <w:bottom w:val="single" w:sz="4" w:space="0" w:color="000000"/>
              <w:right w:val="single" w:sz="4" w:space="0" w:color="000000"/>
            </w:tcBorders>
            <w:shd w:val="clear" w:color="auto" w:fill="FFC000"/>
            <w:noWrap/>
            <w:vAlign w:val="center"/>
            <w:hideMark/>
          </w:tcPr>
          <w:p w14:paraId="30EF6233"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w:t>
            </w:r>
          </w:p>
        </w:tc>
        <w:tc>
          <w:tcPr>
            <w:tcW w:w="1562" w:type="dxa"/>
            <w:tcBorders>
              <w:top w:val="nil"/>
              <w:left w:val="nil"/>
              <w:bottom w:val="single" w:sz="4" w:space="0" w:color="000000"/>
              <w:right w:val="single" w:sz="4" w:space="0" w:color="000000"/>
            </w:tcBorders>
            <w:shd w:val="clear" w:color="auto" w:fill="FFC000"/>
            <w:vAlign w:val="center"/>
            <w:hideMark/>
          </w:tcPr>
          <w:p w14:paraId="6A971631"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MPMS report,</w:t>
            </w:r>
            <w:r w:rsidRPr="001E5747">
              <w:rPr>
                <w:rFonts w:ascii="Calibri" w:hAnsi="Calibri" w:cs="Calibri"/>
                <w:color w:val="000000"/>
                <w:sz w:val="16"/>
                <w:szCs w:val="16"/>
                <w:lang w:val="en-GB"/>
              </w:rPr>
              <w:br/>
              <w:t xml:space="preserve"> Indicator 3.5.2</w:t>
            </w:r>
          </w:p>
        </w:tc>
        <w:tc>
          <w:tcPr>
            <w:tcW w:w="1085" w:type="dxa"/>
            <w:tcBorders>
              <w:top w:val="nil"/>
              <w:left w:val="nil"/>
              <w:bottom w:val="single" w:sz="4" w:space="0" w:color="000000"/>
              <w:right w:val="single" w:sz="8" w:space="0" w:color="auto"/>
            </w:tcBorders>
            <w:shd w:val="clear" w:color="auto" w:fill="FFC000"/>
            <w:hideMark/>
          </w:tcPr>
          <w:p w14:paraId="413B4392" w14:textId="4B16A171" w:rsidR="00175AA2" w:rsidRPr="001E5747" w:rsidRDefault="00AF23F5" w:rsidP="00AA1660">
            <w:pPr>
              <w:rPr>
                <w:rFonts w:ascii="Calibri" w:hAnsi="Calibri" w:cs="Calibri"/>
                <w:color w:val="000000"/>
                <w:sz w:val="16"/>
                <w:szCs w:val="16"/>
                <w:lang w:val="en-GB"/>
              </w:rPr>
            </w:pPr>
            <w:r w:rsidRPr="00AF23F5">
              <w:rPr>
                <w:rFonts w:ascii="Calibri" w:hAnsi="Calibri" w:cs="Calibri"/>
                <w:color w:val="000000"/>
                <w:sz w:val="16"/>
                <w:szCs w:val="16"/>
                <w:lang w:val="en-GB"/>
              </w:rPr>
              <w:t xml:space="preserve">This indicator </w:t>
            </w:r>
            <w:r w:rsidR="00AA1660">
              <w:rPr>
                <w:rFonts w:ascii="Calibri" w:hAnsi="Calibri" w:cs="Calibri"/>
                <w:color w:val="000000"/>
                <w:sz w:val="16"/>
                <w:szCs w:val="16"/>
                <w:lang w:val="en-GB"/>
              </w:rPr>
              <w:t>has not been</w:t>
            </w:r>
            <w:r w:rsidRPr="00AF23F5">
              <w:rPr>
                <w:rFonts w:ascii="Calibri" w:hAnsi="Calibri" w:cs="Calibri"/>
                <w:color w:val="000000"/>
                <w:sz w:val="16"/>
                <w:szCs w:val="16"/>
                <w:lang w:val="en-GB"/>
              </w:rPr>
              <w:t xml:space="preserve"> </w:t>
            </w:r>
            <w:r w:rsidR="00AA1660">
              <w:rPr>
                <w:rFonts w:ascii="Calibri" w:hAnsi="Calibri" w:cs="Calibri"/>
                <w:color w:val="000000"/>
                <w:sz w:val="16"/>
                <w:szCs w:val="16"/>
                <w:lang w:val="en-GB"/>
              </w:rPr>
              <w:t>scored</w:t>
            </w:r>
            <w:r w:rsidRPr="00AF23F5">
              <w:rPr>
                <w:rFonts w:ascii="Calibri" w:hAnsi="Calibri" w:cs="Calibri"/>
                <w:color w:val="000000"/>
                <w:sz w:val="16"/>
                <w:szCs w:val="16"/>
                <w:lang w:val="en-GB"/>
              </w:rPr>
              <w:t>. For more details, you can refer to the Rules of the Municipal Performance Grant for the Fiscal Year 202</w:t>
            </w:r>
            <w:r w:rsidR="00310D3C">
              <w:rPr>
                <w:rFonts w:ascii="Calibri" w:hAnsi="Calibri" w:cs="Calibri"/>
                <w:color w:val="000000"/>
                <w:sz w:val="16"/>
                <w:szCs w:val="16"/>
                <w:lang w:val="en-GB"/>
              </w:rPr>
              <w:t>3</w:t>
            </w:r>
          </w:p>
        </w:tc>
      </w:tr>
      <w:tr w:rsidR="00175AA2" w:rsidRPr="001E5747" w14:paraId="58E42588" w14:textId="77777777" w:rsidTr="00A0644E">
        <w:trPr>
          <w:trHeight w:val="1200"/>
        </w:trPr>
        <w:tc>
          <w:tcPr>
            <w:tcW w:w="648" w:type="dxa"/>
            <w:tcBorders>
              <w:top w:val="single" w:sz="8" w:space="0" w:color="auto"/>
              <w:left w:val="single" w:sz="8" w:space="0" w:color="auto"/>
              <w:bottom w:val="single" w:sz="8" w:space="0" w:color="000000"/>
              <w:right w:val="single" w:sz="8" w:space="0" w:color="auto"/>
            </w:tcBorders>
            <w:shd w:val="clear" w:color="000000" w:fill="8EA9DB"/>
            <w:noWrap/>
            <w:vAlign w:val="center"/>
            <w:hideMark/>
          </w:tcPr>
          <w:p w14:paraId="13FF0F8F" w14:textId="77777777" w:rsidR="00175AA2" w:rsidRPr="001E5747" w:rsidRDefault="00175AA2" w:rsidP="00A0644E">
            <w:pPr>
              <w:jc w:val="center"/>
              <w:rPr>
                <w:rFonts w:ascii="Calibri" w:hAnsi="Calibri" w:cs="Calibri"/>
                <w:b/>
                <w:bCs/>
                <w:color w:val="000000"/>
                <w:sz w:val="16"/>
                <w:szCs w:val="16"/>
                <w:lang w:val="en-GB"/>
              </w:rPr>
            </w:pPr>
            <w:r w:rsidRPr="001E5747">
              <w:rPr>
                <w:rFonts w:ascii="Calibri" w:hAnsi="Calibri" w:cs="Calibri"/>
                <w:b/>
                <w:bCs/>
                <w:color w:val="000000"/>
                <w:sz w:val="16"/>
                <w:szCs w:val="16"/>
                <w:lang w:val="en-GB"/>
              </w:rPr>
              <w:t>20</w:t>
            </w:r>
          </w:p>
        </w:tc>
        <w:tc>
          <w:tcPr>
            <w:tcW w:w="3089" w:type="dxa"/>
            <w:tcBorders>
              <w:top w:val="single" w:sz="8" w:space="0" w:color="auto"/>
              <w:left w:val="nil"/>
              <w:bottom w:val="single" w:sz="4" w:space="0" w:color="000000"/>
              <w:right w:val="single" w:sz="4" w:space="0" w:color="000000"/>
            </w:tcBorders>
            <w:shd w:val="clear" w:color="auto" w:fill="auto"/>
            <w:vAlign w:val="center"/>
            <w:hideMark/>
          </w:tcPr>
          <w:p w14:paraId="3B049FBD"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Women in leadership positions in education, health and culture institutions</w:t>
            </w:r>
          </w:p>
        </w:tc>
        <w:tc>
          <w:tcPr>
            <w:tcW w:w="2546" w:type="dxa"/>
            <w:tcBorders>
              <w:top w:val="single" w:sz="8" w:space="0" w:color="auto"/>
              <w:left w:val="nil"/>
              <w:bottom w:val="single" w:sz="4" w:space="0" w:color="000000"/>
              <w:right w:val="single" w:sz="4" w:space="0" w:color="000000"/>
            </w:tcBorders>
            <w:shd w:val="clear" w:color="auto" w:fill="auto"/>
            <w:vAlign w:val="center"/>
            <w:hideMark/>
          </w:tcPr>
          <w:p w14:paraId="3B70F7BE"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xml:space="preserve">• 0 points if the result in MPMS is up to 49.99%, </w:t>
            </w:r>
          </w:p>
          <w:p w14:paraId="77DD04F1"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xml:space="preserve">• 2 points if the result in MPMS is 50% - 79.99%, </w:t>
            </w:r>
          </w:p>
          <w:p w14:paraId="75139858"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5 points if the result in MPMS is equal to or higher than 80%.</w:t>
            </w:r>
          </w:p>
        </w:tc>
        <w:tc>
          <w:tcPr>
            <w:tcW w:w="658" w:type="dxa"/>
            <w:tcBorders>
              <w:top w:val="single" w:sz="8" w:space="0" w:color="auto"/>
              <w:left w:val="single" w:sz="4" w:space="0" w:color="000000"/>
              <w:bottom w:val="single" w:sz="8" w:space="0" w:color="000000"/>
              <w:right w:val="single" w:sz="4" w:space="0" w:color="000000"/>
            </w:tcBorders>
            <w:shd w:val="clear" w:color="auto" w:fill="auto"/>
            <w:vAlign w:val="center"/>
            <w:hideMark/>
          </w:tcPr>
          <w:p w14:paraId="0BC85F7C"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0.00%</w:t>
            </w:r>
          </w:p>
        </w:tc>
        <w:tc>
          <w:tcPr>
            <w:tcW w:w="574" w:type="dxa"/>
            <w:tcBorders>
              <w:top w:val="single" w:sz="8" w:space="0" w:color="auto"/>
              <w:left w:val="single" w:sz="4" w:space="0" w:color="000000"/>
              <w:bottom w:val="single" w:sz="8" w:space="0" w:color="000000"/>
              <w:right w:val="single" w:sz="4" w:space="0" w:color="000000"/>
            </w:tcBorders>
            <w:shd w:val="clear" w:color="auto" w:fill="auto"/>
            <w:noWrap/>
            <w:vAlign w:val="center"/>
            <w:hideMark/>
          </w:tcPr>
          <w:p w14:paraId="2103C0BC"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5</w:t>
            </w:r>
          </w:p>
        </w:tc>
        <w:tc>
          <w:tcPr>
            <w:tcW w:w="1004" w:type="dxa"/>
            <w:tcBorders>
              <w:top w:val="single" w:sz="8" w:space="0" w:color="auto"/>
              <w:left w:val="single" w:sz="4" w:space="0" w:color="000000"/>
              <w:bottom w:val="single" w:sz="8" w:space="0" w:color="000000"/>
              <w:right w:val="single" w:sz="4" w:space="0" w:color="000000"/>
            </w:tcBorders>
            <w:shd w:val="clear" w:color="auto" w:fill="auto"/>
            <w:noWrap/>
            <w:vAlign w:val="center"/>
            <w:hideMark/>
          </w:tcPr>
          <w:p w14:paraId="2805B7FA"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w:t>
            </w:r>
          </w:p>
        </w:tc>
        <w:tc>
          <w:tcPr>
            <w:tcW w:w="1562" w:type="dxa"/>
            <w:tcBorders>
              <w:top w:val="nil"/>
              <w:left w:val="nil"/>
              <w:bottom w:val="single" w:sz="4" w:space="0" w:color="000000"/>
              <w:right w:val="single" w:sz="4" w:space="0" w:color="000000"/>
            </w:tcBorders>
            <w:shd w:val="clear" w:color="auto" w:fill="auto"/>
            <w:vAlign w:val="center"/>
            <w:hideMark/>
          </w:tcPr>
          <w:p w14:paraId="7E6FB6D3"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MPMS report,</w:t>
            </w:r>
          </w:p>
          <w:p w14:paraId="1EC5C805"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Indicator 16.1.2</w:t>
            </w:r>
          </w:p>
        </w:tc>
        <w:tc>
          <w:tcPr>
            <w:tcW w:w="1085" w:type="dxa"/>
            <w:tcBorders>
              <w:top w:val="single" w:sz="8" w:space="0" w:color="auto"/>
              <w:left w:val="nil"/>
              <w:bottom w:val="single" w:sz="4" w:space="0" w:color="000000"/>
              <w:right w:val="single" w:sz="8" w:space="0" w:color="auto"/>
            </w:tcBorders>
            <w:shd w:val="clear" w:color="auto" w:fill="auto"/>
            <w:hideMark/>
          </w:tcPr>
          <w:p w14:paraId="24973BF6" w14:textId="77777777" w:rsidR="00175AA2" w:rsidRPr="001E5747" w:rsidRDefault="00175AA2" w:rsidP="00A0644E">
            <w:pPr>
              <w:rPr>
                <w:rFonts w:ascii="Calibri" w:hAnsi="Calibri" w:cs="Calibri"/>
                <w:color w:val="000000"/>
                <w:sz w:val="16"/>
                <w:szCs w:val="16"/>
                <w:lang w:val="en-GB"/>
              </w:rPr>
            </w:pPr>
          </w:p>
        </w:tc>
      </w:tr>
      <w:tr w:rsidR="00175AA2" w:rsidRPr="001E5747" w14:paraId="27D8FE95" w14:textId="77777777" w:rsidTr="00A0644E">
        <w:trPr>
          <w:trHeight w:val="1200"/>
        </w:trPr>
        <w:tc>
          <w:tcPr>
            <w:tcW w:w="648" w:type="dxa"/>
            <w:tcBorders>
              <w:top w:val="nil"/>
              <w:left w:val="single" w:sz="8" w:space="0" w:color="auto"/>
              <w:bottom w:val="single" w:sz="8" w:space="0" w:color="000000"/>
              <w:right w:val="single" w:sz="8" w:space="0" w:color="auto"/>
            </w:tcBorders>
            <w:shd w:val="clear" w:color="000000" w:fill="8EA9DB"/>
            <w:noWrap/>
            <w:vAlign w:val="center"/>
            <w:hideMark/>
          </w:tcPr>
          <w:p w14:paraId="4380B217" w14:textId="77777777" w:rsidR="00175AA2" w:rsidRPr="001E5747" w:rsidRDefault="00175AA2" w:rsidP="00A0644E">
            <w:pPr>
              <w:jc w:val="center"/>
              <w:rPr>
                <w:rFonts w:ascii="Calibri" w:hAnsi="Calibri" w:cs="Calibri"/>
                <w:b/>
                <w:bCs/>
                <w:color w:val="000000"/>
                <w:sz w:val="16"/>
                <w:szCs w:val="16"/>
                <w:lang w:val="en-GB"/>
              </w:rPr>
            </w:pPr>
            <w:r w:rsidRPr="001E5747">
              <w:rPr>
                <w:rFonts w:ascii="Calibri" w:hAnsi="Calibri" w:cs="Calibri"/>
                <w:b/>
                <w:bCs/>
                <w:color w:val="000000"/>
                <w:sz w:val="16"/>
                <w:szCs w:val="16"/>
                <w:lang w:val="en-GB"/>
              </w:rPr>
              <w:t>21</w:t>
            </w:r>
          </w:p>
        </w:tc>
        <w:tc>
          <w:tcPr>
            <w:tcW w:w="3089" w:type="dxa"/>
            <w:tcBorders>
              <w:top w:val="nil"/>
              <w:left w:val="nil"/>
              <w:bottom w:val="single" w:sz="4" w:space="0" w:color="000000"/>
              <w:right w:val="single" w:sz="4" w:space="0" w:color="000000"/>
            </w:tcBorders>
            <w:shd w:val="clear" w:color="auto" w:fill="auto"/>
            <w:vAlign w:val="center"/>
            <w:hideMark/>
          </w:tcPr>
          <w:p w14:paraId="3B3CF479"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Women appointed in political positions in the municipality</w:t>
            </w:r>
          </w:p>
        </w:tc>
        <w:tc>
          <w:tcPr>
            <w:tcW w:w="2546" w:type="dxa"/>
            <w:tcBorders>
              <w:top w:val="nil"/>
              <w:left w:val="nil"/>
              <w:bottom w:val="single" w:sz="4" w:space="0" w:color="000000"/>
              <w:right w:val="single" w:sz="4" w:space="0" w:color="000000"/>
            </w:tcBorders>
            <w:shd w:val="clear" w:color="auto" w:fill="auto"/>
            <w:vAlign w:val="center"/>
            <w:hideMark/>
          </w:tcPr>
          <w:p w14:paraId="2C7B90D0"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xml:space="preserve">• 0 points if the result in MPMS is up to 59.99%, </w:t>
            </w:r>
          </w:p>
          <w:p w14:paraId="1B6F40A6"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xml:space="preserve">• 1 point if the result in MPMS is 60% - 99.99%, </w:t>
            </w:r>
          </w:p>
          <w:p w14:paraId="160FE5EA"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3 points if the result in MPMS is equal to 100%.</w:t>
            </w:r>
          </w:p>
        </w:tc>
        <w:tc>
          <w:tcPr>
            <w:tcW w:w="658" w:type="dxa"/>
            <w:tcBorders>
              <w:top w:val="nil"/>
              <w:left w:val="single" w:sz="4" w:space="0" w:color="000000"/>
              <w:bottom w:val="single" w:sz="8" w:space="0" w:color="000000"/>
              <w:right w:val="single" w:sz="4" w:space="0" w:color="000000"/>
            </w:tcBorders>
            <w:shd w:val="clear" w:color="auto" w:fill="auto"/>
            <w:vAlign w:val="center"/>
            <w:hideMark/>
          </w:tcPr>
          <w:p w14:paraId="7AF41207"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0.00%</w:t>
            </w:r>
          </w:p>
        </w:tc>
        <w:tc>
          <w:tcPr>
            <w:tcW w:w="574" w:type="dxa"/>
            <w:tcBorders>
              <w:top w:val="nil"/>
              <w:left w:val="single" w:sz="4" w:space="0" w:color="000000"/>
              <w:bottom w:val="single" w:sz="8" w:space="0" w:color="000000"/>
              <w:right w:val="single" w:sz="4" w:space="0" w:color="000000"/>
            </w:tcBorders>
            <w:shd w:val="clear" w:color="auto" w:fill="auto"/>
            <w:noWrap/>
            <w:vAlign w:val="center"/>
            <w:hideMark/>
          </w:tcPr>
          <w:p w14:paraId="00649673"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3</w:t>
            </w:r>
          </w:p>
        </w:tc>
        <w:tc>
          <w:tcPr>
            <w:tcW w:w="1004" w:type="dxa"/>
            <w:tcBorders>
              <w:top w:val="nil"/>
              <w:left w:val="single" w:sz="4" w:space="0" w:color="000000"/>
              <w:bottom w:val="single" w:sz="8" w:space="0" w:color="000000"/>
              <w:right w:val="single" w:sz="4" w:space="0" w:color="000000"/>
            </w:tcBorders>
            <w:shd w:val="clear" w:color="auto" w:fill="auto"/>
            <w:noWrap/>
            <w:vAlign w:val="center"/>
            <w:hideMark/>
          </w:tcPr>
          <w:p w14:paraId="2DEC6FA7"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w:t>
            </w:r>
          </w:p>
        </w:tc>
        <w:tc>
          <w:tcPr>
            <w:tcW w:w="1562" w:type="dxa"/>
            <w:tcBorders>
              <w:top w:val="nil"/>
              <w:left w:val="nil"/>
              <w:bottom w:val="single" w:sz="4" w:space="0" w:color="000000"/>
              <w:right w:val="single" w:sz="4" w:space="0" w:color="000000"/>
            </w:tcBorders>
            <w:shd w:val="clear" w:color="auto" w:fill="auto"/>
            <w:vAlign w:val="center"/>
            <w:hideMark/>
          </w:tcPr>
          <w:p w14:paraId="62842425"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MPMS report,</w:t>
            </w:r>
          </w:p>
          <w:p w14:paraId="026B9CCD"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16.1.3</w:t>
            </w:r>
            <w:r w:rsidRPr="001E5747">
              <w:rPr>
                <w:rFonts w:ascii="Calibri" w:hAnsi="Calibri" w:cs="Calibri"/>
                <w:color w:val="000000"/>
                <w:sz w:val="16"/>
                <w:szCs w:val="16"/>
                <w:lang w:val="en-GB"/>
              </w:rPr>
              <w:br/>
            </w:r>
          </w:p>
        </w:tc>
        <w:tc>
          <w:tcPr>
            <w:tcW w:w="1085" w:type="dxa"/>
            <w:tcBorders>
              <w:top w:val="nil"/>
              <w:left w:val="nil"/>
              <w:bottom w:val="single" w:sz="4" w:space="0" w:color="000000"/>
              <w:right w:val="single" w:sz="8" w:space="0" w:color="auto"/>
            </w:tcBorders>
            <w:shd w:val="clear" w:color="000000" w:fill="FFFFFF"/>
            <w:hideMark/>
          </w:tcPr>
          <w:p w14:paraId="756B1386" w14:textId="77777777" w:rsidR="00175AA2" w:rsidRPr="001E5747" w:rsidRDefault="00175AA2" w:rsidP="00A0644E">
            <w:pPr>
              <w:rPr>
                <w:rFonts w:ascii="Calibri" w:hAnsi="Calibri" w:cs="Calibri"/>
                <w:color w:val="000000"/>
                <w:sz w:val="16"/>
                <w:szCs w:val="16"/>
                <w:lang w:val="en-GB"/>
              </w:rPr>
            </w:pPr>
          </w:p>
        </w:tc>
      </w:tr>
      <w:tr w:rsidR="00175AA2" w:rsidRPr="001E5747" w14:paraId="5F913577" w14:textId="77777777" w:rsidTr="00A0644E">
        <w:trPr>
          <w:trHeight w:val="412"/>
        </w:trPr>
        <w:tc>
          <w:tcPr>
            <w:tcW w:w="648" w:type="dxa"/>
            <w:tcBorders>
              <w:top w:val="nil"/>
              <w:left w:val="single" w:sz="8" w:space="0" w:color="auto"/>
              <w:bottom w:val="nil"/>
              <w:right w:val="single" w:sz="8" w:space="0" w:color="auto"/>
            </w:tcBorders>
            <w:shd w:val="clear" w:color="000000" w:fill="305496"/>
            <w:noWrap/>
            <w:vAlign w:val="center"/>
            <w:hideMark/>
          </w:tcPr>
          <w:p w14:paraId="4AAB711F" w14:textId="77777777"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3</w:t>
            </w:r>
          </w:p>
        </w:tc>
        <w:tc>
          <w:tcPr>
            <w:tcW w:w="6293" w:type="dxa"/>
            <w:gridSpan w:val="3"/>
            <w:tcBorders>
              <w:top w:val="single" w:sz="8" w:space="0" w:color="auto"/>
              <w:left w:val="nil"/>
              <w:bottom w:val="single" w:sz="8" w:space="0" w:color="auto"/>
              <w:right w:val="single" w:sz="4" w:space="0" w:color="000000"/>
            </w:tcBorders>
            <w:shd w:val="clear" w:color="000000" w:fill="305496"/>
            <w:vAlign w:val="center"/>
            <w:hideMark/>
          </w:tcPr>
          <w:p w14:paraId="2E1F87AE" w14:textId="77777777" w:rsidR="00175AA2" w:rsidRPr="001E5747" w:rsidRDefault="00175AA2" w:rsidP="00A0644E">
            <w:pPr>
              <w:rPr>
                <w:rFonts w:ascii="Calibri" w:hAnsi="Calibri" w:cs="Calibri"/>
                <w:b/>
                <w:bCs/>
                <w:color w:val="FFFFFF"/>
                <w:sz w:val="16"/>
                <w:szCs w:val="16"/>
                <w:lang w:val="en-GB"/>
              </w:rPr>
            </w:pPr>
            <w:r w:rsidRPr="001E5747">
              <w:rPr>
                <w:rFonts w:ascii="Calibri" w:hAnsi="Calibri" w:cs="Calibri"/>
                <w:b/>
                <w:bCs/>
                <w:color w:val="FFFFFF"/>
                <w:sz w:val="16"/>
                <w:szCs w:val="16"/>
                <w:lang w:val="en-GB"/>
              </w:rPr>
              <w:br/>
              <w:t>Service provision</w:t>
            </w:r>
          </w:p>
        </w:tc>
        <w:tc>
          <w:tcPr>
            <w:tcW w:w="574" w:type="dxa"/>
            <w:tcBorders>
              <w:top w:val="nil"/>
              <w:left w:val="nil"/>
              <w:bottom w:val="single" w:sz="8" w:space="0" w:color="auto"/>
              <w:right w:val="single" w:sz="4" w:space="0" w:color="auto"/>
            </w:tcBorders>
            <w:shd w:val="clear" w:color="000000" w:fill="305496"/>
            <w:vAlign w:val="center"/>
            <w:hideMark/>
          </w:tcPr>
          <w:p w14:paraId="0AA4FAC0" w14:textId="77777777" w:rsidR="00175AA2" w:rsidRPr="001E5747" w:rsidRDefault="00AA1660" w:rsidP="00AA1660">
            <w:pPr>
              <w:jc w:val="center"/>
              <w:rPr>
                <w:rFonts w:ascii="Calibri" w:hAnsi="Calibri" w:cs="Calibri"/>
                <w:b/>
                <w:bCs/>
                <w:color w:val="FFFFFF"/>
                <w:sz w:val="16"/>
                <w:szCs w:val="16"/>
                <w:lang w:val="en-GB"/>
              </w:rPr>
            </w:pPr>
            <w:r>
              <w:rPr>
                <w:rFonts w:ascii="Calibri" w:hAnsi="Calibri" w:cs="Calibri"/>
                <w:b/>
                <w:bCs/>
                <w:color w:val="FFFFFF"/>
                <w:sz w:val="16"/>
                <w:szCs w:val="16"/>
                <w:lang w:val="en-GB"/>
              </w:rPr>
              <w:t>26</w:t>
            </w:r>
          </w:p>
        </w:tc>
        <w:tc>
          <w:tcPr>
            <w:tcW w:w="1004" w:type="dxa"/>
            <w:tcBorders>
              <w:top w:val="nil"/>
              <w:left w:val="nil"/>
              <w:bottom w:val="single" w:sz="8" w:space="0" w:color="auto"/>
              <w:right w:val="single" w:sz="4" w:space="0" w:color="auto"/>
            </w:tcBorders>
            <w:shd w:val="clear" w:color="000000" w:fill="305496"/>
            <w:vAlign w:val="center"/>
            <w:hideMark/>
          </w:tcPr>
          <w:p w14:paraId="763457BC" w14:textId="77777777"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0</w:t>
            </w:r>
          </w:p>
        </w:tc>
        <w:tc>
          <w:tcPr>
            <w:tcW w:w="1562" w:type="dxa"/>
            <w:tcBorders>
              <w:top w:val="nil"/>
              <w:left w:val="nil"/>
              <w:bottom w:val="single" w:sz="8" w:space="0" w:color="auto"/>
              <w:right w:val="single" w:sz="4" w:space="0" w:color="auto"/>
            </w:tcBorders>
            <w:shd w:val="clear" w:color="000000" w:fill="305496"/>
            <w:vAlign w:val="center"/>
            <w:hideMark/>
          </w:tcPr>
          <w:p w14:paraId="5116CC25" w14:textId="77777777" w:rsidR="00175AA2" w:rsidRPr="001E5747" w:rsidRDefault="00175AA2" w:rsidP="00A0644E">
            <w:pPr>
              <w:jc w:val="center"/>
              <w:rPr>
                <w:rFonts w:ascii="Calibri" w:hAnsi="Calibri" w:cs="Calibri"/>
                <w:b/>
                <w:bCs/>
                <w:color w:val="FFFFFF"/>
                <w:sz w:val="16"/>
                <w:szCs w:val="16"/>
                <w:lang w:val="en-GB"/>
              </w:rPr>
            </w:pPr>
          </w:p>
        </w:tc>
        <w:tc>
          <w:tcPr>
            <w:tcW w:w="1085" w:type="dxa"/>
            <w:tcBorders>
              <w:top w:val="nil"/>
              <w:left w:val="nil"/>
              <w:bottom w:val="single" w:sz="8" w:space="0" w:color="auto"/>
              <w:right w:val="single" w:sz="8" w:space="0" w:color="auto"/>
            </w:tcBorders>
            <w:shd w:val="clear" w:color="000000" w:fill="305496"/>
            <w:vAlign w:val="center"/>
            <w:hideMark/>
          </w:tcPr>
          <w:p w14:paraId="72A2833A" w14:textId="77777777" w:rsidR="00175AA2" w:rsidRPr="001E5747" w:rsidRDefault="00175AA2" w:rsidP="00A0644E">
            <w:pPr>
              <w:jc w:val="center"/>
              <w:rPr>
                <w:rFonts w:ascii="Calibri" w:hAnsi="Calibri" w:cs="Calibri"/>
                <w:b/>
                <w:bCs/>
                <w:color w:val="FFFFFF"/>
                <w:sz w:val="16"/>
                <w:szCs w:val="16"/>
                <w:lang w:val="en-GB"/>
              </w:rPr>
            </w:pPr>
          </w:p>
        </w:tc>
      </w:tr>
      <w:tr w:rsidR="00175AA2" w:rsidRPr="001E5747" w14:paraId="46CA2999" w14:textId="77777777" w:rsidTr="00A0644E">
        <w:trPr>
          <w:trHeight w:val="430"/>
        </w:trPr>
        <w:tc>
          <w:tcPr>
            <w:tcW w:w="648" w:type="dxa"/>
            <w:tcBorders>
              <w:top w:val="nil"/>
              <w:left w:val="single" w:sz="8" w:space="0" w:color="auto"/>
              <w:bottom w:val="nil"/>
              <w:right w:val="single" w:sz="8" w:space="0" w:color="auto"/>
            </w:tcBorders>
            <w:shd w:val="clear" w:color="000000" w:fill="8EA9DB"/>
            <w:noWrap/>
            <w:vAlign w:val="center"/>
            <w:hideMark/>
          </w:tcPr>
          <w:p w14:paraId="60BCF790" w14:textId="77777777"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VII</w:t>
            </w:r>
          </w:p>
        </w:tc>
        <w:tc>
          <w:tcPr>
            <w:tcW w:w="6293" w:type="dxa"/>
            <w:gridSpan w:val="3"/>
            <w:tcBorders>
              <w:top w:val="single" w:sz="8" w:space="0" w:color="auto"/>
              <w:left w:val="nil"/>
              <w:bottom w:val="single" w:sz="8" w:space="0" w:color="auto"/>
              <w:right w:val="single" w:sz="4" w:space="0" w:color="000000"/>
            </w:tcBorders>
            <w:shd w:val="clear" w:color="000000" w:fill="8EA9DB"/>
            <w:vAlign w:val="center"/>
            <w:hideMark/>
          </w:tcPr>
          <w:p w14:paraId="4C722747" w14:textId="77777777" w:rsidR="00175AA2" w:rsidRPr="001E5747" w:rsidRDefault="00175AA2" w:rsidP="00A0644E">
            <w:pPr>
              <w:rPr>
                <w:rFonts w:ascii="Calibri" w:hAnsi="Calibri" w:cs="Calibri"/>
                <w:b/>
                <w:bCs/>
                <w:color w:val="FFFFFF"/>
                <w:sz w:val="16"/>
                <w:szCs w:val="16"/>
                <w:lang w:val="en-GB"/>
              </w:rPr>
            </w:pPr>
            <w:r w:rsidRPr="001E5747">
              <w:rPr>
                <w:rFonts w:ascii="Calibri" w:hAnsi="Calibri" w:cs="Calibri"/>
                <w:b/>
                <w:bCs/>
                <w:color w:val="FFFFFF"/>
                <w:sz w:val="16"/>
                <w:szCs w:val="16"/>
                <w:lang w:val="en-GB"/>
              </w:rPr>
              <w:t xml:space="preserve">Administrative services </w:t>
            </w:r>
          </w:p>
        </w:tc>
        <w:tc>
          <w:tcPr>
            <w:tcW w:w="574" w:type="dxa"/>
            <w:tcBorders>
              <w:top w:val="nil"/>
              <w:left w:val="nil"/>
              <w:bottom w:val="single" w:sz="8" w:space="0" w:color="auto"/>
              <w:right w:val="single" w:sz="4" w:space="0" w:color="auto"/>
            </w:tcBorders>
            <w:shd w:val="clear" w:color="000000" w:fill="8EA9DB"/>
            <w:vAlign w:val="center"/>
            <w:hideMark/>
          </w:tcPr>
          <w:p w14:paraId="5259B212" w14:textId="77777777"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6</w:t>
            </w:r>
          </w:p>
        </w:tc>
        <w:tc>
          <w:tcPr>
            <w:tcW w:w="1004" w:type="dxa"/>
            <w:tcBorders>
              <w:top w:val="nil"/>
              <w:left w:val="nil"/>
              <w:bottom w:val="single" w:sz="8" w:space="0" w:color="auto"/>
              <w:right w:val="single" w:sz="4" w:space="0" w:color="auto"/>
            </w:tcBorders>
            <w:shd w:val="clear" w:color="000000" w:fill="8EA9DB"/>
            <w:vAlign w:val="center"/>
            <w:hideMark/>
          </w:tcPr>
          <w:p w14:paraId="5611503A" w14:textId="77777777"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0</w:t>
            </w:r>
          </w:p>
        </w:tc>
        <w:tc>
          <w:tcPr>
            <w:tcW w:w="1562" w:type="dxa"/>
            <w:tcBorders>
              <w:top w:val="nil"/>
              <w:left w:val="nil"/>
              <w:bottom w:val="single" w:sz="8" w:space="0" w:color="auto"/>
              <w:right w:val="single" w:sz="4" w:space="0" w:color="auto"/>
            </w:tcBorders>
            <w:shd w:val="clear" w:color="000000" w:fill="8EA9DB"/>
            <w:vAlign w:val="center"/>
            <w:hideMark/>
          </w:tcPr>
          <w:p w14:paraId="713FAC4A" w14:textId="77777777" w:rsidR="00175AA2" w:rsidRPr="001E5747" w:rsidRDefault="00175AA2" w:rsidP="00A0644E">
            <w:pPr>
              <w:jc w:val="center"/>
              <w:rPr>
                <w:rFonts w:ascii="Calibri" w:hAnsi="Calibri" w:cs="Calibri"/>
                <w:b/>
                <w:bCs/>
                <w:color w:val="FFFFFF"/>
                <w:sz w:val="16"/>
                <w:szCs w:val="16"/>
                <w:lang w:val="en-GB"/>
              </w:rPr>
            </w:pPr>
          </w:p>
        </w:tc>
        <w:tc>
          <w:tcPr>
            <w:tcW w:w="1085" w:type="dxa"/>
            <w:tcBorders>
              <w:top w:val="nil"/>
              <w:left w:val="nil"/>
              <w:bottom w:val="single" w:sz="8" w:space="0" w:color="auto"/>
              <w:right w:val="single" w:sz="8" w:space="0" w:color="auto"/>
            </w:tcBorders>
            <w:shd w:val="clear" w:color="000000" w:fill="8EA9DB"/>
            <w:vAlign w:val="center"/>
            <w:hideMark/>
          </w:tcPr>
          <w:p w14:paraId="32C19050" w14:textId="77777777" w:rsidR="00175AA2" w:rsidRPr="001E5747" w:rsidRDefault="00175AA2" w:rsidP="00A0644E">
            <w:pPr>
              <w:jc w:val="center"/>
              <w:rPr>
                <w:rFonts w:ascii="Calibri" w:hAnsi="Calibri" w:cs="Calibri"/>
                <w:b/>
                <w:bCs/>
                <w:color w:val="FFFFFF"/>
                <w:sz w:val="16"/>
                <w:szCs w:val="16"/>
                <w:lang w:val="en-GB"/>
              </w:rPr>
            </w:pPr>
          </w:p>
        </w:tc>
      </w:tr>
      <w:tr w:rsidR="00175AA2" w:rsidRPr="001E5747" w14:paraId="214536BE" w14:textId="77777777" w:rsidTr="00A0644E">
        <w:trPr>
          <w:trHeight w:val="1500"/>
        </w:trPr>
        <w:tc>
          <w:tcPr>
            <w:tcW w:w="648" w:type="dxa"/>
            <w:tcBorders>
              <w:top w:val="single" w:sz="8" w:space="0" w:color="auto"/>
              <w:left w:val="single" w:sz="8" w:space="0" w:color="auto"/>
              <w:bottom w:val="single" w:sz="8" w:space="0" w:color="000000"/>
              <w:right w:val="single" w:sz="8" w:space="0" w:color="auto"/>
            </w:tcBorders>
            <w:shd w:val="clear" w:color="000000" w:fill="8EA9DB"/>
            <w:noWrap/>
            <w:vAlign w:val="center"/>
            <w:hideMark/>
          </w:tcPr>
          <w:p w14:paraId="54AAB8EF" w14:textId="77777777" w:rsidR="00175AA2" w:rsidRPr="001E5747" w:rsidRDefault="00175AA2" w:rsidP="00A0644E">
            <w:pPr>
              <w:jc w:val="center"/>
              <w:rPr>
                <w:rFonts w:ascii="Calibri" w:hAnsi="Calibri" w:cs="Calibri"/>
                <w:b/>
                <w:bCs/>
                <w:color w:val="000000"/>
                <w:sz w:val="16"/>
                <w:szCs w:val="16"/>
                <w:lang w:val="en-GB"/>
              </w:rPr>
            </w:pPr>
            <w:r w:rsidRPr="001E5747">
              <w:rPr>
                <w:rFonts w:ascii="Calibri" w:hAnsi="Calibri" w:cs="Calibri"/>
                <w:b/>
                <w:bCs/>
                <w:color w:val="000000"/>
                <w:sz w:val="16"/>
                <w:szCs w:val="16"/>
                <w:lang w:val="en-GB"/>
              </w:rPr>
              <w:t>22</w:t>
            </w:r>
          </w:p>
        </w:tc>
        <w:tc>
          <w:tcPr>
            <w:tcW w:w="3089" w:type="dxa"/>
            <w:tcBorders>
              <w:top w:val="nil"/>
              <w:left w:val="nil"/>
              <w:bottom w:val="single" w:sz="4" w:space="0" w:color="000000"/>
              <w:right w:val="single" w:sz="4" w:space="0" w:color="000000"/>
            </w:tcBorders>
            <w:shd w:val="clear" w:color="000000" w:fill="FFFFFF"/>
            <w:vAlign w:val="center"/>
            <w:hideMark/>
          </w:tcPr>
          <w:p w14:paraId="3485874F"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Administrative requests reviewed within legal deadlines</w:t>
            </w:r>
          </w:p>
        </w:tc>
        <w:tc>
          <w:tcPr>
            <w:tcW w:w="2546" w:type="dxa"/>
            <w:tcBorders>
              <w:top w:val="nil"/>
              <w:left w:val="nil"/>
              <w:bottom w:val="single" w:sz="4" w:space="0" w:color="000000"/>
              <w:right w:val="single" w:sz="4" w:space="0" w:color="000000"/>
            </w:tcBorders>
            <w:shd w:val="clear" w:color="000000" w:fill="FFFFFF"/>
            <w:vAlign w:val="center"/>
            <w:hideMark/>
          </w:tcPr>
          <w:p w14:paraId="01A4BD6A"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 xml:space="preserve">• 0 points if the </w:t>
            </w:r>
            <w:r w:rsidRPr="001E5747">
              <w:rPr>
                <w:rFonts w:ascii="Calibri" w:hAnsi="Calibri" w:cs="Calibri"/>
                <w:color w:val="000000"/>
                <w:sz w:val="16"/>
                <w:szCs w:val="16"/>
                <w:lang w:val="en-GB"/>
              </w:rPr>
              <w:t>result</w:t>
            </w:r>
            <w:r w:rsidRPr="001E5747">
              <w:rPr>
                <w:rFonts w:ascii="Calibri" w:hAnsi="Calibri" w:cs="Calibri"/>
                <w:sz w:val="16"/>
                <w:szCs w:val="16"/>
                <w:lang w:val="en-GB"/>
              </w:rPr>
              <w:t xml:space="preserve"> in MPMS is up to 49.99%, </w:t>
            </w:r>
          </w:p>
          <w:p w14:paraId="28034B93"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 xml:space="preserve">• 1 point if the </w:t>
            </w:r>
            <w:r w:rsidRPr="001E5747">
              <w:rPr>
                <w:rFonts w:ascii="Calibri" w:hAnsi="Calibri" w:cs="Calibri"/>
                <w:color w:val="000000"/>
                <w:sz w:val="16"/>
                <w:szCs w:val="16"/>
                <w:lang w:val="en-GB"/>
              </w:rPr>
              <w:t>result</w:t>
            </w:r>
            <w:r w:rsidRPr="001E5747">
              <w:rPr>
                <w:rFonts w:ascii="Calibri" w:hAnsi="Calibri" w:cs="Calibri"/>
                <w:sz w:val="16"/>
                <w:szCs w:val="16"/>
                <w:lang w:val="en-GB"/>
              </w:rPr>
              <w:t xml:space="preserve"> in MPMS is 50% - 69.99%, </w:t>
            </w:r>
          </w:p>
          <w:p w14:paraId="2177057F"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 2 points if the</w:t>
            </w:r>
            <w:r w:rsidRPr="001E5747">
              <w:rPr>
                <w:rFonts w:ascii="Calibri" w:hAnsi="Calibri" w:cs="Calibri"/>
                <w:color w:val="000000"/>
                <w:sz w:val="16"/>
                <w:szCs w:val="16"/>
                <w:lang w:val="en-GB"/>
              </w:rPr>
              <w:t xml:space="preserve"> result</w:t>
            </w:r>
            <w:r w:rsidRPr="001E5747">
              <w:rPr>
                <w:rFonts w:ascii="Calibri" w:hAnsi="Calibri" w:cs="Calibri"/>
                <w:sz w:val="16"/>
                <w:szCs w:val="16"/>
                <w:lang w:val="en-GB"/>
              </w:rPr>
              <w:t xml:space="preserve"> in MPMS is 70% - 89.99%, </w:t>
            </w:r>
          </w:p>
          <w:p w14:paraId="6E1A95DD"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 xml:space="preserve">• 4 points if the </w:t>
            </w:r>
            <w:r w:rsidRPr="001E5747">
              <w:rPr>
                <w:rFonts w:ascii="Calibri" w:hAnsi="Calibri" w:cs="Calibri"/>
                <w:color w:val="000000"/>
                <w:sz w:val="16"/>
                <w:szCs w:val="16"/>
                <w:lang w:val="en-GB"/>
              </w:rPr>
              <w:t>result</w:t>
            </w:r>
            <w:r w:rsidRPr="001E5747">
              <w:rPr>
                <w:rFonts w:ascii="Calibri" w:hAnsi="Calibri" w:cs="Calibri"/>
                <w:sz w:val="16"/>
                <w:szCs w:val="16"/>
                <w:lang w:val="en-GB"/>
              </w:rPr>
              <w:t xml:space="preserve"> in MPMS is equal to or higher than 90%.</w:t>
            </w:r>
          </w:p>
        </w:tc>
        <w:tc>
          <w:tcPr>
            <w:tcW w:w="658" w:type="dxa"/>
            <w:tcBorders>
              <w:top w:val="nil"/>
              <w:left w:val="single" w:sz="4" w:space="0" w:color="000000"/>
              <w:bottom w:val="single" w:sz="8" w:space="0" w:color="000000"/>
              <w:right w:val="single" w:sz="4" w:space="0" w:color="000000"/>
            </w:tcBorders>
            <w:shd w:val="clear" w:color="000000" w:fill="FFFFFF"/>
            <w:noWrap/>
            <w:vAlign w:val="center"/>
            <w:hideMark/>
          </w:tcPr>
          <w:p w14:paraId="0CF434BD"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0.00%</w:t>
            </w:r>
          </w:p>
        </w:tc>
        <w:tc>
          <w:tcPr>
            <w:tcW w:w="574" w:type="dxa"/>
            <w:tcBorders>
              <w:top w:val="nil"/>
              <w:left w:val="single" w:sz="4" w:space="0" w:color="000000"/>
              <w:bottom w:val="single" w:sz="8" w:space="0" w:color="000000"/>
              <w:right w:val="single" w:sz="4" w:space="0" w:color="000000"/>
            </w:tcBorders>
            <w:shd w:val="clear" w:color="000000" w:fill="FFFFFF"/>
            <w:noWrap/>
            <w:vAlign w:val="center"/>
            <w:hideMark/>
          </w:tcPr>
          <w:p w14:paraId="0F97F2AE"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4</w:t>
            </w:r>
          </w:p>
        </w:tc>
        <w:tc>
          <w:tcPr>
            <w:tcW w:w="1004" w:type="dxa"/>
            <w:tcBorders>
              <w:top w:val="nil"/>
              <w:left w:val="single" w:sz="4" w:space="0" w:color="000000"/>
              <w:bottom w:val="single" w:sz="8" w:space="0" w:color="000000"/>
              <w:right w:val="single" w:sz="4" w:space="0" w:color="000000"/>
            </w:tcBorders>
            <w:shd w:val="clear" w:color="000000" w:fill="FFFFFF"/>
            <w:noWrap/>
            <w:vAlign w:val="center"/>
            <w:hideMark/>
          </w:tcPr>
          <w:p w14:paraId="5345C3A5"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w:t>
            </w:r>
          </w:p>
        </w:tc>
        <w:tc>
          <w:tcPr>
            <w:tcW w:w="1562" w:type="dxa"/>
            <w:tcBorders>
              <w:top w:val="nil"/>
              <w:left w:val="nil"/>
              <w:bottom w:val="single" w:sz="4" w:space="0" w:color="000000"/>
              <w:right w:val="single" w:sz="4" w:space="0" w:color="000000"/>
            </w:tcBorders>
            <w:shd w:val="clear" w:color="000000" w:fill="FFFFFF"/>
            <w:vAlign w:val="center"/>
            <w:hideMark/>
          </w:tcPr>
          <w:p w14:paraId="366F60E4"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MPMS report,</w:t>
            </w:r>
          </w:p>
          <w:p w14:paraId="69E4DD66"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Indicator 1.1.2</w:t>
            </w:r>
            <w:r w:rsidRPr="001E5747">
              <w:rPr>
                <w:rFonts w:ascii="Calibri" w:hAnsi="Calibri" w:cs="Calibri"/>
                <w:color w:val="000000"/>
                <w:sz w:val="16"/>
                <w:szCs w:val="16"/>
                <w:lang w:val="en-GB"/>
              </w:rPr>
              <w:br/>
            </w:r>
          </w:p>
        </w:tc>
        <w:tc>
          <w:tcPr>
            <w:tcW w:w="1085" w:type="dxa"/>
            <w:tcBorders>
              <w:top w:val="nil"/>
              <w:left w:val="nil"/>
              <w:bottom w:val="single" w:sz="4" w:space="0" w:color="000000"/>
              <w:right w:val="single" w:sz="8" w:space="0" w:color="auto"/>
            </w:tcBorders>
            <w:shd w:val="clear" w:color="000000" w:fill="FFFFFF"/>
            <w:hideMark/>
          </w:tcPr>
          <w:p w14:paraId="0C0E7257" w14:textId="77777777" w:rsidR="00175AA2" w:rsidRPr="001E5747" w:rsidRDefault="00175AA2" w:rsidP="00A0644E">
            <w:pPr>
              <w:rPr>
                <w:rFonts w:ascii="Calibri" w:hAnsi="Calibri" w:cs="Calibri"/>
                <w:color w:val="000000"/>
                <w:sz w:val="16"/>
                <w:szCs w:val="16"/>
                <w:lang w:val="en-GB"/>
              </w:rPr>
            </w:pPr>
          </w:p>
        </w:tc>
      </w:tr>
      <w:tr w:rsidR="00175AA2" w:rsidRPr="001E5747" w14:paraId="29860D25" w14:textId="77777777" w:rsidTr="00A0644E">
        <w:trPr>
          <w:trHeight w:val="1200"/>
        </w:trPr>
        <w:tc>
          <w:tcPr>
            <w:tcW w:w="648" w:type="dxa"/>
            <w:tcBorders>
              <w:top w:val="nil"/>
              <w:left w:val="single" w:sz="8" w:space="0" w:color="auto"/>
              <w:bottom w:val="single" w:sz="8" w:space="0" w:color="000000"/>
              <w:right w:val="single" w:sz="8" w:space="0" w:color="auto"/>
            </w:tcBorders>
            <w:shd w:val="clear" w:color="000000" w:fill="8EA9DB"/>
            <w:noWrap/>
            <w:vAlign w:val="center"/>
            <w:hideMark/>
          </w:tcPr>
          <w:p w14:paraId="7751E745" w14:textId="77777777" w:rsidR="00175AA2" w:rsidRPr="001E5747" w:rsidRDefault="00175AA2" w:rsidP="00A0644E">
            <w:pPr>
              <w:jc w:val="center"/>
              <w:rPr>
                <w:rFonts w:ascii="Calibri" w:hAnsi="Calibri" w:cs="Calibri"/>
                <w:b/>
                <w:bCs/>
                <w:color w:val="000000"/>
                <w:sz w:val="16"/>
                <w:szCs w:val="16"/>
                <w:lang w:val="en-GB"/>
              </w:rPr>
            </w:pPr>
            <w:r w:rsidRPr="001E5747">
              <w:rPr>
                <w:rFonts w:ascii="Calibri" w:hAnsi="Calibri" w:cs="Calibri"/>
                <w:b/>
                <w:bCs/>
                <w:color w:val="000000"/>
                <w:sz w:val="16"/>
                <w:szCs w:val="16"/>
                <w:lang w:val="en-GB"/>
              </w:rPr>
              <w:t>23</w:t>
            </w:r>
          </w:p>
        </w:tc>
        <w:tc>
          <w:tcPr>
            <w:tcW w:w="3089" w:type="dxa"/>
            <w:tcBorders>
              <w:top w:val="nil"/>
              <w:left w:val="nil"/>
              <w:bottom w:val="single" w:sz="4" w:space="0" w:color="000000"/>
              <w:right w:val="single" w:sz="4" w:space="0" w:color="000000"/>
            </w:tcBorders>
            <w:shd w:val="clear" w:color="auto" w:fill="auto"/>
            <w:vAlign w:val="center"/>
            <w:hideMark/>
          </w:tcPr>
          <w:p w14:paraId="1C223083"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Reviewed building permit</w:t>
            </w:r>
            <w:r w:rsidR="00CC4DF7" w:rsidRPr="001E5747">
              <w:rPr>
                <w:rFonts w:ascii="Calibri" w:hAnsi="Calibri" w:cs="Calibri"/>
                <w:sz w:val="16"/>
                <w:szCs w:val="16"/>
                <w:lang w:val="en-GB"/>
              </w:rPr>
              <w:t xml:space="preserve"> requests</w:t>
            </w:r>
          </w:p>
        </w:tc>
        <w:tc>
          <w:tcPr>
            <w:tcW w:w="2546" w:type="dxa"/>
            <w:tcBorders>
              <w:top w:val="nil"/>
              <w:left w:val="nil"/>
              <w:bottom w:val="single" w:sz="4" w:space="0" w:color="000000"/>
              <w:right w:val="single" w:sz="4" w:space="0" w:color="000000"/>
            </w:tcBorders>
            <w:shd w:val="clear" w:color="auto" w:fill="auto"/>
            <w:vAlign w:val="center"/>
            <w:hideMark/>
          </w:tcPr>
          <w:p w14:paraId="66ABE189"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 xml:space="preserve">• 0 points if the </w:t>
            </w:r>
            <w:r w:rsidRPr="001E5747">
              <w:rPr>
                <w:rFonts w:ascii="Calibri" w:hAnsi="Calibri" w:cs="Calibri"/>
                <w:color w:val="000000"/>
                <w:sz w:val="16"/>
                <w:szCs w:val="16"/>
                <w:lang w:val="en-GB"/>
              </w:rPr>
              <w:t>result</w:t>
            </w:r>
            <w:r w:rsidRPr="001E5747">
              <w:rPr>
                <w:rFonts w:ascii="Calibri" w:hAnsi="Calibri" w:cs="Calibri"/>
                <w:sz w:val="16"/>
                <w:szCs w:val="16"/>
                <w:lang w:val="en-GB"/>
              </w:rPr>
              <w:t xml:space="preserve"> in MPMS is up to 49.99%, </w:t>
            </w:r>
          </w:p>
          <w:p w14:paraId="6AF83DB4"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 xml:space="preserve">• 1 point if the </w:t>
            </w:r>
            <w:r w:rsidRPr="001E5747">
              <w:rPr>
                <w:rFonts w:ascii="Calibri" w:hAnsi="Calibri" w:cs="Calibri"/>
                <w:color w:val="000000"/>
                <w:sz w:val="16"/>
                <w:szCs w:val="16"/>
                <w:lang w:val="en-GB"/>
              </w:rPr>
              <w:t>result</w:t>
            </w:r>
            <w:r w:rsidRPr="001E5747">
              <w:rPr>
                <w:rFonts w:ascii="Calibri" w:hAnsi="Calibri" w:cs="Calibri"/>
                <w:sz w:val="16"/>
                <w:szCs w:val="16"/>
                <w:lang w:val="en-GB"/>
              </w:rPr>
              <w:t xml:space="preserve"> in MPMS is 50% - 89.99% </w:t>
            </w:r>
          </w:p>
          <w:p w14:paraId="506402AC"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 xml:space="preserve">• 2 points if the </w:t>
            </w:r>
            <w:r w:rsidRPr="001E5747">
              <w:rPr>
                <w:rFonts w:ascii="Calibri" w:hAnsi="Calibri" w:cs="Calibri"/>
                <w:color w:val="000000"/>
                <w:sz w:val="16"/>
                <w:szCs w:val="16"/>
                <w:lang w:val="en-GB"/>
              </w:rPr>
              <w:t>result</w:t>
            </w:r>
            <w:r w:rsidRPr="001E5747">
              <w:rPr>
                <w:rFonts w:ascii="Calibri" w:hAnsi="Calibri" w:cs="Calibri"/>
                <w:sz w:val="16"/>
                <w:szCs w:val="16"/>
                <w:lang w:val="en-GB"/>
              </w:rPr>
              <w:t xml:space="preserve"> in MPMS is equal to or higher than 90%.</w:t>
            </w:r>
          </w:p>
          <w:p w14:paraId="27C76A0F" w14:textId="77777777" w:rsidR="00175AA2" w:rsidRPr="001E5747" w:rsidRDefault="00175AA2" w:rsidP="00A0644E">
            <w:pPr>
              <w:rPr>
                <w:rFonts w:ascii="Calibri" w:hAnsi="Calibri" w:cs="Calibri"/>
                <w:sz w:val="16"/>
                <w:szCs w:val="16"/>
                <w:lang w:val="en-GB"/>
              </w:rPr>
            </w:pPr>
          </w:p>
        </w:tc>
        <w:tc>
          <w:tcPr>
            <w:tcW w:w="658" w:type="dxa"/>
            <w:tcBorders>
              <w:top w:val="nil"/>
              <w:left w:val="single" w:sz="4" w:space="0" w:color="000000"/>
              <w:bottom w:val="single" w:sz="8" w:space="0" w:color="000000"/>
              <w:right w:val="single" w:sz="4" w:space="0" w:color="000000"/>
            </w:tcBorders>
            <w:shd w:val="clear" w:color="auto" w:fill="auto"/>
            <w:vAlign w:val="center"/>
            <w:hideMark/>
          </w:tcPr>
          <w:p w14:paraId="283C98AB"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0.00%</w:t>
            </w:r>
          </w:p>
        </w:tc>
        <w:tc>
          <w:tcPr>
            <w:tcW w:w="574" w:type="dxa"/>
            <w:tcBorders>
              <w:top w:val="nil"/>
              <w:left w:val="single" w:sz="4" w:space="0" w:color="000000"/>
              <w:bottom w:val="single" w:sz="8" w:space="0" w:color="000000"/>
              <w:right w:val="single" w:sz="4" w:space="0" w:color="000000"/>
            </w:tcBorders>
            <w:shd w:val="clear" w:color="auto" w:fill="auto"/>
            <w:noWrap/>
            <w:vAlign w:val="center"/>
            <w:hideMark/>
          </w:tcPr>
          <w:p w14:paraId="37B99C15"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2</w:t>
            </w:r>
          </w:p>
        </w:tc>
        <w:tc>
          <w:tcPr>
            <w:tcW w:w="1004" w:type="dxa"/>
            <w:tcBorders>
              <w:top w:val="nil"/>
              <w:left w:val="single" w:sz="4" w:space="0" w:color="000000"/>
              <w:bottom w:val="single" w:sz="8" w:space="0" w:color="000000"/>
              <w:right w:val="single" w:sz="4" w:space="0" w:color="000000"/>
            </w:tcBorders>
            <w:shd w:val="clear" w:color="auto" w:fill="auto"/>
            <w:vAlign w:val="center"/>
            <w:hideMark/>
          </w:tcPr>
          <w:p w14:paraId="66A5A1CD"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w:t>
            </w:r>
          </w:p>
        </w:tc>
        <w:tc>
          <w:tcPr>
            <w:tcW w:w="1562" w:type="dxa"/>
            <w:tcBorders>
              <w:top w:val="nil"/>
              <w:left w:val="nil"/>
              <w:bottom w:val="single" w:sz="4" w:space="0" w:color="000000"/>
              <w:right w:val="single" w:sz="4" w:space="0" w:color="000000"/>
            </w:tcBorders>
            <w:shd w:val="clear" w:color="auto" w:fill="auto"/>
            <w:vAlign w:val="center"/>
            <w:hideMark/>
          </w:tcPr>
          <w:p w14:paraId="7B3D1CF2"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MPMS report,</w:t>
            </w:r>
          </w:p>
          <w:p w14:paraId="728C6A32"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7.2.1</w:t>
            </w:r>
          </w:p>
        </w:tc>
        <w:tc>
          <w:tcPr>
            <w:tcW w:w="1085" w:type="dxa"/>
            <w:tcBorders>
              <w:top w:val="nil"/>
              <w:left w:val="nil"/>
              <w:bottom w:val="single" w:sz="4" w:space="0" w:color="000000"/>
              <w:right w:val="single" w:sz="8" w:space="0" w:color="auto"/>
            </w:tcBorders>
            <w:shd w:val="clear" w:color="auto" w:fill="auto"/>
            <w:vAlign w:val="bottom"/>
            <w:hideMark/>
          </w:tcPr>
          <w:p w14:paraId="0FD2EACA" w14:textId="77777777" w:rsidR="00175AA2" w:rsidRPr="001E5747" w:rsidRDefault="00175AA2" w:rsidP="00A0644E">
            <w:pPr>
              <w:rPr>
                <w:rFonts w:ascii="Calibri" w:hAnsi="Calibri" w:cs="Calibri"/>
                <w:color w:val="000000"/>
                <w:sz w:val="16"/>
                <w:szCs w:val="16"/>
                <w:lang w:val="en-GB"/>
              </w:rPr>
            </w:pPr>
          </w:p>
        </w:tc>
      </w:tr>
      <w:tr w:rsidR="00175AA2" w:rsidRPr="001E5747" w14:paraId="4F4876B0" w14:textId="77777777" w:rsidTr="00A0644E">
        <w:trPr>
          <w:trHeight w:val="406"/>
        </w:trPr>
        <w:tc>
          <w:tcPr>
            <w:tcW w:w="648" w:type="dxa"/>
            <w:tcBorders>
              <w:top w:val="nil"/>
              <w:left w:val="single" w:sz="8" w:space="0" w:color="auto"/>
              <w:bottom w:val="nil"/>
              <w:right w:val="single" w:sz="8" w:space="0" w:color="auto"/>
            </w:tcBorders>
            <w:shd w:val="clear" w:color="000000" w:fill="8EA9DB"/>
            <w:noWrap/>
            <w:vAlign w:val="center"/>
            <w:hideMark/>
          </w:tcPr>
          <w:p w14:paraId="16B2FC0B" w14:textId="77777777"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lastRenderedPageBreak/>
              <w:t>VIII</w:t>
            </w:r>
          </w:p>
        </w:tc>
        <w:tc>
          <w:tcPr>
            <w:tcW w:w="6293" w:type="dxa"/>
            <w:gridSpan w:val="3"/>
            <w:tcBorders>
              <w:top w:val="single" w:sz="8" w:space="0" w:color="auto"/>
              <w:left w:val="nil"/>
              <w:bottom w:val="single" w:sz="8" w:space="0" w:color="auto"/>
              <w:right w:val="single" w:sz="4" w:space="0" w:color="auto"/>
            </w:tcBorders>
            <w:shd w:val="clear" w:color="000000" w:fill="8EA9DB"/>
            <w:vAlign w:val="center"/>
            <w:hideMark/>
          </w:tcPr>
          <w:p w14:paraId="6B7BDCED" w14:textId="77777777" w:rsidR="00175AA2" w:rsidRPr="001E5747" w:rsidRDefault="00175AA2" w:rsidP="00A0644E">
            <w:pPr>
              <w:rPr>
                <w:rFonts w:ascii="Calibri" w:hAnsi="Calibri" w:cs="Calibri"/>
                <w:b/>
                <w:bCs/>
                <w:color w:val="FFFFFF"/>
                <w:sz w:val="16"/>
                <w:szCs w:val="16"/>
                <w:lang w:val="en-GB"/>
              </w:rPr>
            </w:pPr>
            <w:r w:rsidRPr="001E5747">
              <w:rPr>
                <w:rFonts w:ascii="Calibri" w:hAnsi="Calibri" w:cs="Calibri"/>
                <w:b/>
                <w:bCs/>
                <w:color w:val="FFFFFF"/>
                <w:sz w:val="16"/>
                <w:szCs w:val="16"/>
                <w:lang w:val="en-GB"/>
              </w:rPr>
              <w:t xml:space="preserve">Spatial planning, public transport and environmental protection </w:t>
            </w:r>
          </w:p>
        </w:tc>
        <w:tc>
          <w:tcPr>
            <w:tcW w:w="574" w:type="dxa"/>
            <w:tcBorders>
              <w:top w:val="nil"/>
              <w:left w:val="nil"/>
              <w:bottom w:val="single" w:sz="8" w:space="0" w:color="auto"/>
              <w:right w:val="single" w:sz="4" w:space="0" w:color="auto"/>
            </w:tcBorders>
            <w:shd w:val="clear" w:color="000000" w:fill="8EA9DB"/>
            <w:vAlign w:val="center"/>
            <w:hideMark/>
          </w:tcPr>
          <w:p w14:paraId="09D77360" w14:textId="77777777"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8</w:t>
            </w:r>
          </w:p>
        </w:tc>
        <w:tc>
          <w:tcPr>
            <w:tcW w:w="1004" w:type="dxa"/>
            <w:tcBorders>
              <w:top w:val="nil"/>
              <w:left w:val="nil"/>
              <w:bottom w:val="single" w:sz="8" w:space="0" w:color="auto"/>
              <w:right w:val="single" w:sz="4" w:space="0" w:color="auto"/>
            </w:tcBorders>
            <w:shd w:val="clear" w:color="000000" w:fill="8EA9DB"/>
            <w:vAlign w:val="center"/>
            <w:hideMark/>
          </w:tcPr>
          <w:p w14:paraId="2971E658" w14:textId="77777777"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0</w:t>
            </w:r>
          </w:p>
        </w:tc>
        <w:tc>
          <w:tcPr>
            <w:tcW w:w="1562" w:type="dxa"/>
            <w:tcBorders>
              <w:top w:val="nil"/>
              <w:left w:val="nil"/>
              <w:bottom w:val="single" w:sz="8" w:space="0" w:color="auto"/>
              <w:right w:val="single" w:sz="4" w:space="0" w:color="auto"/>
            </w:tcBorders>
            <w:shd w:val="clear" w:color="000000" w:fill="8EA9DB"/>
            <w:vAlign w:val="center"/>
            <w:hideMark/>
          </w:tcPr>
          <w:p w14:paraId="119E87DA" w14:textId="77777777" w:rsidR="00175AA2" w:rsidRPr="001E5747" w:rsidRDefault="00175AA2" w:rsidP="00A0644E">
            <w:pPr>
              <w:jc w:val="center"/>
              <w:rPr>
                <w:rFonts w:ascii="Calibri" w:hAnsi="Calibri" w:cs="Calibri"/>
                <w:b/>
                <w:bCs/>
                <w:color w:val="FFFFFF"/>
                <w:sz w:val="16"/>
                <w:szCs w:val="16"/>
                <w:lang w:val="en-GB"/>
              </w:rPr>
            </w:pPr>
          </w:p>
        </w:tc>
        <w:tc>
          <w:tcPr>
            <w:tcW w:w="1085" w:type="dxa"/>
            <w:tcBorders>
              <w:top w:val="nil"/>
              <w:left w:val="nil"/>
              <w:bottom w:val="single" w:sz="8" w:space="0" w:color="auto"/>
              <w:right w:val="single" w:sz="8" w:space="0" w:color="auto"/>
            </w:tcBorders>
            <w:shd w:val="clear" w:color="000000" w:fill="8EA9DB"/>
            <w:vAlign w:val="center"/>
            <w:hideMark/>
          </w:tcPr>
          <w:p w14:paraId="09CE6D6C" w14:textId="77777777" w:rsidR="00175AA2" w:rsidRPr="001E5747" w:rsidRDefault="00175AA2" w:rsidP="00A0644E">
            <w:pPr>
              <w:jc w:val="center"/>
              <w:rPr>
                <w:rFonts w:ascii="Calibri" w:hAnsi="Calibri" w:cs="Calibri"/>
                <w:b/>
                <w:bCs/>
                <w:color w:val="FFFFFF"/>
                <w:sz w:val="16"/>
                <w:szCs w:val="16"/>
                <w:lang w:val="en-GB"/>
              </w:rPr>
            </w:pPr>
          </w:p>
        </w:tc>
      </w:tr>
      <w:tr w:rsidR="00175AA2" w:rsidRPr="001E5747" w14:paraId="18A58E55" w14:textId="77777777" w:rsidTr="00A0644E">
        <w:trPr>
          <w:trHeight w:val="1200"/>
        </w:trPr>
        <w:tc>
          <w:tcPr>
            <w:tcW w:w="648" w:type="dxa"/>
            <w:tcBorders>
              <w:top w:val="single" w:sz="8" w:space="0" w:color="auto"/>
              <w:left w:val="single" w:sz="8" w:space="0" w:color="auto"/>
              <w:bottom w:val="single" w:sz="8" w:space="0" w:color="000000"/>
              <w:right w:val="single" w:sz="8" w:space="0" w:color="auto"/>
            </w:tcBorders>
            <w:shd w:val="clear" w:color="000000" w:fill="8EA9DB"/>
            <w:noWrap/>
            <w:vAlign w:val="center"/>
            <w:hideMark/>
          </w:tcPr>
          <w:p w14:paraId="29FE2F75" w14:textId="77777777" w:rsidR="00175AA2" w:rsidRPr="001E5747" w:rsidRDefault="00175AA2" w:rsidP="00A0644E">
            <w:pPr>
              <w:jc w:val="center"/>
              <w:rPr>
                <w:rFonts w:ascii="Calibri" w:hAnsi="Calibri" w:cs="Calibri"/>
                <w:b/>
                <w:bCs/>
                <w:color w:val="000000"/>
                <w:sz w:val="16"/>
                <w:szCs w:val="16"/>
                <w:lang w:val="en-GB"/>
              </w:rPr>
            </w:pPr>
            <w:r w:rsidRPr="001E5747">
              <w:rPr>
                <w:rFonts w:ascii="Calibri" w:hAnsi="Calibri" w:cs="Calibri"/>
                <w:b/>
                <w:bCs/>
                <w:color w:val="000000"/>
                <w:sz w:val="16"/>
                <w:szCs w:val="16"/>
                <w:lang w:val="en-GB"/>
              </w:rPr>
              <w:t>24</w:t>
            </w:r>
          </w:p>
        </w:tc>
        <w:tc>
          <w:tcPr>
            <w:tcW w:w="3089" w:type="dxa"/>
            <w:tcBorders>
              <w:top w:val="nil"/>
              <w:left w:val="nil"/>
              <w:bottom w:val="single" w:sz="4" w:space="0" w:color="000000"/>
              <w:right w:val="single" w:sz="4" w:space="0" w:color="000000"/>
            </w:tcBorders>
            <w:shd w:val="clear" w:color="auto" w:fill="auto"/>
            <w:vAlign w:val="center"/>
            <w:hideMark/>
          </w:tcPr>
          <w:p w14:paraId="176F561A" w14:textId="77777777" w:rsidR="00175AA2" w:rsidRPr="001E5747" w:rsidRDefault="00CC4DF7" w:rsidP="00A0644E">
            <w:pPr>
              <w:rPr>
                <w:rFonts w:ascii="Calibri" w:hAnsi="Calibri" w:cs="Calibri"/>
                <w:color w:val="000000"/>
                <w:sz w:val="16"/>
                <w:szCs w:val="16"/>
                <w:lang w:val="en-GB"/>
              </w:rPr>
            </w:pPr>
            <w:r w:rsidRPr="001E5747">
              <w:rPr>
                <w:rFonts w:ascii="Calibri" w:hAnsi="Calibri" w:cs="Calibri"/>
                <w:color w:val="000000"/>
                <w:sz w:val="16"/>
                <w:szCs w:val="16"/>
                <w:lang w:val="en-GB"/>
              </w:rPr>
              <w:t>S</w:t>
            </w:r>
            <w:r w:rsidR="00175AA2" w:rsidRPr="001E5747">
              <w:rPr>
                <w:rFonts w:ascii="Calibri" w:hAnsi="Calibri" w:cs="Calibri"/>
                <w:color w:val="000000"/>
                <w:sz w:val="16"/>
                <w:szCs w:val="16"/>
                <w:lang w:val="en-GB"/>
              </w:rPr>
              <w:t xml:space="preserve">urface of </w:t>
            </w:r>
            <w:r w:rsidRPr="001E5747">
              <w:rPr>
                <w:rFonts w:ascii="Calibri" w:hAnsi="Calibri" w:cs="Calibri"/>
                <w:color w:val="000000"/>
                <w:sz w:val="16"/>
                <w:szCs w:val="16"/>
                <w:lang w:val="en-GB"/>
              </w:rPr>
              <w:t xml:space="preserve">municipality’s </w:t>
            </w:r>
            <w:r w:rsidR="00175AA2" w:rsidRPr="001E5747">
              <w:rPr>
                <w:rFonts w:ascii="Calibri" w:hAnsi="Calibri" w:cs="Calibri"/>
                <w:color w:val="000000"/>
                <w:sz w:val="16"/>
                <w:szCs w:val="16"/>
                <w:lang w:val="en-GB"/>
              </w:rPr>
              <w:t xml:space="preserve">territory covered by (detailed) </w:t>
            </w:r>
            <w:r w:rsidRPr="001E5747">
              <w:rPr>
                <w:rFonts w:ascii="Calibri" w:hAnsi="Calibri" w:cs="Calibri"/>
                <w:color w:val="000000"/>
                <w:sz w:val="16"/>
                <w:szCs w:val="16"/>
                <w:lang w:val="en-GB"/>
              </w:rPr>
              <w:t xml:space="preserve"> regulatory </w:t>
            </w:r>
            <w:r w:rsidR="00175AA2" w:rsidRPr="001E5747">
              <w:rPr>
                <w:rFonts w:ascii="Calibri" w:hAnsi="Calibri" w:cs="Calibri"/>
                <w:color w:val="000000"/>
                <w:sz w:val="16"/>
                <w:szCs w:val="16"/>
                <w:lang w:val="en-GB"/>
              </w:rPr>
              <w:t xml:space="preserve">plans </w:t>
            </w:r>
            <w:r w:rsidR="00E804BF">
              <w:rPr>
                <w:rFonts w:ascii="Calibri" w:hAnsi="Calibri" w:cs="Calibri"/>
                <w:color w:val="000000"/>
                <w:sz w:val="16"/>
                <w:szCs w:val="16"/>
                <w:lang w:val="en-GB"/>
              </w:rPr>
              <w:t>or zoning maps</w:t>
            </w:r>
          </w:p>
        </w:tc>
        <w:tc>
          <w:tcPr>
            <w:tcW w:w="2546" w:type="dxa"/>
            <w:tcBorders>
              <w:top w:val="nil"/>
              <w:left w:val="nil"/>
              <w:bottom w:val="single" w:sz="4" w:space="0" w:color="000000"/>
              <w:right w:val="single" w:sz="4" w:space="0" w:color="000000"/>
            </w:tcBorders>
            <w:shd w:val="clear" w:color="auto" w:fill="auto"/>
            <w:vAlign w:val="center"/>
            <w:hideMark/>
          </w:tcPr>
          <w:p w14:paraId="2546D892"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xml:space="preserve">• 0 points if the result in MPMS is up to 29.99%, </w:t>
            </w:r>
          </w:p>
          <w:p w14:paraId="29EF2A90"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xml:space="preserve">• 1 point if the result in MPMS is 30% - 69.99%, </w:t>
            </w:r>
          </w:p>
          <w:p w14:paraId="5740A1C4"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3 points if the result in MPMS is equal to or higher than 70%.</w:t>
            </w:r>
          </w:p>
        </w:tc>
        <w:tc>
          <w:tcPr>
            <w:tcW w:w="658" w:type="dxa"/>
            <w:tcBorders>
              <w:top w:val="nil"/>
              <w:left w:val="single" w:sz="4" w:space="0" w:color="000000"/>
              <w:bottom w:val="single" w:sz="8" w:space="0" w:color="000000"/>
              <w:right w:val="single" w:sz="4" w:space="0" w:color="000000"/>
            </w:tcBorders>
            <w:shd w:val="clear" w:color="auto" w:fill="auto"/>
            <w:vAlign w:val="center"/>
            <w:hideMark/>
          </w:tcPr>
          <w:p w14:paraId="658AB2AB"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0.00%</w:t>
            </w:r>
          </w:p>
        </w:tc>
        <w:tc>
          <w:tcPr>
            <w:tcW w:w="574" w:type="dxa"/>
            <w:tcBorders>
              <w:top w:val="nil"/>
              <w:left w:val="single" w:sz="4" w:space="0" w:color="000000"/>
              <w:bottom w:val="single" w:sz="8" w:space="0" w:color="000000"/>
              <w:right w:val="single" w:sz="4" w:space="0" w:color="000000"/>
            </w:tcBorders>
            <w:shd w:val="clear" w:color="auto" w:fill="auto"/>
            <w:noWrap/>
            <w:vAlign w:val="center"/>
            <w:hideMark/>
          </w:tcPr>
          <w:p w14:paraId="14F53B7E"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3</w:t>
            </w:r>
          </w:p>
        </w:tc>
        <w:tc>
          <w:tcPr>
            <w:tcW w:w="1004" w:type="dxa"/>
            <w:tcBorders>
              <w:top w:val="nil"/>
              <w:left w:val="single" w:sz="4" w:space="0" w:color="000000"/>
              <w:bottom w:val="single" w:sz="8" w:space="0" w:color="000000"/>
              <w:right w:val="single" w:sz="4" w:space="0" w:color="000000"/>
            </w:tcBorders>
            <w:shd w:val="clear" w:color="auto" w:fill="auto"/>
            <w:noWrap/>
            <w:vAlign w:val="center"/>
            <w:hideMark/>
          </w:tcPr>
          <w:p w14:paraId="1EF7FD6F"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w:t>
            </w:r>
          </w:p>
        </w:tc>
        <w:tc>
          <w:tcPr>
            <w:tcW w:w="1562" w:type="dxa"/>
            <w:tcBorders>
              <w:top w:val="nil"/>
              <w:left w:val="nil"/>
              <w:bottom w:val="single" w:sz="4" w:space="0" w:color="000000"/>
              <w:right w:val="single" w:sz="4" w:space="0" w:color="000000"/>
            </w:tcBorders>
            <w:shd w:val="clear" w:color="auto" w:fill="auto"/>
            <w:vAlign w:val="center"/>
            <w:hideMark/>
          </w:tcPr>
          <w:p w14:paraId="2AC248B1"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MPMS report,</w:t>
            </w:r>
          </w:p>
          <w:p w14:paraId="7A6B7F12"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Indicator 7.1.1</w:t>
            </w:r>
          </w:p>
          <w:p w14:paraId="08F6CE67" w14:textId="77777777" w:rsidR="00175AA2" w:rsidRPr="001E5747" w:rsidRDefault="00175AA2" w:rsidP="00A0644E">
            <w:pPr>
              <w:jc w:val="center"/>
              <w:rPr>
                <w:rFonts w:ascii="Calibri" w:hAnsi="Calibri" w:cs="Calibri"/>
                <w:color w:val="000000"/>
                <w:sz w:val="16"/>
                <w:szCs w:val="16"/>
                <w:lang w:val="en-GB"/>
              </w:rPr>
            </w:pPr>
          </w:p>
          <w:p w14:paraId="7F58F871"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br/>
            </w:r>
          </w:p>
        </w:tc>
        <w:tc>
          <w:tcPr>
            <w:tcW w:w="1085" w:type="dxa"/>
            <w:tcBorders>
              <w:top w:val="nil"/>
              <w:left w:val="nil"/>
              <w:bottom w:val="single" w:sz="4" w:space="0" w:color="000000"/>
              <w:right w:val="single" w:sz="8" w:space="0" w:color="auto"/>
            </w:tcBorders>
            <w:shd w:val="clear" w:color="auto" w:fill="auto"/>
            <w:vAlign w:val="bottom"/>
            <w:hideMark/>
          </w:tcPr>
          <w:p w14:paraId="133FFBA4" w14:textId="77777777" w:rsidR="00175AA2" w:rsidRPr="001E5747" w:rsidRDefault="00175AA2" w:rsidP="00A0644E">
            <w:pPr>
              <w:rPr>
                <w:rFonts w:ascii="Calibri" w:hAnsi="Calibri" w:cs="Calibri"/>
                <w:color w:val="000000"/>
                <w:sz w:val="16"/>
                <w:szCs w:val="16"/>
                <w:lang w:val="en-GB"/>
              </w:rPr>
            </w:pPr>
          </w:p>
        </w:tc>
      </w:tr>
      <w:tr w:rsidR="00175AA2" w:rsidRPr="001E5747" w14:paraId="37B36E40" w14:textId="77777777" w:rsidTr="00A0644E">
        <w:trPr>
          <w:trHeight w:val="1200"/>
        </w:trPr>
        <w:tc>
          <w:tcPr>
            <w:tcW w:w="648" w:type="dxa"/>
            <w:tcBorders>
              <w:top w:val="nil"/>
              <w:left w:val="single" w:sz="8" w:space="0" w:color="auto"/>
              <w:bottom w:val="single" w:sz="8" w:space="0" w:color="000000"/>
              <w:right w:val="single" w:sz="8" w:space="0" w:color="auto"/>
            </w:tcBorders>
            <w:shd w:val="clear" w:color="000000" w:fill="8EA9DB"/>
            <w:noWrap/>
            <w:vAlign w:val="center"/>
            <w:hideMark/>
          </w:tcPr>
          <w:p w14:paraId="22521EDC" w14:textId="77777777" w:rsidR="00175AA2" w:rsidRPr="001E5747" w:rsidRDefault="00175AA2" w:rsidP="00A0644E">
            <w:pPr>
              <w:jc w:val="center"/>
              <w:rPr>
                <w:rFonts w:ascii="Calibri" w:hAnsi="Calibri" w:cs="Calibri"/>
                <w:b/>
                <w:bCs/>
                <w:color w:val="000000"/>
                <w:sz w:val="16"/>
                <w:szCs w:val="16"/>
                <w:lang w:val="en-GB"/>
              </w:rPr>
            </w:pPr>
            <w:r w:rsidRPr="001E5747">
              <w:rPr>
                <w:rFonts w:ascii="Calibri" w:hAnsi="Calibri" w:cs="Calibri"/>
                <w:b/>
                <w:bCs/>
                <w:color w:val="000000"/>
                <w:sz w:val="16"/>
                <w:szCs w:val="16"/>
                <w:lang w:val="en-GB"/>
              </w:rPr>
              <w:t>25</w:t>
            </w:r>
          </w:p>
        </w:tc>
        <w:tc>
          <w:tcPr>
            <w:tcW w:w="3089" w:type="dxa"/>
            <w:tcBorders>
              <w:top w:val="nil"/>
              <w:left w:val="nil"/>
              <w:bottom w:val="single" w:sz="4" w:space="0" w:color="000000"/>
              <w:right w:val="single" w:sz="4" w:space="0" w:color="000000"/>
            </w:tcBorders>
            <w:shd w:val="clear" w:color="auto" w:fill="auto"/>
            <w:vAlign w:val="center"/>
            <w:hideMark/>
          </w:tcPr>
          <w:p w14:paraId="43769871"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xml:space="preserve">Settlements involved in local public transport </w:t>
            </w:r>
          </w:p>
        </w:tc>
        <w:tc>
          <w:tcPr>
            <w:tcW w:w="2546" w:type="dxa"/>
            <w:tcBorders>
              <w:top w:val="nil"/>
              <w:left w:val="nil"/>
              <w:bottom w:val="single" w:sz="4" w:space="0" w:color="000000"/>
              <w:right w:val="single" w:sz="4" w:space="0" w:color="000000"/>
            </w:tcBorders>
            <w:shd w:val="clear" w:color="auto" w:fill="auto"/>
            <w:vAlign w:val="center"/>
            <w:hideMark/>
          </w:tcPr>
          <w:p w14:paraId="37C2FB92"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xml:space="preserve">• 0 points if the result in MPMS is up to 49.99%, </w:t>
            </w:r>
          </w:p>
          <w:p w14:paraId="4E39E5AE"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xml:space="preserve">• 1 point if the result in MPMS is 50% - 79.99%, </w:t>
            </w:r>
          </w:p>
          <w:p w14:paraId="1E2D35A8"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3 points if the result in MPMS is equal to or higher than 80%.</w:t>
            </w:r>
          </w:p>
        </w:tc>
        <w:tc>
          <w:tcPr>
            <w:tcW w:w="658" w:type="dxa"/>
            <w:tcBorders>
              <w:top w:val="nil"/>
              <w:left w:val="single" w:sz="4" w:space="0" w:color="000000"/>
              <w:bottom w:val="single" w:sz="8" w:space="0" w:color="000000"/>
              <w:right w:val="single" w:sz="4" w:space="0" w:color="000000"/>
            </w:tcBorders>
            <w:shd w:val="clear" w:color="auto" w:fill="auto"/>
            <w:vAlign w:val="center"/>
            <w:hideMark/>
          </w:tcPr>
          <w:p w14:paraId="477021A8"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0.00%</w:t>
            </w:r>
          </w:p>
        </w:tc>
        <w:tc>
          <w:tcPr>
            <w:tcW w:w="574" w:type="dxa"/>
            <w:tcBorders>
              <w:top w:val="nil"/>
              <w:left w:val="single" w:sz="4" w:space="0" w:color="000000"/>
              <w:bottom w:val="single" w:sz="8" w:space="0" w:color="000000"/>
              <w:right w:val="single" w:sz="4" w:space="0" w:color="000000"/>
            </w:tcBorders>
            <w:shd w:val="clear" w:color="auto" w:fill="auto"/>
            <w:noWrap/>
            <w:vAlign w:val="center"/>
            <w:hideMark/>
          </w:tcPr>
          <w:p w14:paraId="33C809A4"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3</w:t>
            </w:r>
          </w:p>
        </w:tc>
        <w:tc>
          <w:tcPr>
            <w:tcW w:w="1004" w:type="dxa"/>
            <w:tcBorders>
              <w:top w:val="nil"/>
              <w:left w:val="single" w:sz="4" w:space="0" w:color="000000"/>
              <w:bottom w:val="single" w:sz="8" w:space="0" w:color="000000"/>
              <w:right w:val="single" w:sz="4" w:space="0" w:color="000000"/>
            </w:tcBorders>
            <w:shd w:val="clear" w:color="auto" w:fill="auto"/>
            <w:noWrap/>
            <w:vAlign w:val="center"/>
            <w:hideMark/>
          </w:tcPr>
          <w:p w14:paraId="1C26A9BA"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w:t>
            </w:r>
          </w:p>
        </w:tc>
        <w:tc>
          <w:tcPr>
            <w:tcW w:w="1562" w:type="dxa"/>
            <w:tcBorders>
              <w:top w:val="nil"/>
              <w:left w:val="nil"/>
              <w:bottom w:val="single" w:sz="4" w:space="0" w:color="000000"/>
              <w:right w:val="single" w:sz="4" w:space="0" w:color="000000"/>
            </w:tcBorders>
            <w:shd w:val="clear" w:color="auto" w:fill="auto"/>
            <w:vAlign w:val="center"/>
            <w:hideMark/>
          </w:tcPr>
          <w:p w14:paraId="124A138C"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MPMS report,</w:t>
            </w:r>
          </w:p>
          <w:p w14:paraId="3EDCA692"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Indicator 10.1.2</w:t>
            </w:r>
            <w:r w:rsidRPr="001E5747">
              <w:rPr>
                <w:rFonts w:ascii="Calibri" w:hAnsi="Calibri" w:cs="Calibri"/>
                <w:color w:val="000000"/>
                <w:sz w:val="16"/>
                <w:szCs w:val="16"/>
                <w:lang w:val="en-GB"/>
              </w:rPr>
              <w:br/>
            </w:r>
          </w:p>
        </w:tc>
        <w:tc>
          <w:tcPr>
            <w:tcW w:w="1085" w:type="dxa"/>
            <w:tcBorders>
              <w:top w:val="nil"/>
              <w:left w:val="nil"/>
              <w:bottom w:val="single" w:sz="4" w:space="0" w:color="000000"/>
              <w:right w:val="single" w:sz="8" w:space="0" w:color="auto"/>
            </w:tcBorders>
            <w:shd w:val="clear" w:color="auto" w:fill="auto"/>
            <w:vAlign w:val="bottom"/>
            <w:hideMark/>
          </w:tcPr>
          <w:p w14:paraId="31EEF82C" w14:textId="77777777" w:rsidR="00175AA2" w:rsidRPr="001E5747" w:rsidRDefault="00175AA2" w:rsidP="00A0644E">
            <w:pPr>
              <w:rPr>
                <w:rFonts w:ascii="Calibri" w:hAnsi="Calibri" w:cs="Calibri"/>
                <w:color w:val="000000"/>
                <w:sz w:val="16"/>
                <w:szCs w:val="16"/>
                <w:lang w:val="en-GB"/>
              </w:rPr>
            </w:pPr>
          </w:p>
        </w:tc>
      </w:tr>
      <w:tr w:rsidR="00175AA2" w:rsidRPr="001E5747" w14:paraId="559C54F3" w14:textId="77777777" w:rsidTr="00A0644E">
        <w:trPr>
          <w:trHeight w:val="1200"/>
        </w:trPr>
        <w:tc>
          <w:tcPr>
            <w:tcW w:w="648" w:type="dxa"/>
            <w:tcBorders>
              <w:top w:val="nil"/>
              <w:left w:val="single" w:sz="8" w:space="0" w:color="auto"/>
              <w:bottom w:val="single" w:sz="8" w:space="0" w:color="000000"/>
              <w:right w:val="single" w:sz="8" w:space="0" w:color="auto"/>
            </w:tcBorders>
            <w:shd w:val="clear" w:color="000000" w:fill="8EA9DB"/>
            <w:noWrap/>
            <w:vAlign w:val="center"/>
            <w:hideMark/>
          </w:tcPr>
          <w:p w14:paraId="799964EA" w14:textId="77777777" w:rsidR="00175AA2" w:rsidRPr="001E5747" w:rsidRDefault="00175AA2" w:rsidP="00A0644E">
            <w:pPr>
              <w:jc w:val="center"/>
              <w:rPr>
                <w:rFonts w:ascii="Calibri" w:hAnsi="Calibri" w:cs="Calibri"/>
                <w:b/>
                <w:bCs/>
                <w:color w:val="000000"/>
                <w:sz w:val="16"/>
                <w:szCs w:val="16"/>
                <w:lang w:val="en-GB"/>
              </w:rPr>
            </w:pPr>
            <w:r w:rsidRPr="001E5747">
              <w:rPr>
                <w:rFonts w:ascii="Calibri" w:hAnsi="Calibri" w:cs="Calibri"/>
                <w:b/>
                <w:bCs/>
                <w:color w:val="000000"/>
                <w:sz w:val="16"/>
                <w:szCs w:val="16"/>
                <w:lang w:val="en-GB"/>
              </w:rPr>
              <w:t>26</w:t>
            </w:r>
          </w:p>
        </w:tc>
        <w:tc>
          <w:tcPr>
            <w:tcW w:w="3089" w:type="dxa"/>
            <w:tcBorders>
              <w:top w:val="nil"/>
              <w:left w:val="nil"/>
              <w:bottom w:val="single" w:sz="4" w:space="0" w:color="000000"/>
              <w:right w:val="single" w:sz="4" w:space="0" w:color="000000"/>
            </w:tcBorders>
            <w:shd w:val="clear" w:color="auto" w:fill="auto"/>
            <w:vAlign w:val="center"/>
            <w:hideMark/>
          </w:tcPr>
          <w:p w14:paraId="0CC152C8"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Implementation of the Local Environmental Action Plan</w:t>
            </w:r>
          </w:p>
        </w:tc>
        <w:tc>
          <w:tcPr>
            <w:tcW w:w="2546" w:type="dxa"/>
            <w:tcBorders>
              <w:top w:val="nil"/>
              <w:left w:val="nil"/>
              <w:bottom w:val="single" w:sz="4" w:space="0" w:color="000000"/>
              <w:right w:val="single" w:sz="4" w:space="0" w:color="000000"/>
            </w:tcBorders>
            <w:shd w:val="clear" w:color="auto" w:fill="auto"/>
            <w:vAlign w:val="center"/>
            <w:hideMark/>
          </w:tcPr>
          <w:p w14:paraId="6F917A2D"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xml:space="preserve">• 0 points if the result in MPMS is up to 49.99%, </w:t>
            </w:r>
          </w:p>
          <w:p w14:paraId="3B09010A"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xml:space="preserve">• 1 point if the result in MPMS is 50% - 89.99% </w:t>
            </w:r>
          </w:p>
          <w:p w14:paraId="6379BDAA"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2 points if the result in MPMS is equal to or higher than 90%.</w:t>
            </w:r>
          </w:p>
        </w:tc>
        <w:tc>
          <w:tcPr>
            <w:tcW w:w="658" w:type="dxa"/>
            <w:tcBorders>
              <w:top w:val="nil"/>
              <w:left w:val="single" w:sz="4" w:space="0" w:color="000000"/>
              <w:bottom w:val="single" w:sz="8" w:space="0" w:color="000000"/>
              <w:right w:val="single" w:sz="4" w:space="0" w:color="000000"/>
            </w:tcBorders>
            <w:shd w:val="clear" w:color="auto" w:fill="auto"/>
            <w:vAlign w:val="center"/>
            <w:hideMark/>
          </w:tcPr>
          <w:p w14:paraId="506E0537"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0.00%</w:t>
            </w:r>
          </w:p>
        </w:tc>
        <w:tc>
          <w:tcPr>
            <w:tcW w:w="574" w:type="dxa"/>
            <w:tcBorders>
              <w:top w:val="nil"/>
              <w:left w:val="single" w:sz="4" w:space="0" w:color="000000"/>
              <w:bottom w:val="single" w:sz="8" w:space="0" w:color="000000"/>
              <w:right w:val="single" w:sz="4" w:space="0" w:color="000000"/>
            </w:tcBorders>
            <w:shd w:val="clear" w:color="auto" w:fill="auto"/>
            <w:noWrap/>
            <w:vAlign w:val="center"/>
            <w:hideMark/>
          </w:tcPr>
          <w:p w14:paraId="27CADC62"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2</w:t>
            </w:r>
          </w:p>
        </w:tc>
        <w:tc>
          <w:tcPr>
            <w:tcW w:w="1004" w:type="dxa"/>
            <w:tcBorders>
              <w:top w:val="nil"/>
              <w:left w:val="single" w:sz="4" w:space="0" w:color="000000"/>
              <w:bottom w:val="single" w:sz="8" w:space="0" w:color="000000"/>
              <w:right w:val="single" w:sz="4" w:space="0" w:color="000000"/>
            </w:tcBorders>
            <w:shd w:val="clear" w:color="auto" w:fill="auto"/>
            <w:noWrap/>
            <w:vAlign w:val="center"/>
            <w:hideMark/>
          </w:tcPr>
          <w:p w14:paraId="2C75676E"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w:t>
            </w:r>
          </w:p>
        </w:tc>
        <w:tc>
          <w:tcPr>
            <w:tcW w:w="1562" w:type="dxa"/>
            <w:tcBorders>
              <w:top w:val="nil"/>
              <w:left w:val="nil"/>
              <w:bottom w:val="single" w:sz="4" w:space="0" w:color="000000"/>
              <w:right w:val="single" w:sz="4" w:space="0" w:color="000000"/>
            </w:tcBorders>
            <w:shd w:val="clear" w:color="auto" w:fill="auto"/>
            <w:vAlign w:val="center"/>
            <w:hideMark/>
          </w:tcPr>
          <w:p w14:paraId="2F0DB9E8"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MPMS report,</w:t>
            </w:r>
          </w:p>
          <w:p w14:paraId="3CA1D60B"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15.1.1</w:t>
            </w:r>
            <w:r w:rsidRPr="001E5747">
              <w:rPr>
                <w:rFonts w:ascii="Calibri" w:hAnsi="Calibri" w:cs="Calibri"/>
                <w:color w:val="000000"/>
                <w:sz w:val="16"/>
                <w:szCs w:val="16"/>
                <w:lang w:val="en-GB"/>
              </w:rPr>
              <w:br/>
            </w:r>
          </w:p>
        </w:tc>
        <w:tc>
          <w:tcPr>
            <w:tcW w:w="1085" w:type="dxa"/>
            <w:tcBorders>
              <w:top w:val="nil"/>
              <w:left w:val="nil"/>
              <w:bottom w:val="single" w:sz="4" w:space="0" w:color="000000"/>
              <w:right w:val="single" w:sz="8" w:space="0" w:color="auto"/>
            </w:tcBorders>
            <w:shd w:val="clear" w:color="auto" w:fill="auto"/>
            <w:vAlign w:val="bottom"/>
            <w:hideMark/>
          </w:tcPr>
          <w:p w14:paraId="279D38E4" w14:textId="77777777" w:rsidR="00175AA2" w:rsidRPr="001E5747" w:rsidRDefault="00175AA2" w:rsidP="00A0644E">
            <w:pPr>
              <w:rPr>
                <w:rFonts w:ascii="Calibri" w:hAnsi="Calibri" w:cs="Calibri"/>
                <w:color w:val="000000"/>
                <w:sz w:val="16"/>
                <w:szCs w:val="16"/>
                <w:lang w:val="en-GB"/>
              </w:rPr>
            </w:pPr>
          </w:p>
        </w:tc>
      </w:tr>
      <w:tr w:rsidR="00175AA2" w:rsidRPr="001E5747" w14:paraId="258DF95B" w14:textId="77777777" w:rsidTr="00A0644E">
        <w:trPr>
          <w:trHeight w:val="322"/>
        </w:trPr>
        <w:tc>
          <w:tcPr>
            <w:tcW w:w="648" w:type="dxa"/>
            <w:tcBorders>
              <w:top w:val="nil"/>
              <w:left w:val="single" w:sz="8" w:space="0" w:color="auto"/>
              <w:bottom w:val="nil"/>
              <w:right w:val="single" w:sz="8" w:space="0" w:color="auto"/>
            </w:tcBorders>
            <w:shd w:val="clear" w:color="000000" w:fill="8EA9DB"/>
            <w:noWrap/>
            <w:vAlign w:val="center"/>
            <w:hideMark/>
          </w:tcPr>
          <w:p w14:paraId="6973CB1C" w14:textId="77777777"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IX</w:t>
            </w:r>
          </w:p>
        </w:tc>
        <w:tc>
          <w:tcPr>
            <w:tcW w:w="6293" w:type="dxa"/>
            <w:gridSpan w:val="3"/>
            <w:tcBorders>
              <w:top w:val="single" w:sz="8" w:space="0" w:color="auto"/>
              <w:left w:val="nil"/>
              <w:bottom w:val="single" w:sz="8" w:space="0" w:color="auto"/>
              <w:right w:val="single" w:sz="4" w:space="0" w:color="auto"/>
            </w:tcBorders>
            <w:shd w:val="clear" w:color="000000" w:fill="8EA9DB"/>
            <w:vAlign w:val="center"/>
            <w:hideMark/>
          </w:tcPr>
          <w:p w14:paraId="1A43F366" w14:textId="77777777" w:rsidR="00175AA2" w:rsidRPr="001E5747" w:rsidRDefault="00175AA2" w:rsidP="00A0644E">
            <w:pPr>
              <w:rPr>
                <w:rFonts w:ascii="Calibri" w:hAnsi="Calibri" w:cs="Calibri"/>
                <w:b/>
                <w:bCs/>
                <w:color w:val="FFFFFF"/>
                <w:sz w:val="16"/>
                <w:szCs w:val="16"/>
                <w:lang w:val="en-GB"/>
              </w:rPr>
            </w:pPr>
            <w:r w:rsidRPr="001E5747">
              <w:rPr>
                <w:rFonts w:ascii="Calibri" w:hAnsi="Calibri" w:cs="Calibri"/>
                <w:b/>
                <w:bCs/>
                <w:color w:val="FFFFFF"/>
                <w:sz w:val="16"/>
                <w:szCs w:val="16"/>
                <w:lang w:val="en-GB"/>
              </w:rPr>
              <w:t xml:space="preserve">Pre-University Education </w:t>
            </w:r>
          </w:p>
        </w:tc>
        <w:tc>
          <w:tcPr>
            <w:tcW w:w="574" w:type="dxa"/>
            <w:tcBorders>
              <w:top w:val="nil"/>
              <w:left w:val="nil"/>
              <w:bottom w:val="single" w:sz="8" w:space="0" w:color="auto"/>
              <w:right w:val="single" w:sz="4" w:space="0" w:color="auto"/>
            </w:tcBorders>
            <w:shd w:val="clear" w:color="000000" w:fill="8EA9DB"/>
            <w:vAlign w:val="center"/>
            <w:hideMark/>
          </w:tcPr>
          <w:p w14:paraId="3BDD5E0E" w14:textId="77777777" w:rsidR="00175AA2" w:rsidRPr="001E5747" w:rsidRDefault="00AA1660" w:rsidP="00AA1660">
            <w:pPr>
              <w:jc w:val="center"/>
              <w:rPr>
                <w:rFonts w:ascii="Calibri" w:hAnsi="Calibri" w:cs="Calibri"/>
                <w:b/>
                <w:bCs/>
                <w:color w:val="FFFFFF"/>
                <w:sz w:val="16"/>
                <w:szCs w:val="16"/>
                <w:lang w:val="en-GB"/>
              </w:rPr>
            </w:pPr>
            <w:r>
              <w:rPr>
                <w:rFonts w:ascii="Calibri" w:hAnsi="Calibri" w:cs="Calibri"/>
                <w:b/>
                <w:bCs/>
                <w:color w:val="FFFFFF"/>
                <w:sz w:val="16"/>
                <w:szCs w:val="16"/>
                <w:lang w:val="en-GB"/>
              </w:rPr>
              <w:t>4</w:t>
            </w:r>
          </w:p>
        </w:tc>
        <w:tc>
          <w:tcPr>
            <w:tcW w:w="1004" w:type="dxa"/>
            <w:tcBorders>
              <w:top w:val="nil"/>
              <w:left w:val="nil"/>
              <w:bottom w:val="single" w:sz="8" w:space="0" w:color="auto"/>
              <w:right w:val="single" w:sz="4" w:space="0" w:color="auto"/>
            </w:tcBorders>
            <w:shd w:val="clear" w:color="000000" w:fill="8EA9DB"/>
            <w:vAlign w:val="center"/>
            <w:hideMark/>
          </w:tcPr>
          <w:p w14:paraId="366E1C4C" w14:textId="77777777"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0</w:t>
            </w:r>
          </w:p>
        </w:tc>
        <w:tc>
          <w:tcPr>
            <w:tcW w:w="1562" w:type="dxa"/>
            <w:tcBorders>
              <w:top w:val="nil"/>
              <w:left w:val="nil"/>
              <w:bottom w:val="single" w:sz="8" w:space="0" w:color="auto"/>
              <w:right w:val="single" w:sz="4" w:space="0" w:color="auto"/>
            </w:tcBorders>
            <w:shd w:val="clear" w:color="000000" w:fill="8EA9DB"/>
            <w:vAlign w:val="center"/>
            <w:hideMark/>
          </w:tcPr>
          <w:p w14:paraId="394067F3" w14:textId="77777777" w:rsidR="00175AA2" w:rsidRPr="001E5747" w:rsidRDefault="00175AA2" w:rsidP="00A0644E">
            <w:pPr>
              <w:jc w:val="center"/>
              <w:rPr>
                <w:rFonts w:ascii="Calibri" w:hAnsi="Calibri" w:cs="Calibri"/>
                <w:b/>
                <w:bCs/>
                <w:color w:val="FFFFFF"/>
                <w:sz w:val="16"/>
                <w:szCs w:val="16"/>
                <w:lang w:val="en-GB"/>
              </w:rPr>
            </w:pPr>
          </w:p>
        </w:tc>
        <w:tc>
          <w:tcPr>
            <w:tcW w:w="1085" w:type="dxa"/>
            <w:tcBorders>
              <w:top w:val="nil"/>
              <w:left w:val="nil"/>
              <w:bottom w:val="single" w:sz="8" w:space="0" w:color="auto"/>
              <w:right w:val="single" w:sz="8" w:space="0" w:color="auto"/>
            </w:tcBorders>
            <w:shd w:val="clear" w:color="000000" w:fill="8EA9DB"/>
            <w:vAlign w:val="center"/>
            <w:hideMark/>
          </w:tcPr>
          <w:p w14:paraId="76E0B508" w14:textId="77777777" w:rsidR="00175AA2" w:rsidRPr="001E5747" w:rsidRDefault="00175AA2" w:rsidP="00A0644E">
            <w:pPr>
              <w:jc w:val="center"/>
              <w:rPr>
                <w:rFonts w:ascii="Calibri" w:hAnsi="Calibri" w:cs="Calibri"/>
                <w:b/>
                <w:bCs/>
                <w:color w:val="FFFFFF"/>
                <w:sz w:val="16"/>
                <w:szCs w:val="16"/>
                <w:lang w:val="en-GB"/>
              </w:rPr>
            </w:pPr>
          </w:p>
        </w:tc>
      </w:tr>
      <w:tr w:rsidR="00175AA2" w:rsidRPr="001E5747" w14:paraId="1D9EB31E" w14:textId="77777777" w:rsidTr="00D25AD4">
        <w:trPr>
          <w:trHeight w:val="1200"/>
        </w:trPr>
        <w:tc>
          <w:tcPr>
            <w:tcW w:w="648" w:type="dxa"/>
            <w:tcBorders>
              <w:top w:val="single" w:sz="8" w:space="0" w:color="auto"/>
              <w:left w:val="single" w:sz="8" w:space="0" w:color="auto"/>
              <w:bottom w:val="single" w:sz="8" w:space="0" w:color="000000"/>
              <w:right w:val="single" w:sz="8" w:space="0" w:color="auto"/>
            </w:tcBorders>
            <w:shd w:val="clear" w:color="000000" w:fill="8EA9DB"/>
            <w:noWrap/>
            <w:vAlign w:val="center"/>
            <w:hideMark/>
          </w:tcPr>
          <w:p w14:paraId="52A3DEDD" w14:textId="77777777" w:rsidR="00175AA2" w:rsidRPr="001E5747" w:rsidRDefault="00175AA2" w:rsidP="00A0644E">
            <w:pPr>
              <w:jc w:val="center"/>
              <w:rPr>
                <w:rFonts w:ascii="Calibri" w:hAnsi="Calibri" w:cs="Calibri"/>
                <w:b/>
                <w:bCs/>
                <w:color w:val="000000"/>
                <w:sz w:val="16"/>
                <w:szCs w:val="16"/>
                <w:lang w:val="en-GB"/>
              </w:rPr>
            </w:pPr>
            <w:r w:rsidRPr="001E5747">
              <w:rPr>
                <w:rFonts w:ascii="Calibri" w:hAnsi="Calibri" w:cs="Calibri"/>
                <w:b/>
                <w:bCs/>
                <w:color w:val="000000"/>
                <w:sz w:val="16"/>
                <w:szCs w:val="16"/>
                <w:lang w:val="en-GB"/>
              </w:rPr>
              <w:t>27</w:t>
            </w:r>
          </w:p>
        </w:tc>
        <w:tc>
          <w:tcPr>
            <w:tcW w:w="3089" w:type="dxa"/>
            <w:tcBorders>
              <w:top w:val="nil"/>
              <w:left w:val="nil"/>
              <w:bottom w:val="single" w:sz="4" w:space="0" w:color="000000"/>
              <w:right w:val="single" w:sz="4" w:space="0" w:color="000000"/>
            </w:tcBorders>
            <w:shd w:val="clear" w:color="auto" w:fill="FFC000"/>
            <w:vAlign w:val="center"/>
            <w:hideMark/>
          </w:tcPr>
          <w:p w14:paraId="73A9B713"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Children attending kindergarten - rural and general</w:t>
            </w:r>
            <w:r w:rsidRPr="001E5747" w:rsidDel="00DC7362">
              <w:rPr>
                <w:rFonts w:asciiTheme="majorHAnsi" w:hAnsiTheme="majorHAnsi" w:cstheme="majorHAnsi"/>
                <w:color w:val="000000"/>
                <w:sz w:val="19"/>
                <w:szCs w:val="19"/>
                <w:lang w:val="en-GB"/>
              </w:rPr>
              <w:t xml:space="preserve"> </w:t>
            </w:r>
          </w:p>
        </w:tc>
        <w:tc>
          <w:tcPr>
            <w:tcW w:w="2546" w:type="dxa"/>
            <w:tcBorders>
              <w:top w:val="nil"/>
              <w:left w:val="nil"/>
              <w:bottom w:val="single" w:sz="4" w:space="0" w:color="000000"/>
              <w:right w:val="single" w:sz="4" w:space="0" w:color="000000"/>
            </w:tcBorders>
            <w:shd w:val="clear" w:color="auto" w:fill="FFC000"/>
            <w:vAlign w:val="center"/>
            <w:hideMark/>
          </w:tcPr>
          <w:p w14:paraId="50E1383B"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xml:space="preserve">• 0 points if the result in MPMS is up to 49.99%, </w:t>
            </w:r>
          </w:p>
          <w:p w14:paraId="6B3711AA"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xml:space="preserve">• 2 points if the result in MPMS is 50% - 79.99%, </w:t>
            </w:r>
          </w:p>
          <w:p w14:paraId="3AAD859E"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4 points if the result in MPMS is equal to or higher than 80%.</w:t>
            </w:r>
          </w:p>
        </w:tc>
        <w:tc>
          <w:tcPr>
            <w:tcW w:w="658" w:type="dxa"/>
            <w:tcBorders>
              <w:top w:val="nil"/>
              <w:left w:val="single" w:sz="4" w:space="0" w:color="000000"/>
              <w:bottom w:val="single" w:sz="8" w:space="0" w:color="000000"/>
              <w:right w:val="single" w:sz="4" w:space="0" w:color="000000"/>
            </w:tcBorders>
            <w:shd w:val="clear" w:color="auto" w:fill="FFC000"/>
            <w:vAlign w:val="center"/>
            <w:hideMark/>
          </w:tcPr>
          <w:p w14:paraId="2DEBD6BE" w14:textId="77777777" w:rsidR="00175AA2" w:rsidRPr="001E5747" w:rsidRDefault="00175AA2" w:rsidP="00A0644E">
            <w:pPr>
              <w:jc w:val="center"/>
              <w:rPr>
                <w:rFonts w:ascii="Calibri" w:hAnsi="Calibri" w:cs="Calibri"/>
                <w:color w:val="000000"/>
                <w:sz w:val="16"/>
                <w:szCs w:val="16"/>
                <w:lang w:val="en-GB"/>
              </w:rPr>
            </w:pPr>
          </w:p>
        </w:tc>
        <w:tc>
          <w:tcPr>
            <w:tcW w:w="574" w:type="dxa"/>
            <w:tcBorders>
              <w:top w:val="nil"/>
              <w:left w:val="single" w:sz="4" w:space="0" w:color="000000"/>
              <w:bottom w:val="single" w:sz="8" w:space="0" w:color="000000"/>
              <w:right w:val="single" w:sz="4" w:space="0" w:color="000000"/>
            </w:tcBorders>
            <w:shd w:val="clear" w:color="auto" w:fill="FFC000"/>
            <w:noWrap/>
            <w:vAlign w:val="center"/>
            <w:hideMark/>
          </w:tcPr>
          <w:p w14:paraId="4B99F06B"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4</w:t>
            </w:r>
          </w:p>
        </w:tc>
        <w:tc>
          <w:tcPr>
            <w:tcW w:w="1004" w:type="dxa"/>
            <w:tcBorders>
              <w:top w:val="nil"/>
              <w:left w:val="single" w:sz="4" w:space="0" w:color="000000"/>
              <w:bottom w:val="single" w:sz="8" w:space="0" w:color="000000"/>
              <w:right w:val="single" w:sz="4" w:space="0" w:color="000000"/>
            </w:tcBorders>
            <w:shd w:val="clear" w:color="auto" w:fill="FFC000"/>
            <w:noWrap/>
            <w:vAlign w:val="center"/>
            <w:hideMark/>
          </w:tcPr>
          <w:p w14:paraId="6BA917F4"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w:t>
            </w:r>
          </w:p>
        </w:tc>
        <w:tc>
          <w:tcPr>
            <w:tcW w:w="1562" w:type="dxa"/>
            <w:tcBorders>
              <w:top w:val="nil"/>
              <w:left w:val="nil"/>
              <w:bottom w:val="single" w:sz="4" w:space="0" w:color="000000"/>
              <w:right w:val="single" w:sz="4" w:space="0" w:color="000000"/>
            </w:tcBorders>
            <w:shd w:val="clear" w:color="auto" w:fill="FFC000"/>
            <w:vAlign w:val="center"/>
            <w:hideMark/>
          </w:tcPr>
          <w:p w14:paraId="5108D8BC"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MPMS report,</w:t>
            </w:r>
          </w:p>
          <w:p w14:paraId="5B6F901E"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Indicator 17.3.1</w:t>
            </w:r>
            <w:r w:rsidRPr="001E5747">
              <w:rPr>
                <w:rFonts w:ascii="Calibri" w:hAnsi="Calibri" w:cs="Calibri"/>
                <w:color w:val="000000"/>
                <w:sz w:val="16"/>
                <w:szCs w:val="16"/>
                <w:lang w:val="en-GB"/>
              </w:rPr>
              <w:br/>
            </w:r>
          </w:p>
        </w:tc>
        <w:tc>
          <w:tcPr>
            <w:tcW w:w="1085" w:type="dxa"/>
            <w:tcBorders>
              <w:top w:val="nil"/>
              <w:left w:val="nil"/>
              <w:bottom w:val="single" w:sz="4" w:space="0" w:color="000000"/>
              <w:right w:val="single" w:sz="8" w:space="0" w:color="auto"/>
            </w:tcBorders>
            <w:shd w:val="clear" w:color="auto" w:fill="FFC000"/>
            <w:vAlign w:val="bottom"/>
            <w:hideMark/>
          </w:tcPr>
          <w:p w14:paraId="61F8B759" w14:textId="3E3C5853" w:rsidR="00175AA2" w:rsidRPr="001E5747" w:rsidRDefault="00175AA2" w:rsidP="00AA1660">
            <w:pPr>
              <w:rPr>
                <w:rFonts w:ascii="Calibri" w:hAnsi="Calibri" w:cs="Calibri"/>
                <w:color w:val="000000"/>
                <w:sz w:val="16"/>
                <w:szCs w:val="16"/>
                <w:lang w:val="en-GB"/>
              </w:rPr>
            </w:pPr>
            <w:r w:rsidRPr="001E5747">
              <w:rPr>
                <w:rFonts w:ascii="Calibri" w:hAnsi="Calibri" w:cs="Calibri"/>
                <w:color w:val="000000"/>
                <w:sz w:val="16"/>
                <w:szCs w:val="16"/>
                <w:lang w:val="en-GB"/>
              </w:rPr>
              <w:t>This indicator is not scored. For more explanations, please refer to the Municipal Performance Grant Rules for Fiscal Year 202</w:t>
            </w:r>
            <w:r w:rsidR="00310D3C">
              <w:rPr>
                <w:rFonts w:ascii="Calibri" w:hAnsi="Calibri" w:cs="Calibri"/>
                <w:color w:val="000000"/>
                <w:sz w:val="16"/>
                <w:szCs w:val="16"/>
                <w:lang w:val="en-GB"/>
              </w:rPr>
              <w:t>3</w:t>
            </w:r>
            <w:r w:rsidRPr="001E5747">
              <w:rPr>
                <w:rFonts w:ascii="Calibri" w:hAnsi="Calibri" w:cs="Calibri"/>
                <w:color w:val="000000"/>
                <w:sz w:val="16"/>
                <w:szCs w:val="16"/>
                <w:lang w:val="en-GB"/>
              </w:rPr>
              <w:t>.</w:t>
            </w:r>
          </w:p>
        </w:tc>
      </w:tr>
      <w:tr w:rsidR="00175AA2" w:rsidRPr="001E5747" w14:paraId="32F929A9" w14:textId="77777777" w:rsidTr="00A0644E">
        <w:trPr>
          <w:trHeight w:val="1200"/>
        </w:trPr>
        <w:tc>
          <w:tcPr>
            <w:tcW w:w="648" w:type="dxa"/>
            <w:tcBorders>
              <w:top w:val="nil"/>
              <w:left w:val="single" w:sz="8" w:space="0" w:color="auto"/>
              <w:bottom w:val="single" w:sz="8" w:space="0" w:color="000000"/>
              <w:right w:val="single" w:sz="8" w:space="0" w:color="auto"/>
            </w:tcBorders>
            <w:shd w:val="clear" w:color="000000" w:fill="8EA9DB"/>
            <w:noWrap/>
            <w:vAlign w:val="center"/>
            <w:hideMark/>
          </w:tcPr>
          <w:p w14:paraId="6C4A3AF2" w14:textId="77777777" w:rsidR="00175AA2" w:rsidRPr="001E5747" w:rsidRDefault="00175AA2" w:rsidP="00A0644E">
            <w:pPr>
              <w:jc w:val="center"/>
              <w:rPr>
                <w:rFonts w:ascii="Calibri" w:hAnsi="Calibri" w:cs="Calibri"/>
                <w:b/>
                <w:bCs/>
                <w:color w:val="000000"/>
                <w:sz w:val="16"/>
                <w:szCs w:val="16"/>
                <w:lang w:val="en-GB"/>
              </w:rPr>
            </w:pPr>
            <w:r w:rsidRPr="001E5747">
              <w:rPr>
                <w:rFonts w:ascii="Calibri" w:hAnsi="Calibri" w:cs="Calibri"/>
                <w:b/>
                <w:bCs/>
                <w:color w:val="000000"/>
                <w:sz w:val="16"/>
                <w:szCs w:val="16"/>
                <w:lang w:val="en-GB"/>
              </w:rPr>
              <w:t>28</w:t>
            </w:r>
          </w:p>
        </w:tc>
        <w:tc>
          <w:tcPr>
            <w:tcW w:w="3089" w:type="dxa"/>
            <w:tcBorders>
              <w:top w:val="nil"/>
              <w:left w:val="nil"/>
              <w:bottom w:val="single" w:sz="4" w:space="0" w:color="000000"/>
              <w:right w:val="single" w:sz="4" w:space="0" w:color="000000"/>
            </w:tcBorders>
            <w:shd w:val="clear" w:color="auto" w:fill="auto"/>
            <w:vAlign w:val="center"/>
            <w:hideMark/>
          </w:tcPr>
          <w:p w14:paraId="76C446D4"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Passing rate in the national Matura exam in 12</w:t>
            </w:r>
            <w:r w:rsidRPr="001E5747">
              <w:rPr>
                <w:rFonts w:ascii="Calibri" w:hAnsi="Calibri" w:cs="Calibri"/>
                <w:color w:val="000000"/>
                <w:sz w:val="16"/>
                <w:szCs w:val="16"/>
                <w:vertAlign w:val="superscript"/>
                <w:lang w:val="en-GB"/>
              </w:rPr>
              <w:t>th</w:t>
            </w:r>
            <w:r w:rsidRPr="001E5747">
              <w:rPr>
                <w:rFonts w:ascii="Calibri" w:hAnsi="Calibri" w:cs="Calibri"/>
                <w:color w:val="000000"/>
                <w:sz w:val="16"/>
                <w:szCs w:val="16"/>
                <w:lang w:val="en-GB"/>
              </w:rPr>
              <w:t xml:space="preserve"> grade (disaggregation by gender)</w:t>
            </w:r>
          </w:p>
        </w:tc>
        <w:tc>
          <w:tcPr>
            <w:tcW w:w="2546" w:type="dxa"/>
            <w:tcBorders>
              <w:top w:val="nil"/>
              <w:left w:val="nil"/>
              <w:bottom w:val="single" w:sz="4" w:space="0" w:color="000000"/>
              <w:right w:val="single" w:sz="4" w:space="0" w:color="000000"/>
            </w:tcBorders>
            <w:shd w:val="clear" w:color="auto" w:fill="auto"/>
            <w:vAlign w:val="center"/>
            <w:hideMark/>
          </w:tcPr>
          <w:p w14:paraId="62DE2907"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xml:space="preserve">• 0 points if the result in MPMS is up to 49.99%, </w:t>
            </w:r>
          </w:p>
          <w:p w14:paraId="7FD8CEAD"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xml:space="preserve">• 2 points if the result in MPMS is 50% - 89.99%, </w:t>
            </w:r>
          </w:p>
          <w:p w14:paraId="3B7DBA95"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4 points if the result in MPMS is equal to or higher than 90%.</w:t>
            </w:r>
          </w:p>
        </w:tc>
        <w:tc>
          <w:tcPr>
            <w:tcW w:w="658" w:type="dxa"/>
            <w:tcBorders>
              <w:top w:val="nil"/>
              <w:left w:val="single" w:sz="4" w:space="0" w:color="000000"/>
              <w:bottom w:val="single" w:sz="8" w:space="0" w:color="000000"/>
              <w:right w:val="single" w:sz="4" w:space="0" w:color="000000"/>
            </w:tcBorders>
            <w:shd w:val="clear" w:color="auto" w:fill="auto"/>
            <w:vAlign w:val="center"/>
            <w:hideMark/>
          </w:tcPr>
          <w:p w14:paraId="616BCA28" w14:textId="77777777" w:rsidR="00175AA2" w:rsidRPr="001E5747" w:rsidRDefault="00175AA2" w:rsidP="00A0644E">
            <w:pPr>
              <w:jc w:val="center"/>
              <w:rPr>
                <w:rFonts w:ascii="Calibri" w:hAnsi="Calibri" w:cs="Calibri"/>
                <w:color w:val="000000"/>
                <w:sz w:val="16"/>
                <w:szCs w:val="16"/>
                <w:lang w:val="en-GB"/>
              </w:rPr>
            </w:pPr>
          </w:p>
        </w:tc>
        <w:tc>
          <w:tcPr>
            <w:tcW w:w="574" w:type="dxa"/>
            <w:tcBorders>
              <w:top w:val="nil"/>
              <w:left w:val="single" w:sz="4" w:space="0" w:color="000000"/>
              <w:bottom w:val="single" w:sz="8" w:space="0" w:color="000000"/>
              <w:right w:val="single" w:sz="4" w:space="0" w:color="000000"/>
            </w:tcBorders>
            <w:shd w:val="clear" w:color="auto" w:fill="auto"/>
            <w:noWrap/>
            <w:vAlign w:val="center"/>
            <w:hideMark/>
          </w:tcPr>
          <w:p w14:paraId="7F374D2C"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4</w:t>
            </w:r>
          </w:p>
        </w:tc>
        <w:tc>
          <w:tcPr>
            <w:tcW w:w="1004" w:type="dxa"/>
            <w:tcBorders>
              <w:top w:val="nil"/>
              <w:left w:val="single" w:sz="4" w:space="0" w:color="000000"/>
              <w:bottom w:val="single" w:sz="8" w:space="0" w:color="000000"/>
              <w:right w:val="single" w:sz="4" w:space="0" w:color="000000"/>
            </w:tcBorders>
            <w:shd w:val="clear" w:color="auto" w:fill="auto"/>
            <w:noWrap/>
            <w:vAlign w:val="center"/>
            <w:hideMark/>
          </w:tcPr>
          <w:p w14:paraId="07989FBA"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w:t>
            </w:r>
          </w:p>
        </w:tc>
        <w:tc>
          <w:tcPr>
            <w:tcW w:w="1562" w:type="dxa"/>
            <w:tcBorders>
              <w:top w:val="nil"/>
              <w:left w:val="nil"/>
              <w:bottom w:val="single" w:sz="4" w:space="0" w:color="000000"/>
              <w:right w:val="single" w:sz="4" w:space="0" w:color="000000"/>
            </w:tcBorders>
            <w:shd w:val="clear" w:color="auto" w:fill="auto"/>
            <w:vAlign w:val="center"/>
            <w:hideMark/>
          </w:tcPr>
          <w:p w14:paraId="05345719"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MPMS report,</w:t>
            </w:r>
          </w:p>
          <w:p w14:paraId="43FE1A39"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Indicator 17.3.5</w:t>
            </w:r>
          </w:p>
          <w:p w14:paraId="0640C2C5"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br/>
            </w:r>
          </w:p>
        </w:tc>
        <w:tc>
          <w:tcPr>
            <w:tcW w:w="1085" w:type="dxa"/>
            <w:tcBorders>
              <w:top w:val="nil"/>
              <w:left w:val="nil"/>
              <w:bottom w:val="single" w:sz="4" w:space="0" w:color="000000"/>
              <w:right w:val="single" w:sz="8" w:space="0" w:color="auto"/>
            </w:tcBorders>
            <w:shd w:val="clear" w:color="auto" w:fill="auto"/>
            <w:vAlign w:val="bottom"/>
            <w:hideMark/>
          </w:tcPr>
          <w:p w14:paraId="7D7CACAB" w14:textId="77777777" w:rsidR="00175AA2" w:rsidRPr="001E5747" w:rsidRDefault="00175AA2" w:rsidP="00A0644E">
            <w:pPr>
              <w:rPr>
                <w:rFonts w:ascii="Calibri" w:hAnsi="Calibri" w:cs="Calibri"/>
                <w:color w:val="000000"/>
                <w:sz w:val="16"/>
                <w:szCs w:val="16"/>
                <w:lang w:val="en-GB"/>
              </w:rPr>
            </w:pPr>
          </w:p>
        </w:tc>
      </w:tr>
      <w:tr w:rsidR="00175AA2" w:rsidRPr="001E5747" w14:paraId="4E1E118F" w14:textId="77777777" w:rsidTr="00A0644E">
        <w:trPr>
          <w:trHeight w:val="250"/>
        </w:trPr>
        <w:tc>
          <w:tcPr>
            <w:tcW w:w="648" w:type="dxa"/>
            <w:tcBorders>
              <w:top w:val="nil"/>
              <w:left w:val="single" w:sz="8" w:space="0" w:color="auto"/>
              <w:bottom w:val="nil"/>
              <w:right w:val="single" w:sz="8" w:space="0" w:color="auto"/>
            </w:tcBorders>
            <w:shd w:val="clear" w:color="000000" w:fill="8EA9DB"/>
            <w:noWrap/>
            <w:vAlign w:val="center"/>
            <w:hideMark/>
          </w:tcPr>
          <w:p w14:paraId="1BC016E2" w14:textId="77777777"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X</w:t>
            </w:r>
          </w:p>
        </w:tc>
        <w:tc>
          <w:tcPr>
            <w:tcW w:w="6293" w:type="dxa"/>
            <w:gridSpan w:val="3"/>
            <w:tcBorders>
              <w:top w:val="single" w:sz="8" w:space="0" w:color="auto"/>
              <w:left w:val="nil"/>
              <w:bottom w:val="single" w:sz="8" w:space="0" w:color="auto"/>
              <w:right w:val="single" w:sz="4" w:space="0" w:color="auto"/>
            </w:tcBorders>
            <w:shd w:val="clear" w:color="000000" w:fill="8EA9DB"/>
            <w:vAlign w:val="center"/>
            <w:hideMark/>
          </w:tcPr>
          <w:p w14:paraId="333A9174" w14:textId="77777777" w:rsidR="00175AA2" w:rsidRPr="001E5747" w:rsidRDefault="00175AA2" w:rsidP="00A0644E">
            <w:pPr>
              <w:rPr>
                <w:rFonts w:ascii="Calibri" w:hAnsi="Calibri" w:cs="Calibri"/>
                <w:b/>
                <w:bCs/>
                <w:color w:val="FFFFFF"/>
                <w:sz w:val="16"/>
                <w:szCs w:val="16"/>
                <w:lang w:val="en-GB"/>
              </w:rPr>
            </w:pPr>
            <w:r w:rsidRPr="001E5747">
              <w:rPr>
                <w:rFonts w:ascii="Calibri" w:hAnsi="Calibri" w:cs="Calibri"/>
                <w:b/>
                <w:bCs/>
                <w:color w:val="FFFFFF"/>
                <w:sz w:val="16"/>
                <w:szCs w:val="16"/>
                <w:lang w:val="en-GB"/>
              </w:rPr>
              <w:t xml:space="preserve">Primary health care </w:t>
            </w:r>
          </w:p>
          <w:p w14:paraId="68EACF34" w14:textId="77777777" w:rsidR="00175AA2" w:rsidRPr="001E5747" w:rsidRDefault="00175AA2" w:rsidP="00A0644E">
            <w:pPr>
              <w:rPr>
                <w:rFonts w:ascii="Calibri" w:hAnsi="Calibri" w:cs="Calibri"/>
                <w:b/>
                <w:bCs/>
                <w:color w:val="FFFFFF"/>
                <w:sz w:val="16"/>
                <w:szCs w:val="16"/>
                <w:lang w:val="en-GB"/>
              </w:rPr>
            </w:pPr>
          </w:p>
        </w:tc>
        <w:tc>
          <w:tcPr>
            <w:tcW w:w="574" w:type="dxa"/>
            <w:tcBorders>
              <w:top w:val="nil"/>
              <w:left w:val="nil"/>
              <w:bottom w:val="single" w:sz="8" w:space="0" w:color="auto"/>
              <w:right w:val="single" w:sz="4" w:space="0" w:color="auto"/>
            </w:tcBorders>
            <w:shd w:val="clear" w:color="000000" w:fill="8EA9DB"/>
            <w:vAlign w:val="center"/>
            <w:hideMark/>
          </w:tcPr>
          <w:p w14:paraId="131BE359" w14:textId="77777777"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8</w:t>
            </w:r>
          </w:p>
        </w:tc>
        <w:tc>
          <w:tcPr>
            <w:tcW w:w="1004" w:type="dxa"/>
            <w:tcBorders>
              <w:top w:val="nil"/>
              <w:left w:val="nil"/>
              <w:bottom w:val="single" w:sz="8" w:space="0" w:color="auto"/>
              <w:right w:val="single" w:sz="4" w:space="0" w:color="auto"/>
            </w:tcBorders>
            <w:shd w:val="clear" w:color="000000" w:fill="8EA9DB"/>
            <w:vAlign w:val="center"/>
            <w:hideMark/>
          </w:tcPr>
          <w:p w14:paraId="2FED7E90" w14:textId="77777777"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0</w:t>
            </w:r>
          </w:p>
        </w:tc>
        <w:tc>
          <w:tcPr>
            <w:tcW w:w="1562" w:type="dxa"/>
            <w:tcBorders>
              <w:top w:val="nil"/>
              <w:left w:val="nil"/>
              <w:bottom w:val="single" w:sz="8" w:space="0" w:color="auto"/>
              <w:right w:val="single" w:sz="4" w:space="0" w:color="auto"/>
            </w:tcBorders>
            <w:shd w:val="clear" w:color="000000" w:fill="8EA9DB"/>
            <w:vAlign w:val="center"/>
            <w:hideMark/>
          </w:tcPr>
          <w:p w14:paraId="451D1AC0" w14:textId="77777777" w:rsidR="00175AA2" w:rsidRPr="001E5747" w:rsidRDefault="00175AA2" w:rsidP="00A0644E">
            <w:pPr>
              <w:jc w:val="center"/>
              <w:rPr>
                <w:rFonts w:ascii="Calibri" w:hAnsi="Calibri" w:cs="Calibri"/>
                <w:b/>
                <w:bCs/>
                <w:color w:val="FFFFFF"/>
                <w:sz w:val="16"/>
                <w:szCs w:val="16"/>
                <w:lang w:val="en-GB"/>
              </w:rPr>
            </w:pPr>
          </w:p>
        </w:tc>
        <w:tc>
          <w:tcPr>
            <w:tcW w:w="1085" w:type="dxa"/>
            <w:tcBorders>
              <w:top w:val="nil"/>
              <w:left w:val="nil"/>
              <w:bottom w:val="single" w:sz="8" w:space="0" w:color="auto"/>
              <w:right w:val="single" w:sz="8" w:space="0" w:color="auto"/>
            </w:tcBorders>
            <w:shd w:val="clear" w:color="000000" w:fill="8EA9DB"/>
            <w:vAlign w:val="center"/>
            <w:hideMark/>
          </w:tcPr>
          <w:p w14:paraId="089819AF" w14:textId="77777777" w:rsidR="00175AA2" w:rsidRPr="001E5747" w:rsidRDefault="00175AA2" w:rsidP="00A0644E">
            <w:pPr>
              <w:jc w:val="center"/>
              <w:rPr>
                <w:rFonts w:ascii="Calibri" w:hAnsi="Calibri" w:cs="Calibri"/>
                <w:b/>
                <w:bCs/>
                <w:color w:val="FFFFFF"/>
                <w:sz w:val="16"/>
                <w:szCs w:val="16"/>
                <w:lang w:val="en-GB"/>
              </w:rPr>
            </w:pPr>
          </w:p>
        </w:tc>
      </w:tr>
      <w:tr w:rsidR="00175AA2" w:rsidRPr="001E5747" w14:paraId="5020775D" w14:textId="77777777" w:rsidTr="00A0644E">
        <w:trPr>
          <w:trHeight w:val="1200"/>
        </w:trPr>
        <w:tc>
          <w:tcPr>
            <w:tcW w:w="648" w:type="dxa"/>
            <w:tcBorders>
              <w:top w:val="single" w:sz="8" w:space="0" w:color="auto"/>
              <w:left w:val="single" w:sz="8" w:space="0" w:color="auto"/>
              <w:bottom w:val="single" w:sz="8" w:space="0" w:color="000000"/>
              <w:right w:val="single" w:sz="8" w:space="0" w:color="auto"/>
            </w:tcBorders>
            <w:shd w:val="clear" w:color="auto" w:fill="95B3D7" w:themeFill="accent1" w:themeFillTint="99"/>
            <w:noWrap/>
            <w:vAlign w:val="center"/>
            <w:hideMark/>
          </w:tcPr>
          <w:p w14:paraId="7294839F" w14:textId="77777777" w:rsidR="00175AA2" w:rsidRPr="001E5747" w:rsidRDefault="00175AA2" w:rsidP="00A0644E">
            <w:pPr>
              <w:jc w:val="center"/>
              <w:rPr>
                <w:rFonts w:ascii="Calibri" w:hAnsi="Calibri" w:cs="Calibri"/>
                <w:b/>
                <w:bCs/>
                <w:color w:val="000000"/>
                <w:sz w:val="16"/>
                <w:szCs w:val="16"/>
                <w:lang w:val="en-GB"/>
              </w:rPr>
            </w:pPr>
            <w:r w:rsidRPr="001E5747">
              <w:rPr>
                <w:rFonts w:ascii="Calibri" w:hAnsi="Calibri" w:cs="Calibri"/>
                <w:b/>
                <w:bCs/>
                <w:color w:val="000000"/>
                <w:sz w:val="16"/>
                <w:szCs w:val="16"/>
                <w:lang w:val="en-GB"/>
              </w:rPr>
              <w:t>29</w:t>
            </w:r>
          </w:p>
        </w:tc>
        <w:tc>
          <w:tcPr>
            <w:tcW w:w="3089" w:type="dxa"/>
            <w:tcBorders>
              <w:top w:val="nil"/>
              <w:left w:val="nil"/>
              <w:bottom w:val="single" w:sz="4" w:space="0" w:color="000000"/>
              <w:right w:val="single" w:sz="4" w:space="0" w:color="000000"/>
            </w:tcBorders>
            <w:shd w:val="clear" w:color="auto" w:fill="auto"/>
            <w:vAlign w:val="center"/>
            <w:hideMark/>
          </w:tcPr>
          <w:p w14:paraId="468A6173" w14:textId="77777777" w:rsidR="00175AA2" w:rsidRPr="001E5747" w:rsidRDefault="00CC4DF7" w:rsidP="00A0644E">
            <w:pPr>
              <w:rPr>
                <w:rFonts w:ascii="Calibri" w:hAnsi="Calibri" w:cs="Calibri"/>
                <w:color w:val="000000"/>
                <w:sz w:val="16"/>
                <w:szCs w:val="16"/>
                <w:lang w:val="en-GB"/>
              </w:rPr>
            </w:pPr>
            <w:r w:rsidRPr="001E5747">
              <w:rPr>
                <w:rFonts w:ascii="Calibri" w:hAnsi="Calibri" w:cs="Calibri"/>
                <w:color w:val="000000"/>
                <w:sz w:val="16"/>
                <w:szCs w:val="16"/>
                <w:lang w:val="en-GB"/>
              </w:rPr>
              <w:t>Primary Health Care space in m2 per 10,000 inhabitants</w:t>
            </w:r>
          </w:p>
        </w:tc>
        <w:tc>
          <w:tcPr>
            <w:tcW w:w="2546" w:type="dxa"/>
            <w:tcBorders>
              <w:top w:val="nil"/>
              <w:left w:val="nil"/>
              <w:bottom w:val="single" w:sz="4" w:space="0" w:color="000000"/>
              <w:right w:val="single" w:sz="4" w:space="0" w:color="000000"/>
            </w:tcBorders>
            <w:shd w:val="clear" w:color="auto" w:fill="auto"/>
            <w:vAlign w:val="center"/>
            <w:hideMark/>
          </w:tcPr>
          <w:p w14:paraId="45C947D4"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xml:space="preserve">• 0 points if the result in MPMS is up to 49.99%, </w:t>
            </w:r>
          </w:p>
          <w:p w14:paraId="55D55BB1"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xml:space="preserve">• 1 point if the result in MPMS is 50% - 89.99%, </w:t>
            </w:r>
          </w:p>
          <w:p w14:paraId="752B80AC"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3 points if the result in MPMS is equal to or higher than 90%.</w:t>
            </w:r>
          </w:p>
        </w:tc>
        <w:tc>
          <w:tcPr>
            <w:tcW w:w="658" w:type="dxa"/>
            <w:tcBorders>
              <w:top w:val="nil"/>
              <w:left w:val="single" w:sz="4" w:space="0" w:color="000000"/>
              <w:bottom w:val="single" w:sz="8" w:space="0" w:color="000000"/>
              <w:right w:val="single" w:sz="4" w:space="0" w:color="000000"/>
            </w:tcBorders>
            <w:shd w:val="clear" w:color="auto" w:fill="auto"/>
            <w:vAlign w:val="center"/>
            <w:hideMark/>
          </w:tcPr>
          <w:p w14:paraId="20F42B7D" w14:textId="77777777" w:rsidR="00175AA2" w:rsidRPr="001E5747" w:rsidRDefault="00175AA2" w:rsidP="00A0644E">
            <w:pPr>
              <w:jc w:val="center"/>
              <w:rPr>
                <w:rFonts w:ascii="Calibri" w:hAnsi="Calibri" w:cs="Calibri"/>
                <w:color w:val="000000"/>
                <w:sz w:val="16"/>
                <w:szCs w:val="16"/>
                <w:lang w:val="en-GB"/>
              </w:rPr>
            </w:pPr>
          </w:p>
        </w:tc>
        <w:tc>
          <w:tcPr>
            <w:tcW w:w="574" w:type="dxa"/>
            <w:tcBorders>
              <w:top w:val="nil"/>
              <w:left w:val="single" w:sz="4" w:space="0" w:color="000000"/>
              <w:bottom w:val="single" w:sz="8" w:space="0" w:color="000000"/>
              <w:right w:val="single" w:sz="4" w:space="0" w:color="000000"/>
            </w:tcBorders>
            <w:shd w:val="clear" w:color="auto" w:fill="auto"/>
            <w:noWrap/>
            <w:vAlign w:val="center"/>
            <w:hideMark/>
          </w:tcPr>
          <w:p w14:paraId="52352E8E"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3</w:t>
            </w:r>
          </w:p>
        </w:tc>
        <w:tc>
          <w:tcPr>
            <w:tcW w:w="1004" w:type="dxa"/>
            <w:tcBorders>
              <w:top w:val="nil"/>
              <w:left w:val="single" w:sz="4" w:space="0" w:color="000000"/>
              <w:bottom w:val="single" w:sz="8" w:space="0" w:color="000000"/>
              <w:right w:val="single" w:sz="4" w:space="0" w:color="000000"/>
            </w:tcBorders>
            <w:shd w:val="clear" w:color="auto" w:fill="auto"/>
            <w:noWrap/>
            <w:vAlign w:val="center"/>
            <w:hideMark/>
          </w:tcPr>
          <w:p w14:paraId="5D47D6C0"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w:t>
            </w:r>
          </w:p>
        </w:tc>
        <w:tc>
          <w:tcPr>
            <w:tcW w:w="1562" w:type="dxa"/>
            <w:tcBorders>
              <w:top w:val="nil"/>
              <w:left w:val="nil"/>
              <w:bottom w:val="single" w:sz="4" w:space="0" w:color="000000"/>
              <w:right w:val="single" w:sz="4" w:space="0" w:color="000000"/>
            </w:tcBorders>
            <w:shd w:val="clear" w:color="auto" w:fill="auto"/>
            <w:vAlign w:val="center"/>
            <w:hideMark/>
          </w:tcPr>
          <w:p w14:paraId="2806636F"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MPMS report,</w:t>
            </w:r>
          </w:p>
          <w:p w14:paraId="18217171"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Indicator 18.1.1</w:t>
            </w:r>
          </w:p>
        </w:tc>
        <w:tc>
          <w:tcPr>
            <w:tcW w:w="1085" w:type="dxa"/>
            <w:tcBorders>
              <w:top w:val="nil"/>
              <w:left w:val="nil"/>
              <w:bottom w:val="single" w:sz="4" w:space="0" w:color="000000"/>
              <w:right w:val="single" w:sz="8" w:space="0" w:color="auto"/>
            </w:tcBorders>
            <w:shd w:val="clear" w:color="auto" w:fill="auto"/>
            <w:vAlign w:val="bottom"/>
            <w:hideMark/>
          </w:tcPr>
          <w:p w14:paraId="5609C6E7" w14:textId="77777777" w:rsidR="00175AA2" w:rsidRPr="001E5747" w:rsidRDefault="00175AA2" w:rsidP="00A0644E">
            <w:pPr>
              <w:rPr>
                <w:rFonts w:ascii="Calibri" w:hAnsi="Calibri" w:cs="Calibri"/>
                <w:color w:val="000000"/>
                <w:sz w:val="16"/>
                <w:szCs w:val="16"/>
                <w:lang w:val="en-GB"/>
              </w:rPr>
            </w:pPr>
          </w:p>
        </w:tc>
      </w:tr>
      <w:tr w:rsidR="00175AA2" w:rsidRPr="001E5747" w14:paraId="27D4F46C" w14:textId="77777777" w:rsidTr="00A0644E">
        <w:trPr>
          <w:trHeight w:val="1500"/>
        </w:trPr>
        <w:tc>
          <w:tcPr>
            <w:tcW w:w="648" w:type="dxa"/>
            <w:tcBorders>
              <w:top w:val="nil"/>
              <w:left w:val="single" w:sz="8" w:space="0" w:color="auto"/>
              <w:bottom w:val="single" w:sz="8" w:space="0" w:color="000000"/>
              <w:right w:val="single" w:sz="8" w:space="0" w:color="auto"/>
            </w:tcBorders>
            <w:shd w:val="clear" w:color="000000" w:fill="8EA9DB"/>
            <w:noWrap/>
            <w:vAlign w:val="center"/>
            <w:hideMark/>
          </w:tcPr>
          <w:p w14:paraId="089016C3" w14:textId="77777777" w:rsidR="00175AA2" w:rsidRPr="001E5747" w:rsidRDefault="00175AA2" w:rsidP="00A0644E">
            <w:pPr>
              <w:jc w:val="center"/>
              <w:rPr>
                <w:rFonts w:ascii="Calibri" w:hAnsi="Calibri" w:cs="Calibri"/>
                <w:b/>
                <w:bCs/>
                <w:color w:val="000000"/>
                <w:sz w:val="16"/>
                <w:szCs w:val="16"/>
                <w:lang w:val="en-GB"/>
              </w:rPr>
            </w:pPr>
            <w:r w:rsidRPr="001E5747">
              <w:rPr>
                <w:rFonts w:ascii="Calibri" w:hAnsi="Calibri" w:cs="Calibri"/>
                <w:b/>
                <w:bCs/>
                <w:color w:val="000000"/>
                <w:sz w:val="16"/>
                <w:szCs w:val="16"/>
                <w:lang w:val="en-GB"/>
              </w:rPr>
              <w:t>30</w:t>
            </w:r>
          </w:p>
        </w:tc>
        <w:tc>
          <w:tcPr>
            <w:tcW w:w="3089" w:type="dxa"/>
            <w:tcBorders>
              <w:top w:val="nil"/>
              <w:left w:val="nil"/>
              <w:bottom w:val="single" w:sz="4" w:space="0" w:color="000000"/>
              <w:right w:val="single" w:sz="4" w:space="0" w:color="000000"/>
            </w:tcBorders>
            <w:shd w:val="clear" w:color="auto" w:fill="auto"/>
            <w:vAlign w:val="center"/>
            <w:hideMark/>
          </w:tcPr>
          <w:p w14:paraId="1AC5E081"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br/>
            </w:r>
            <w:r w:rsidR="00CC4DF7" w:rsidRPr="001E5747">
              <w:rPr>
                <w:rFonts w:ascii="Calibri" w:hAnsi="Calibri" w:cs="Calibri"/>
                <w:bCs/>
                <w:color w:val="000000"/>
                <w:sz w:val="16"/>
                <w:szCs w:val="16"/>
                <w:lang w:val="en-GB"/>
              </w:rPr>
              <w:t>Report fulfilment level, 1 family physician and 2 nurses per 2,000 inhabitants</w:t>
            </w:r>
          </w:p>
        </w:tc>
        <w:tc>
          <w:tcPr>
            <w:tcW w:w="2546" w:type="dxa"/>
            <w:tcBorders>
              <w:top w:val="nil"/>
              <w:left w:val="nil"/>
              <w:bottom w:val="single" w:sz="4" w:space="0" w:color="000000"/>
              <w:right w:val="single" w:sz="4" w:space="0" w:color="000000"/>
            </w:tcBorders>
            <w:shd w:val="clear" w:color="auto" w:fill="auto"/>
            <w:vAlign w:val="center"/>
            <w:hideMark/>
          </w:tcPr>
          <w:p w14:paraId="3442680A"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xml:space="preserve">• 0 points if the result in MPMS is up to 29.99%, </w:t>
            </w:r>
          </w:p>
          <w:p w14:paraId="729E23CB"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xml:space="preserve">• 1 point if the result in MPMS is 30% - 59.99%, </w:t>
            </w:r>
          </w:p>
          <w:p w14:paraId="37D00C9F"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xml:space="preserve">• 3 points if the result in MPMS is 60% - 89.99% </w:t>
            </w:r>
          </w:p>
          <w:p w14:paraId="4380FC90"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5 points if the result in MPMS is equal or higher than 90%.</w:t>
            </w:r>
          </w:p>
        </w:tc>
        <w:tc>
          <w:tcPr>
            <w:tcW w:w="658" w:type="dxa"/>
            <w:tcBorders>
              <w:top w:val="nil"/>
              <w:left w:val="single" w:sz="4" w:space="0" w:color="000000"/>
              <w:bottom w:val="single" w:sz="8" w:space="0" w:color="000000"/>
              <w:right w:val="single" w:sz="4" w:space="0" w:color="000000"/>
            </w:tcBorders>
            <w:shd w:val="clear" w:color="auto" w:fill="auto"/>
            <w:vAlign w:val="center"/>
            <w:hideMark/>
          </w:tcPr>
          <w:p w14:paraId="4666011F" w14:textId="77777777" w:rsidR="00175AA2" w:rsidRPr="001E5747" w:rsidRDefault="00175AA2" w:rsidP="00A0644E">
            <w:pPr>
              <w:jc w:val="center"/>
              <w:rPr>
                <w:rFonts w:ascii="Calibri" w:hAnsi="Calibri" w:cs="Calibri"/>
                <w:color w:val="000000"/>
                <w:sz w:val="16"/>
                <w:szCs w:val="16"/>
                <w:lang w:val="en-GB"/>
              </w:rPr>
            </w:pPr>
          </w:p>
        </w:tc>
        <w:tc>
          <w:tcPr>
            <w:tcW w:w="574" w:type="dxa"/>
            <w:tcBorders>
              <w:top w:val="nil"/>
              <w:left w:val="single" w:sz="4" w:space="0" w:color="000000"/>
              <w:bottom w:val="single" w:sz="8" w:space="0" w:color="000000"/>
              <w:right w:val="single" w:sz="4" w:space="0" w:color="000000"/>
            </w:tcBorders>
            <w:shd w:val="clear" w:color="auto" w:fill="auto"/>
            <w:noWrap/>
            <w:vAlign w:val="center"/>
            <w:hideMark/>
          </w:tcPr>
          <w:p w14:paraId="5245CFD0"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5</w:t>
            </w:r>
          </w:p>
        </w:tc>
        <w:tc>
          <w:tcPr>
            <w:tcW w:w="1004" w:type="dxa"/>
            <w:tcBorders>
              <w:top w:val="nil"/>
              <w:left w:val="single" w:sz="4" w:space="0" w:color="000000"/>
              <w:bottom w:val="single" w:sz="8" w:space="0" w:color="000000"/>
              <w:right w:val="single" w:sz="4" w:space="0" w:color="000000"/>
            </w:tcBorders>
            <w:shd w:val="clear" w:color="auto" w:fill="auto"/>
            <w:noWrap/>
            <w:vAlign w:val="center"/>
            <w:hideMark/>
          </w:tcPr>
          <w:p w14:paraId="5B423853"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w:t>
            </w:r>
          </w:p>
        </w:tc>
        <w:tc>
          <w:tcPr>
            <w:tcW w:w="1562" w:type="dxa"/>
            <w:tcBorders>
              <w:top w:val="nil"/>
              <w:left w:val="nil"/>
              <w:bottom w:val="single" w:sz="4" w:space="0" w:color="000000"/>
              <w:right w:val="single" w:sz="4" w:space="0" w:color="000000"/>
            </w:tcBorders>
            <w:shd w:val="clear" w:color="auto" w:fill="auto"/>
            <w:vAlign w:val="center"/>
            <w:hideMark/>
          </w:tcPr>
          <w:p w14:paraId="1677B939"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MPMS report,</w:t>
            </w:r>
          </w:p>
          <w:p w14:paraId="0A0976DC"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Indicator 18.2.1</w:t>
            </w:r>
          </w:p>
        </w:tc>
        <w:tc>
          <w:tcPr>
            <w:tcW w:w="1085" w:type="dxa"/>
            <w:tcBorders>
              <w:top w:val="nil"/>
              <w:left w:val="nil"/>
              <w:bottom w:val="single" w:sz="4" w:space="0" w:color="000000"/>
              <w:right w:val="single" w:sz="8" w:space="0" w:color="auto"/>
            </w:tcBorders>
            <w:shd w:val="clear" w:color="auto" w:fill="auto"/>
            <w:vAlign w:val="bottom"/>
            <w:hideMark/>
          </w:tcPr>
          <w:p w14:paraId="28217D69" w14:textId="77777777" w:rsidR="00175AA2" w:rsidRPr="001E5747" w:rsidRDefault="00175AA2" w:rsidP="00A0644E">
            <w:pPr>
              <w:rPr>
                <w:rFonts w:ascii="Calibri" w:hAnsi="Calibri" w:cs="Calibri"/>
                <w:color w:val="000000"/>
                <w:sz w:val="16"/>
                <w:szCs w:val="16"/>
                <w:lang w:val="en-GB"/>
              </w:rPr>
            </w:pPr>
          </w:p>
        </w:tc>
      </w:tr>
      <w:tr w:rsidR="00175AA2" w:rsidRPr="001E5747" w14:paraId="5B769DEB" w14:textId="77777777" w:rsidTr="00A0644E">
        <w:trPr>
          <w:trHeight w:val="358"/>
        </w:trPr>
        <w:tc>
          <w:tcPr>
            <w:tcW w:w="6283" w:type="dxa"/>
            <w:gridSpan w:val="3"/>
            <w:tcBorders>
              <w:top w:val="single" w:sz="8" w:space="0" w:color="auto"/>
              <w:left w:val="single" w:sz="8" w:space="0" w:color="auto"/>
              <w:bottom w:val="single" w:sz="8" w:space="0" w:color="auto"/>
              <w:right w:val="single" w:sz="4" w:space="0" w:color="000000"/>
            </w:tcBorders>
            <w:shd w:val="clear" w:color="000000" w:fill="203764"/>
            <w:vAlign w:val="center"/>
            <w:hideMark/>
          </w:tcPr>
          <w:p w14:paraId="2FB18D74" w14:textId="77777777" w:rsidR="00175AA2" w:rsidRPr="001E5747" w:rsidRDefault="00175AA2" w:rsidP="00A0644E">
            <w:pPr>
              <w:jc w:val="right"/>
              <w:rPr>
                <w:rFonts w:ascii="Calibri" w:hAnsi="Calibri" w:cs="Calibri"/>
                <w:b/>
                <w:bCs/>
                <w:color w:val="FFFFFF"/>
                <w:sz w:val="16"/>
                <w:szCs w:val="16"/>
                <w:lang w:val="en-GB"/>
              </w:rPr>
            </w:pPr>
            <w:r w:rsidRPr="001E5747">
              <w:rPr>
                <w:rFonts w:ascii="Calibri" w:hAnsi="Calibri" w:cs="Calibri"/>
                <w:b/>
                <w:bCs/>
                <w:color w:val="FFFFFF"/>
                <w:sz w:val="16"/>
                <w:szCs w:val="16"/>
                <w:lang w:val="en-GB"/>
              </w:rPr>
              <w:t>Final result</w:t>
            </w:r>
          </w:p>
        </w:tc>
        <w:tc>
          <w:tcPr>
            <w:tcW w:w="658" w:type="dxa"/>
            <w:tcBorders>
              <w:top w:val="nil"/>
              <w:left w:val="nil"/>
              <w:bottom w:val="single" w:sz="8" w:space="0" w:color="auto"/>
              <w:right w:val="single" w:sz="4" w:space="0" w:color="000000"/>
            </w:tcBorders>
            <w:shd w:val="clear" w:color="000000" w:fill="203764"/>
            <w:vAlign w:val="center"/>
            <w:hideMark/>
          </w:tcPr>
          <w:p w14:paraId="498C7A26" w14:textId="77777777" w:rsidR="00175AA2" w:rsidRPr="001E5747" w:rsidRDefault="00175AA2" w:rsidP="00A0644E">
            <w:pPr>
              <w:jc w:val="right"/>
              <w:rPr>
                <w:rFonts w:ascii="Calibri" w:hAnsi="Calibri" w:cs="Calibri"/>
                <w:b/>
                <w:bCs/>
                <w:color w:val="FFFFFF"/>
                <w:sz w:val="16"/>
                <w:szCs w:val="16"/>
                <w:lang w:val="en-GB"/>
              </w:rPr>
            </w:pPr>
          </w:p>
        </w:tc>
        <w:tc>
          <w:tcPr>
            <w:tcW w:w="574" w:type="dxa"/>
            <w:tcBorders>
              <w:top w:val="nil"/>
              <w:left w:val="nil"/>
              <w:bottom w:val="single" w:sz="8" w:space="0" w:color="auto"/>
              <w:right w:val="single" w:sz="4" w:space="0" w:color="000000"/>
            </w:tcBorders>
            <w:shd w:val="clear" w:color="000000" w:fill="203764"/>
            <w:vAlign w:val="center"/>
            <w:hideMark/>
          </w:tcPr>
          <w:p w14:paraId="2D36E9EF" w14:textId="77777777" w:rsidR="00175AA2" w:rsidRPr="001E5747" w:rsidRDefault="00175AA2" w:rsidP="00AA1660">
            <w:pPr>
              <w:jc w:val="right"/>
              <w:rPr>
                <w:rFonts w:ascii="Calibri" w:hAnsi="Calibri" w:cs="Calibri"/>
                <w:b/>
                <w:bCs/>
                <w:color w:val="FFFFFF"/>
                <w:sz w:val="16"/>
                <w:szCs w:val="16"/>
                <w:lang w:val="en-GB"/>
              </w:rPr>
            </w:pPr>
            <w:r w:rsidRPr="001E5747">
              <w:rPr>
                <w:rFonts w:ascii="Calibri" w:hAnsi="Calibri" w:cs="Calibri"/>
                <w:b/>
                <w:bCs/>
                <w:color w:val="FFFFFF"/>
                <w:sz w:val="16"/>
                <w:szCs w:val="16"/>
                <w:lang w:val="en-GB"/>
              </w:rPr>
              <w:t>9</w:t>
            </w:r>
            <w:r w:rsidR="00AA1660">
              <w:rPr>
                <w:rFonts w:ascii="Calibri" w:hAnsi="Calibri" w:cs="Calibri"/>
                <w:b/>
                <w:bCs/>
                <w:color w:val="FFFFFF"/>
                <w:sz w:val="16"/>
                <w:szCs w:val="16"/>
                <w:lang w:val="en-GB"/>
              </w:rPr>
              <w:t>2</w:t>
            </w:r>
          </w:p>
        </w:tc>
        <w:tc>
          <w:tcPr>
            <w:tcW w:w="1004" w:type="dxa"/>
            <w:tcBorders>
              <w:top w:val="nil"/>
              <w:left w:val="nil"/>
              <w:bottom w:val="single" w:sz="8" w:space="0" w:color="auto"/>
              <w:right w:val="single" w:sz="4" w:space="0" w:color="000000"/>
            </w:tcBorders>
            <w:shd w:val="clear" w:color="000000" w:fill="203764"/>
            <w:noWrap/>
            <w:vAlign w:val="center"/>
            <w:hideMark/>
          </w:tcPr>
          <w:p w14:paraId="2EB93F68" w14:textId="77777777"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0</w:t>
            </w:r>
          </w:p>
        </w:tc>
        <w:tc>
          <w:tcPr>
            <w:tcW w:w="1562" w:type="dxa"/>
            <w:tcBorders>
              <w:top w:val="nil"/>
              <w:left w:val="nil"/>
              <w:bottom w:val="single" w:sz="8" w:space="0" w:color="auto"/>
              <w:right w:val="single" w:sz="4" w:space="0" w:color="000000"/>
            </w:tcBorders>
            <w:shd w:val="clear" w:color="000000" w:fill="203764"/>
            <w:noWrap/>
            <w:vAlign w:val="center"/>
            <w:hideMark/>
          </w:tcPr>
          <w:p w14:paraId="13C23A7F" w14:textId="77777777" w:rsidR="00175AA2" w:rsidRPr="001E5747" w:rsidRDefault="00175AA2" w:rsidP="00A0644E">
            <w:pPr>
              <w:jc w:val="center"/>
              <w:rPr>
                <w:rFonts w:ascii="Calibri" w:hAnsi="Calibri" w:cs="Calibri"/>
                <w:b/>
                <w:bCs/>
                <w:color w:val="FFFFFF"/>
                <w:sz w:val="16"/>
                <w:szCs w:val="16"/>
                <w:lang w:val="en-GB"/>
              </w:rPr>
            </w:pPr>
          </w:p>
        </w:tc>
        <w:tc>
          <w:tcPr>
            <w:tcW w:w="1085" w:type="dxa"/>
            <w:tcBorders>
              <w:top w:val="nil"/>
              <w:left w:val="nil"/>
              <w:bottom w:val="single" w:sz="8" w:space="0" w:color="auto"/>
              <w:right w:val="single" w:sz="8" w:space="0" w:color="auto"/>
            </w:tcBorders>
            <w:shd w:val="clear" w:color="000000" w:fill="203764"/>
            <w:noWrap/>
            <w:vAlign w:val="center"/>
            <w:hideMark/>
          </w:tcPr>
          <w:p w14:paraId="1D4AD914" w14:textId="77777777" w:rsidR="00175AA2" w:rsidRPr="001E5747" w:rsidRDefault="00175AA2" w:rsidP="00A0644E">
            <w:pPr>
              <w:jc w:val="right"/>
              <w:rPr>
                <w:rFonts w:ascii="Calibri" w:hAnsi="Calibri" w:cs="Calibri"/>
                <w:b/>
                <w:bCs/>
                <w:color w:val="FFFFFF"/>
                <w:sz w:val="16"/>
                <w:szCs w:val="16"/>
                <w:lang w:val="en-GB"/>
              </w:rPr>
            </w:pPr>
          </w:p>
        </w:tc>
      </w:tr>
    </w:tbl>
    <w:p w14:paraId="70952F6A" w14:textId="77777777" w:rsidR="00175AA2" w:rsidRPr="001E5747" w:rsidRDefault="00175AA2" w:rsidP="00175AA2">
      <w:pPr>
        <w:bidi/>
        <w:rPr>
          <w:lang w:val="en-GB"/>
        </w:rPr>
      </w:pPr>
      <w:r w:rsidRPr="001E5747">
        <w:rPr>
          <w:lang w:val="en-GB"/>
        </w:rPr>
        <w:br w:type="page"/>
      </w:r>
    </w:p>
    <w:tbl>
      <w:tblPr>
        <w:tblpPr w:leftFromText="180" w:rightFromText="180" w:vertAnchor="text" w:horzAnchor="margin" w:tblpY="-1439"/>
        <w:tblW w:w="9350" w:type="dxa"/>
        <w:tblLook w:val="04A0" w:firstRow="1" w:lastRow="0" w:firstColumn="1" w:lastColumn="0" w:noHBand="0" w:noVBand="1"/>
      </w:tblPr>
      <w:tblGrid>
        <w:gridCol w:w="266"/>
        <w:gridCol w:w="5830"/>
        <w:gridCol w:w="267"/>
        <w:gridCol w:w="267"/>
        <w:gridCol w:w="267"/>
        <w:gridCol w:w="2453"/>
      </w:tblGrid>
      <w:tr w:rsidR="00175AA2" w:rsidRPr="001E5747" w14:paraId="1CFC69FC" w14:textId="77777777" w:rsidTr="00B739C3">
        <w:trPr>
          <w:trHeight w:val="615"/>
        </w:trPr>
        <w:tc>
          <w:tcPr>
            <w:tcW w:w="0" w:type="auto"/>
            <w:tcBorders>
              <w:top w:val="nil"/>
              <w:left w:val="nil"/>
              <w:bottom w:val="nil"/>
              <w:right w:val="nil"/>
            </w:tcBorders>
            <w:shd w:val="clear" w:color="auto" w:fill="auto"/>
            <w:noWrap/>
            <w:vAlign w:val="bottom"/>
            <w:hideMark/>
          </w:tcPr>
          <w:p w14:paraId="2648D6B1" w14:textId="77777777" w:rsidR="00175AA2" w:rsidRPr="001E5747" w:rsidRDefault="00175AA2" w:rsidP="00175AA2">
            <w:pPr>
              <w:rPr>
                <w:sz w:val="16"/>
                <w:szCs w:val="16"/>
                <w:lang w:val="en-GB"/>
              </w:rPr>
            </w:pPr>
          </w:p>
        </w:tc>
        <w:tc>
          <w:tcPr>
            <w:tcW w:w="0" w:type="auto"/>
            <w:tcBorders>
              <w:top w:val="nil"/>
              <w:left w:val="nil"/>
              <w:bottom w:val="nil"/>
              <w:right w:val="nil"/>
            </w:tcBorders>
            <w:shd w:val="clear" w:color="auto" w:fill="auto"/>
            <w:vAlign w:val="bottom"/>
            <w:hideMark/>
          </w:tcPr>
          <w:p w14:paraId="53610E67" w14:textId="77777777" w:rsidR="00175AA2" w:rsidRPr="001E5747" w:rsidRDefault="00175AA2" w:rsidP="00BB0895">
            <w:pPr>
              <w:rPr>
                <w:rFonts w:ascii="Calibri" w:hAnsi="Calibri" w:cs="Calibri"/>
                <w:color w:val="000000"/>
                <w:sz w:val="16"/>
                <w:szCs w:val="16"/>
                <w:lang w:val="en-GB"/>
              </w:rPr>
            </w:pPr>
            <w:r w:rsidRPr="001E5747">
              <w:rPr>
                <w:rFonts w:ascii="Calibri" w:hAnsi="Calibri" w:cs="Calibri"/>
                <w:color w:val="000000"/>
                <w:sz w:val="16"/>
                <w:szCs w:val="16"/>
                <w:lang w:val="en-GB"/>
              </w:rPr>
              <w:t>** The score refers to the Albanian language version of the data source</w:t>
            </w:r>
            <w:r w:rsidRPr="001E5747">
              <w:rPr>
                <w:rFonts w:ascii="Calibri" w:hAnsi="Calibri" w:cs="Calibri"/>
                <w:color w:val="000000"/>
                <w:sz w:val="16"/>
                <w:szCs w:val="16"/>
                <w:lang w:val="en-GB"/>
              </w:rPr>
              <w:br/>
            </w:r>
          </w:p>
        </w:tc>
        <w:tc>
          <w:tcPr>
            <w:tcW w:w="0" w:type="auto"/>
            <w:tcBorders>
              <w:top w:val="nil"/>
              <w:left w:val="nil"/>
              <w:bottom w:val="nil"/>
              <w:right w:val="nil"/>
            </w:tcBorders>
            <w:shd w:val="clear" w:color="auto" w:fill="auto"/>
            <w:vAlign w:val="bottom"/>
            <w:hideMark/>
          </w:tcPr>
          <w:p w14:paraId="4D7277E8" w14:textId="77777777" w:rsidR="00175AA2" w:rsidRPr="001E5747" w:rsidRDefault="00175AA2" w:rsidP="00175AA2">
            <w:pPr>
              <w:rPr>
                <w:rFonts w:ascii="Calibri" w:hAnsi="Calibri" w:cs="Calibri"/>
                <w:color w:val="000000"/>
                <w:sz w:val="16"/>
                <w:szCs w:val="16"/>
                <w:lang w:val="en-GB"/>
              </w:rPr>
            </w:pPr>
          </w:p>
        </w:tc>
        <w:tc>
          <w:tcPr>
            <w:tcW w:w="0" w:type="auto"/>
            <w:tcBorders>
              <w:top w:val="nil"/>
              <w:left w:val="nil"/>
              <w:bottom w:val="nil"/>
              <w:right w:val="nil"/>
            </w:tcBorders>
            <w:shd w:val="clear" w:color="auto" w:fill="auto"/>
            <w:noWrap/>
            <w:vAlign w:val="bottom"/>
            <w:hideMark/>
          </w:tcPr>
          <w:p w14:paraId="3B6EEE1A" w14:textId="77777777" w:rsidR="00175AA2" w:rsidRPr="001E5747" w:rsidRDefault="00175AA2" w:rsidP="00175AA2">
            <w:pPr>
              <w:rPr>
                <w:sz w:val="16"/>
                <w:szCs w:val="16"/>
                <w:lang w:val="en-GB"/>
              </w:rPr>
            </w:pPr>
          </w:p>
        </w:tc>
        <w:tc>
          <w:tcPr>
            <w:tcW w:w="0" w:type="auto"/>
            <w:tcBorders>
              <w:top w:val="nil"/>
              <w:left w:val="nil"/>
              <w:bottom w:val="nil"/>
              <w:right w:val="nil"/>
            </w:tcBorders>
            <w:shd w:val="clear" w:color="auto" w:fill="auto"/>
            <w:noWrap/>
            <w:vAlign w:val="bottom"/>
            <w:hideMark/>
          </w:tcPr>
          <w:p w14:paraId="29B127B9" w14:textId="77777777" w:rsidR="00175AA2" w:rsidRPr="001E5747" w:rsidRDefault="00175AA2" w:rsidP="00175AA2">
            <w:pPr>
              <w:rPr>
                <w:sz w:val="16"/>
                <w:szCs w:val="16"/>
                <w:lang w:val="en-GB"/>
              </w:rPr>
            </w:pPr>
          </w:p>
        </w:tc>
        <w:tc>
          <w:tcPr>
            <w:tcW w:w="2453" w:type="dxa"/>
            <w:tcBorders>
              <w:top w:val="nil"/>
              <w:left w:val="nil"/>
              <w:bottom w:val="nil"/>
              <w:right w:val="nil"/>
            </w:tcBorders>
            <w:shd w:val="clear" w:color="auto" w:fill="auto"/>
            <w:noWrap/>
            <w:vAlign w:val="bottom"/>
            <w:hideMark/>
          </w:tcPr>
          <w:p w14:paraId="0C4DBA9A" w14:textId="77777777" w:rsidR="00175AA2" w:rsidRPr="001E5747" w:rsidRDefault="00175AA2" w:rsidP="00175AA2">
            <w:pPr>
              <w:rPr>
                <w:sz w:val="16"/>
                <w:szCs w:val="16"/>
                <w:lang w:val="en-GB"/>
              </w:rPr>
            </w:pPr>
          </w:p>
        </w:tc>
      </w:tr>
    </w:tbl>
    <w:p w14:paraId="1A7A9954" w14:textId="77777777" w:rsidR="00175AA2" w:rsidRPr="001E5747" w:rsidRDefault="00175AA2" w:rsidP="00175AA2">
      <w:pPr>
        <w:pStyle w:val="Heading1"/>
        <w:shd w:val="clear" w:color="auto" w:fill="D55635"/>
        <w:tabs>
          <w:tab w:val="left" w:pos="540"/>
        </w:tabs>
        <w:spacing w:after="240"/>
        <w:rPr>
          <w:rFonts w:asciiTheme="majorHAnsi" w:hAnsiTheme="majorHAnsi"/>
          <w:b w:val="0"/>
          <w:color w:val="FFFFFF" w:themeColor="background1"/>
          <w:sz w:val="32"/>
          <w:szCs w:val="32"/>
          <w:lang w:val="en-GB"/>
        </w:rPr>
      </w:pPr>
      <w:bookmarkStart w:id="68" w:name="_Toc31029017"/>
      <w:bookmarkStart w:id="69" w:name="_Toc31194815"/>
      <w:bookmarkStart w:id="70" w:name="_Toc61062545"/>
      <w:r w:rsidRPr="001E5747">
        <w:rPr>
          <w:rFonts w:asciiTheme="majorHAnsi" w:hAnsiTheme="majorHAnsi"/>
          <w:color w:val="FFFFFF" w:themeColor="background1"/>
          <w:sz w:val="32"/>
          <w:szCs w:val="32"/>
          <w:lang w:val="en-GB"/>
        </w:rPr>
        <w:t xml:space="preserve">Annex 4: Template for calculation of allocated grant amounts </w:t>
      </w:r>
      <w:bookmarkEnd w:id="68"/>
      <w:bookmarkEnd w:id="69"/>
      <w:bookmarkEnd w:id="70"/>
    </w:p>
    <w:p w14:paraId="6C58E881" w14:textId="77777777" w:rsidR="00175AA2" w:rsidRPr="001E5747" w:rsidRDefault="00175AA2" w:rsidP="00175AA2">
      <w:pPr>
        <w:spacing w:before="60" w:line="264" w:lineRule="auto"/>
        <w:ind w:left="284"/>
        <w:jc w:val="both"/>
        <w:rPr>
          <w:rFonts w:asciiTheme="majorHAnsi" w:hAnsiTheme="majorHAnsi"/>
          <w:sz w:val="21"/>
          <w:szCs w:val="21"/>
          <w:lang w:val="en-GB"/>
        </w:rPr>
      </w:pPr>
      <w:r w:rsidRPr="001E5747">
        <w:rPr>
          <w:rFonts w:asciiTheme="majorHAnsi" w:hAnsiTheme="majorHAnsi"/>
          <w:sz w:val="21"/>
          <w:szCs w:val="21"/>
          <w:lang w:val="en-GB"/>
        </w:rPr>
        <w:t xml:space="preserve">The allocation of the Municipal Performance Grant, which is provided as an addition to the capital investment part of the general grant, is determined by the relative performance of each municipality </w:t>
      </w:r>
      <w:r w:rsidR="00586C1D" w:rsidRPr="001E5747">
        <w:rPr>
          <w:rFonts w:asciiTheme="majorHAnsi" w:hAnsiTheme="majorHAnsi"/>
          <w:sz w:val="21"/>
          <w:szCs w:val="21"/>
          <w:lang w:val="en-GB"/>
        </w:rPr>
        <w:t xml:space="preserve">as </w:t>
      </w:r>
      <w:r w:rsidRPr="001E5747">
        <w:rPr>
          <w:rFonts w:asciiTheme="majorHAnsi" w:hAnsiTheme="majorHAnsi"/>
          <w:sz w:val="21"/>
          <w:szCs w:val="21"/>
          <w:lang w:val="en-GB"/>
        </w:rPr>
        <w:t xml:space="preserve">measured against defined performance indicators. At the same time, the performance is allocated in such a way that </w:t>
      </w:r>
      <w:r w:rsidRPr="001E5747">
        <w:rPr>
          <w:rFonts w:asciiTheme="majorHAnsi" w:hAnsiTheme="majorHAnsi"/>
          <w:sz w:val="21"/>
          <w:szCs w:val="21"/>
          <w:u w:val="single"/>
          <w:lang w:val="en-GB"/>
        </w:rPr>
        <w:t xml:space="preserve">two municipalities that have the same </w:t>
      </w:r>
      <w:r w:rsidR="00A0644E" w:rsidRPr="001E5747">
        <w:rPr>
          <w:rFonts w:asciiTheme="majorHAnsi" w:hAnsiTheme="majorHAnsi"/>
          <w:sz w:val="21"/>
          <w:szCs w:val="21"/>
          <w:u w:val="single"/>
          <w:lang w:val="en-GB"/>
        </w:rPr>
        <w:t>score</w:t>
      </w:r>
      <w:r w:rsidRPr="001E5747">
        <w:rPr>
          <w:rFonts w:asciiTheme="majorHAnsi" w:hAnsiTheme="majorHAnsi"/>
          <w:sz w:val="21"/>
          <w:szCs w:val="21"/>
          <w:u w:val="single"/>
          <w:lang w:val="en-GB"/>
        </w:rPr>
        <w:t xml:space="preserve"> will get </w:t>
      </w:r>
      <w:r w:rsidR="00A0644E" w:rsidRPr="001E5747">
        <w:rPr>
          <w:rFonts w:asciiTheme="majorHAnsi" w:hAnsiTheme="majorHAnsi"/>
          <w:sz w:val="21"/>
          <w:szCs w:val="21"/>
          <w:u w:val="single"/>
          <w:lang w:val="en-GB"/>
        </w:rPr>
        <w:t>an equal</w:t>
      </w:r>
      <w:r w:rsidRPr="001E5747">
        <w:rPr>
          <w:rFonts w:asciiTheme="majorHAnsi" w:hAnsiTheme="majorHAnsi"/>
          <w:sz w:val="21"/>
          <w:szCs w:val="21"/>
          <w:u w:val="single"/>
          <w:lang w:val="en-GB"/>
        </w:rPr>
        <w:t xml:space="preserve"> relative additional grant </w:t>
      </w:r>
      <w:r w:rsidRPr="001E5747">
        <w:rPr>
          <w:rFonts w:asciiTheme="majorHAnsi" w:hAnsiTheme="majorHAnsi"/>
          <w:sz w:val="21"/>
          <w:szCs w:val="21"/>
          <w:lang w:val="en-GB"/>
        </w:rPr>
        <w:t>(meaning that with the same score, they would both get 5 or 10% more, while the absolute amounts of the additional grant will differ).</w:t>
      </w:r>
    </w:p>
    <w:p w14:paraId="29DC9786" w14:textId="77777777" w:rsidR="00175AA2" w:rsidRPr="001E5747" w:rsidRDefault="00175AA2" w:rsidP="00175AA2">
      <w:pPr>
        <w:spacing w:before="60" w:line="264" w:lineRule="auto"/>
        <w:ind w:left="284"/>
        <w:jc w:val="both"/>
        <w:rPr>
          <w:rFonts w:asciiTheme="majorHAnsi" w:hAnsiTheme="majorHAnsi"/>
          <w:sz w:val="21"/>
          <w:szCs w:val="21"/>
          <w:lang w:val="en-GB"/>
        </w:rPr>
      </w:pPr>
      <w:r w:rsidRPr="001E5747">
        <w:rPr>
          <w:rFonts w:asciiTheme="majorHAnsi" w:hAnsiTheme="majorHAnsi"/>
          <w:sz w:val="21"/>
          <w:szCs w:val="21"/>
          <w:lang w:val="en-GB"/>
        </w:rPr>
        <w:t xml:space="preserve">In order to achieve this, the following steps are required to calculate the allocations: </w:t>
      </w:r>
    </w:p>
    <w:p w14:paraId="0EADB07F" w14:textId="77777777" w:rsidR="00175AA2" w:rsidRPr="001E5747" w:rsidRDefault="00175AA2" w:rsidP="00175AA2">
      <w:pPr>
        <w:numPr>
          <w:ilvl w:val="0"/>
          <w:numId w:val="8"/>
        </w:numPr>
        <w:spacing w:before="60" w:line="264" w:lineRule="auto"/>
        <w:ind w:left="540" w:hanging="270"/>
        <w:jc w:val="both"/>
        <w:rPr>
          <w:rFonts w:asciiTheme="majorHAnsi" w:hAnsiTheme="majorHAnsi"/>
          <w:sz w:val="21"/>
          <w:szCs w:val="21"/>
          <w:lang w:val="en-GB" w:eastAsia="en-GB"/>
        </w:rPr>
      </w:pPr>
      <w:r w:rsidRPr="001E5747">
        <w:rPr>
          <w:rFonts w:asciiTheme="majorHAnsi" w:hAnsiTheme="majorHAnsi"/>
          <w:sz w:val="21"/>
          <w:szCs w:val="21"/>
          <w:lang w:val="en-GB" w:eastAsia="en-GB"/>
        </w:rPr>
        <w:t xml:space="preserve">Firstly, the assessment scores for each municipality are weighed with the share of the general grant that each municipality receives for that year (on a basis of a </w:t>
      </w:r>
      <w:r w:rsidR="00CC10F3" w:rsidRPr="001E5747">
        <w:rPr>
          <w:rFonts w:asciiTheme="majorHAnsi" w:hAnsiTheme="majorHAnsi"/>
          <w:sz w:val="21"/>
          <w:szCs w:val="21"/>
          <w:lang w:val="en-GB" w:eastAsia="en-GB"/>
        </w:rPr>
        <w:t>weighted</w:t>
      </w:r>
      <w:r w:rsidRPr="001E5747">
        <w:rPr>
          <w:rFonts w:asciiTheme="majorHAnsi" w:hAnsiTheme="majorHAnsi"/>
          <w:sz w:val="21"/>
          <w:szCs w:val="21"/>
          <w:lang w:val="en-GB" w:eastAsia="en-GB"/>
        </w:rPr>
        <w:t xml:space="preserve"> allocation formula, taking into account various expenditure needs based variables as defined by the government). This is the weighted score.</w:t>
      </w:r>
    </w:p>
    <w:p w14:paraId="3858B02F" w14:textId="77777777" w:rsidR="00175AA2" w:rsidRPr="001E5747" w:rsidRDefault="00175AA2" w:rsidP="00175AA2">
      <w:pPr>
        <w:numPr>
          <w:ilvl w:val="0"/>
          <w:numId w:val="8"/>
        </w:numPr>
        <w:spacing w:before="60" w:line="264" w:lineRule="auto"/>
        <w:ind w:left="540" w:hanging="270"/>
        <w:jc w:val="both"/>
        <w:rPr>
          <w:rFonts w:asciiTheme="majorHAnsi" w:hAnsiTheme="majorHAnsi"/>
          <w:sz w:val="21"/>
          <w:szCs w:val="21"/>
          <w:lang w:val="en-GB" w:eastAsia="en-GB"/>
        </w:rPr>
      </w:pPr>
      <w:r w:rsidRPr="001E5747">
        <w:rPr>
          <w:rFonts w:asciiTheme="majorHAnsi" w:hAnsiTheme="majorHAnsi"/>
          <w:sz w:val="21"/>
          <w:szCs w:val="21"/>
          <w:lang w:val="en-GB" w:eastAsia="en-GB"/>
        </w:rPr>
        <w:t>Secondly, the relative share of each municipality in this weighted score is calculated.</w:t>
      </w:r>
    </w:p>
    <w:p w14:paraId="3D6BCFD2" w14:textId="2C152DB0" w:rsidR="00175AA2" w:rsidRPr="001E5747" w:rsidRDefault="00175AA2" w:rsidP="00175AA2">
      <w:pPr>
        <w:numPr>
          <w:ilvl w:val="0"/>
          <w:numId w:val="8"/>
        </w:numPr>
        <w:spacing w:before="60" w:line="264" w:lineRule="auto"/>
        <w:ind w:left="540" w:hanging="270"/>
        <w:jc w:val="both"/>
        <w:rPr>
          <w:rFonts w:asciiTheme="majorHAnsi" w:hAnsiTheme="majorHAnsi"/>
          <w:sz w:val="21"/>
          <w:szCs w:val="21"/>
          <w:lang w:val="en-GB" w:eastAsia="en-GB"/>
        </w:rPr>
      </w:pPr>
      <w:r w:rsidRPr="001E5747">
        <w:rPr>
          <w:rFonts w:asciiTheme="majorHAnsi" w:hAnsiTheme="majorHAnsi"/>
          <w:sz w:val="21"/>
          <w:szCs w:val="21"/>
          <w:lang w:val="en-GB" w:eastAsia="en-GB"/>
        </w:rPr>
        <w:t>Thirdly, this latter relative share in the weighted performance score is multiplied by the total amount available for the 202</w:t>
      </w:r>
      <w:r w:rsidR="001039CC">
        <w:rPr>
          <w:rFonts w:asciiTheme="majorHAnsi" w:hAnsiTheme="majorHAnsi"/>
          <w:sz w:val="21"/>
          <w:szCs w:val="21"/>
          <w:lang w:val="en-GB" w:eastAsia="en-GB"/>
        </w:rPr>
        <w:t>3</w:t>
      </w:r>
      <w:r w:rsidRPr="001E5747">
        <w:rPr>
          <w:rFonts w:asciiTheme="majorHAnsi" w:hAnsiTheme="majorHAnsi"/>
          <w:sz w:val="21"/>
          <w:szCs w:val="21"/>
          <w:lang w:val="en-GB" w:eastAsia="en-GB"/>
        </w:rPr>
        <w:t xml:space="preserve"> Municipal Performance Grant.</w:t>
      </w:r>
    </w:p>
    <w:p w14:paraId="6C106F79" w14:textId="77777777" w:rsidR="00175AA2" w:rsidRPr="001E5747" w:rsidRDefault="00175AA2" w:rsidP="00175AA2">
      <w:pPr>
        <w:numPr>
          <w:ilvl w:val="0"/>
          <w:numId w:val="8"/>
        </w:numPr>
        <w:spacing w:before="60" w:line="264" w:lineRule="auto"/>
        <w:ind w:left="540" w:hanging="270"/>
        <w:jc w:val="both"/>
        <w:rPr>
          <w:rFonts w:asciiTheme="majorHAnsi" w:hAnsiTheme="majorHAnsi"/>
          <w:sz w:val="21"/>
          <w:szCs w:val="21"/>
          <w:lang w:val="en-GB" w:eastAsia="en-GB"/>
        </w:rPr>
      </w:pPr>
      <w:r w:rsidRPr="001E5747">
        <w:rPr>
          <w:rFonts w:asciiTheme="majorHAnsi" w:hAnsiTheme="majorHAnsi"/>
          <w:sz w:val="21"/>
          <w:szCs w:val="21"/>
          <w:lang w:val="en-GB" w:eastAsia="en-GB"/>
        </w:rPr>
        <w:t>Fourth, the municipal performance grant allocates additional remunerations to the highest performing municipalities. Ten (10) per</w:t>
      </w:r>
      <w:r w:rsidR="00AA1660">
        <w:rPr>
          <w:rFonts w:asciiTheme="majorHAnsi" w:hAnsiTheme="majorHAnsi"/>
          <w:sz w:val="21"/>
          <w:szCs w:val="21"/>
          <w:lang w:val="en-GB" w:eastAsia="en-GB"/>
        </w:rPr>
        <w:t xml:space="preserve"> </w:t>
      </w:r>
      <w:r w:rsidRPr="001E5747">
        <w:rPr>
          <w:rFonts w:asciiTheme="majorHAnsi" w:hAnsiTheme="majorHAnsi"/>
          <w:sz w:val="21"/>
          <w:szCs w:val="21"/>
          <w:lang w:val="en-GB" w:eastAsia="en-GB"/>
        </w:rPr>
        <w:t>cent of the total grant amount is allocated to the top three highest performing places. The first place receives 5% of the total grant amount; the second place receives 3% of the total grant amount and the third place receives 2% of the total grant amount. If two or more municipalities are having the same performance score, then the amount of reward for the designated place is divided proportionally for that number of municipalities with the same result.</w:t>
      </w:r>
    </w:p>
    <w:p w14:paraId="4D915A09" w14:textId="77777777" w:rsidR="00175AA2" w:rsidRPr="001E5747" w:rsidRDefault="00175AA2" w:rsidP="00175AA2">
      <w:pPr>
        <w:spacing w:before="60" w:line="264" w:lineRule="auto"/>
        <w:ind w:left="284"/>
        <w:jc w:val="both"/>
        <w:rPr>
          <w:rFonts w:asciiTheme="majorHAnsi" w:hAnsiTheme="majorHAnsi"/>
          <w:sz w:val="21"/>
          <w:szCs w:val="21"/>
          <w:lang w:val="en-GB"/>
        </w:rPr>
      </w:pPr>
      <w:r w:rsidRPr="001E5747">
        <w:rPr>
          <w:rFonts w:asciiTheme="majorHAnsi" w:hAnsiTheme="majorHAnsi"/>
          <w:sz w:val="21"/>
          <w:szCs w:val="21"/>
          <w:lang w:val="en-GB"/>
        </w:rPr>
        <w:t>This may seem complicated, but the example below can help clarify.</w:t>
      </w:r>
    </w:p>
    <w:p w14:paraId="5C37E675" w14:textId="1A35CAF0" w:rsidR="00175AA2" w:rsidRPr="001E5747" w:rsidRDefault="00175AA2" w:rsidP="00175AA2">
      <w:pPr>
        <w:spacing w:before="60" w:line="264" w:lineRule="auto"/>
        <w:ind w:left="284"/>
        <w:jc w:val="both"/>
        <w:rPr>
          <w:rFonts w:asciiTheme="majorHAnsi" w:hAnsiTheme="majorHAnsi"/>
          <w:sz w:val="21"/>
          <w:szCs w:val="21"/>
          <w:lang w:val="en-GB"/>
        </w:rPr>
      </w:pPr>
      <w:r w:rsidRPr="001E5747">
        <w:rPr>
          <w:rFonts w:asciiTheme="majorHAnsi" w:hAnsiTheme="majorHAnsi"/>
          <w:sz w:val="21"/>
          <w:szCs w:val="21"/>
          <w:lang w:val="en-GB"/>
        </w:rPr>
        <w:t xml:space="preserve">The table on the next page shows an example of the calculation of the municipal performance grant allocation, using the general grant allocated for </w:t>
      </w:r>
      <w:r w:rsidR="001039CC" w:rsidRPr="001E5747">
        <w:rPr>
          <w:rFonts w:asciiTheme="majorHAnsi" w:hAnsiTheme="majorHAnsi"/>
          <w:sz w:val="21"/>
          <w:szCs w:val="21"/>
          <w:lang w:val="en-GB"/>
        </w:rPr>
        <w:t>202</w:t>
      </w:r>
      <w:r w:rsidR="001039CC">
        <w:rPr>
          <w:rFonts w:asciiTheme="majorHAnsi" w:hAnsiTheme="majorHAnsi"/>
          <w:sz w:val="21"/>
          <w:szCs w:val="21"/>
          <w:lang w:val="en-GB"/>
        </w:rPr>
        <w:t>3</w:t>
      </w:r>
      <w:r w:rsidRPr="001E5747">
        <w:rPr>
          <w:rFonts w:asciiTheme="majorHAnsi" w:hAnsiTheme="majorHAnsi"/>
          <w:sz w:val="21"/>
          <w:szCs w:val="21"/>
          <w:lang w:val="en-GB"/>
        </w:rPr>
        <w:t>, as per the government's budget circular, under the following assumptions (as example) that (i) all municipalities have met the minimum conditions and (ii) that all municipalities have achieved exactly the same score of 9</w:t>
      </w:r>
      <w:r w:rsidR="00AA1660">
        <w:rPr>
          <w:rFonts w:asciiTheme="majorHAnsi" w:hAnsiTheme="majorHAnsi"/>
          <w:sz w:val="21"/>
          <w:szCs w:val="21"/>
          <w:lang w:val="en-GB"/>
        </w:rPr>
        <w:t>2</w:t>
      </w:r>
      <w:r w:rsidRPr="001E5747">
        <w:rPr>
          <w:rFonts w:asciiTheme="majorHAnsi" w:hAnsiTheme="majorHAnsi"/>
          <w:sz w:val="21"/>
          <w:szCs w:val="21"/>
          <w:lang w:val="en-GB"/>
        </w:rPr>
        <w:t xml:space="preserve"> points (which is unlikely in reality, but which allows each municipality to be treated equally in this example). </w:t>
      </w:r>
    </w:p>
    <w:p w14:paraId="6790F284" w14:textId="77777777" w:rsidR="00175AA2" w:rsidRPr="001E5747" w:rsidRDefault="00175AA2" w:rsidP="00175AA2">
      <w:pPr>
        <w:spacing w:before="60" w:line="264" w:lineRule="auto"/>
        <w:ind w:left="284"/>
        <w:jc w:val="both"/>
        <w:rPr>
          <w:rFonts w:asciiTheme="majorHAnsi" w:hAnsiTheme="majorHAnsi"/>
          <w:sz w:val="21"/>
          <w:szCs w:val="21"/>
          <w:lang w:val="en-GB"/>
        </w:rPr>
      </w:pPr>
      <w:r w:rsidRPr="001E5747">
        <w:rPr>
          <w:rFonts w:asciiTheme="majorHAnsi" w:hAnsiTheme="majorHAnsi"/>
          <w:sz w:val="21"/>
          <w:szCs w:val="21"/>
          <w:lang w:val="en-GB"/>
        </w:rPr>
        <w:t>The following steps are taken to calculate the allocations:</w:t>
      </w:r>
    </w:p>
    <w:p w14:paraId="3EB48DE4" w14:textId="77777777" w:rsidR="00175AA2" w:rsidRPr="001E5747" w:rsidRDefault="00175AA2" w:rsidP="00175AA2">
      <w:pPr>
        <w:numPr>
          <w:ilvl w:val="0"/>
          <w:numId w:val="19"/>
        </w:numPr>
        <w:spacing w:before="60" w:after="200" w:line="252" w:lineRule="auto"/>
        <w:ind w:left="450" w:hanging="180"/>
        <w:jc w:val="both"/>
        <w:rPr>
          <w:rFonts w:asciiTheme="majorHAnsi" w:hAnsiTheme="majorHAnsi"/>
          <w:sz w:val="21"/>
          <w:szCs w:val="21"/>
          <w:lang w:val="en-GB" w:eastAsia="en-GB"/>
        </w:rPr>
      </w:pPr>
      <w:r w:rsidRPr="001E5747">
        <w:rPr>
          <w:rFonts w:asciiTheme="majorHAnsi" w:hAnsiTheme="majorHAnsi"/>
          <w:sz w:val="21"/>
          <w:szCs w:val="21"/>
          <w:lang w:val="en-GB" w:eastAsia="en-GB"/>
        </w:rPr>
        <w:t>The share of the municipal grant in the total grant is determined by dividing the municipal general grant (column 3) by the total general grant (total column 3). This is a percentage called 'relative share of the general grant' (column 4);</w:t>
      </w:r>
    </w:p>
    <w:p w14:paraId="2FB438CC" w14:textId="77777777" w:rsidR="00175AA2" w:rsidRPr="001E5747" w:rsidRDefault="00175AA2" w:rsidP="00175AA2">
      <w:pPr>
        <w:numPr>
          <w:ilvl w:val="0"/>
          <w:numId w:val="19"/>
        </w:numPr>
        <w:spacing w:before="60" w:line="252" w:lineRule="auto"/>
        <w:ind w:left="450" w:hanging="180"/>
        <w:jc w:val="both"/>
        <w:rPr>
          <w:rFonts w:asciiTheme="majorHAnsi" w:hAnsiTheme="majorHAnsi"/>
          <w:sz w:val="21"/>
          <w:szCs w:val="21"/>
          <w:lang w:val="en-GB" w:eastAsia="en-GB"/>
        </w:rPr>
      </w:pPr>
      <w:r w:rsidRPr="001E5747">
        <w:rPr>
          <w:rFonts w:asciiTheme="majorHAnsi" w:hAnsiTheme="majorHAnsi"/>
          <w:sz w:val="21"/>
          <w:szCs w:val="21"/>
          <w:lang w:val="en-GB" w:eastAsia="en-GB"/>
        </w:rPr>
        <w:t>The weighted performance score is then calculated as shown in column (7) by multiplying the performance assessment score (column 6) with the relative share in the general grant and the results of meeting the minimum conditions (reflected in column 5), which is either 1 if the minimum conditions are met or "0" if the minimum conditions are not met (column 5). A municipality that does not meet the minimum conditions is excluded from further calculations (and the value in columns 6 to 10 will show a “0”).</w:t>
      </w:r>
    </w:p>
    <w:p w14:paraId="2FF3C333" w14:textId="77777777" w:rsidR="00175AA2" w:rsidRPr="001E5747" w:rsidRDefault="00175AA2" w:rsidP="00175AA2">
      <w:pPr>
        <w:numPr>
          <w:ilvl w:val="0"/>
          <w:numId w:val="19"/>
        </w:numPr>
        <w:spacing w:before="60" w:after="200" w:line="252" w:lineRule="auto"/>
        <w:ind w:left="450" w:hanging="180"/>
        <w:jc w:val="both"/>
        <w:rPr>
          <w:rFonts w:asciiTheme="majorHAnsi" w:hAnsiTheme="majorHAnsi"/>
          <w:sz w:val="21"/>
          <w:szCs w:val="21"/>
          <w:lang w:val="en-GB" w:eastAsia="en-GB"/>
        </w:rPr>
      </w:pPr>
      <w:r w:rsidRPr="001E5747">
        <w:rPr>
          <w:rFonts w:asciiTheme="majorHAnsi" w:hAnsiTheme="majorHAnsi"/>
          <w:sz w:val="21"/>
          <w:szCs w:val="21"/>
          <w:lang w:val="en-GB" w:eastAsia="en-GB"/>
        </w:rPr>
        <w:t>The municipal 'calculated weighted score' (in column 7) is then divided by the total of the 'calculated weighted score' (i.e., the total of column 7), to obtain the 'relative share weighted score' (column 8);</w:t>
      </w:r>
    </w:p>
    <w:p w14:paraId="3594543E" w14:textId="77777777" w:rsidR="00175AA2" w:rsidRPr="001E5747" w:rsidRDefault="00175AA2" w:rsidP="00175AA2">
      <w:pPr>
        <w:numPr>
          <w:ilvl w:val="0"/>
          <w:numId w:val="19"/>
        </w:numPr>
        <w:spacing w:before="60" w:line="252" w:lineRule="auto"/>
        <w:ind w:left="450" w:hanging="180"/>
        <w:jc w:val="both"/>
        <w:rPr>
          <w:rFonts w:asciiTheme="majorHAnsi" w:hAnsiTheme="majorHAnsi"/>
          <w:sz w:val="21"/>
          <w:szCs w:val="21"/>
          <w:lang w:val="en-GB" w:eastAsia="en-GB"/>
        </w:rPr>
      </w:pPr>
      <w:r w:rsidRPr="001E5747">
        <w:rPr>
          <w:rFonts w:asciiTheme="majorHAnsi" w:hAnsiTheme="majorHAnsi"/>
          <w:sz w:val="21"/>
          <w:szCs w:val="21"/>
          <w:lang w:val="en-GB" w:eastAsia="en-GB"/>
        </w:rPr>
        <w:t>Finally, this "relative share weighted score" is multiplied by the total amount of funds available for the Municipal Performance Grant in a year (total amount of the Municipal Performance Grant). This leads to the municipal performance grant allocation as reflected in column 9.</w:t>
      </w:r>
    </w:p>
    <w:p w14:paraId="1670AAC3" w14:textId="1CB70E9D" w:rsidR="00175AA2" w:rsidRPr="001E5747" w:rsidRDefault="00175AA2" w:rsidP="00175AA2">
      <w:pPr>
        <w:spacing w:before="60" w:line="252" w:lineRule="auto"/>
        <w:jc w:val="both"/>
        <w:rPr>
          <w:rFonts w:asciiTheme="majorHAnsi" w:hAnsiTheme="majorHAnsi"/>
          <w:sz w:val="21"/>
          <w:szCs w:val="21"/>
          <w:lang w:val="en-GB" w:eastAsia="en-GB"/>
        </w:rPr>
      </w:pPr>
    </w:p>
    <w:p w14:paraId="7B53C551" w14:textId="77CC2DE2" w:rsidR="00175AA2" w:rsidRPr="001E5747" w:rsidRDefault="00175AA2" w:rsidP="00175AA2">
      <w:pPr>
        <w:spacing w:before="60" w:line="252" w:lineRule="auto"/>
        <w:jc w:val="both"/>
        <w:rPr>
          <w:rFonts w:asciiTheme="majorHAnsi" w:hAnsiTheme="majorHAnsi"/>
          <w:sz w:val="21"/>
          <w:szCs w:val="21"/>
          <w:lang w:val="en-GB" w:eastAsia="en-GB"/>
        </w:rPr>
      </w:pPr>
    </w:p>
    <w:p w14:paraId="57C5A365" w14:textId="5B879F7F" w:rsidR="00175AA2" w:rsidRDefault="00175AA2" w:rsidP="00175AA2">
      <w:pPr>
        <w:spacing w:before="60" w:line="252" w:lineRule="auto"/>
        <w:jc w:val="both"/>
        <w:rPr>
          <w:rFonts w:asciiTheme="majorHAnsi" w:hAnsiTheme="majorHAnsi"/>
          <w:sz w:val="21"/>
          <w:szCs w:val="21"/>
          <w:lang w:val="en-GB" w:eastAsia="en-GB"/>
        </w:rPr>
      </w:pPr>
    </w:p>
    <w:p w14:paraId="7CFEB695" w14:textId="2B26935E" w:rsidR="007E55B9" w:rsidRDefault="0071124B" w:rsidP="00175AA2">
      <w:pPr>
        <w:spacing w:before="60" w:line="252" w:lineRule="auto"/>
        <w:jc w:val="both"/>
        <w:rPr>
          <w:rFonts w:asciiTheme="majorHAnsi" w:hAnsiTheme="majorHAnsi"/>
          <w:sz w:val="21"/>
          <w:szCs w:val="21"/>
          <w:lang w:val="en-GB" w:eastAsia="en-GB"/>
        </w:rPr>
      </w:pPr>
      <w:r w:rsidRPr="0071124B">
        <w:drawing>
          <wp:inline distT="0" distB="0" distL="0" distR="0" wp14:anchorId="04FEBCCC" wp14:editId="62CF6AB3">
            <wp:extent cx="5733415" cy="525716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3415" cy="5257165"/>
                    </a:xfrm>
                    <a:prstGeom prst="rect">
                      <a:avLst/>
                    </a:prstGeom>
                    <a:noFill/>
                    <a:ln>
                      <a:noFill/>
                    </a:ln>
                  </pic:spPr>
                </pic:pic>
              </a:graphicData>
            </a:graphic>
          </wp:inline>
        </w:drawing>
      </w:r>
    </w:p>
    <w:p w14:paraId="180DF00B" w14:textId="77777777" w:rsidR="007E55B9" w:rsidRPr="001E5747" w:rsidRDefault="007E55B9" w:rsidP="00175AA2">
      <w:pPr>
        <w:spacing w:before="60" w:line="252" w:lineRule="auto"/>
        <w:jc w:val="both"/>
        <w:rPr>
          <w:rFonts w:asciiTheme="majorHAnsi" w:hAnsiTheme="majorHAnsi"/>
          <w:sz w:val="21"/>
          <w:szCs w:val="21"/>
          <w:lang w:val="en-GB" w:eastAsia="en-GB"/>
        </w:rPr>
      </w:pPr>
    </w:p>
    <w:p w14:paraId="541A33FB" w14:textId="25093EC9" w:rsidR="00175AA2" w:rsidRPr="001E5747" w:rsidRDefault="00175AA2" w:rsidP="00175AA2">
      <w:pPr>
        <w:jc w:val="both"/>
        <w:rPr>
          <w:rFonts w:asciiTheme="majorHAnsi" w:hAnsiTheme="majorHAnsi" w:cstheme="majorHAnsi"/>
          <w:color w:val="000000" w:themeColor="text1"/>
          <w:sz w:val="21"/>
          <w:szCs w:val="21"/>
          <w:lang w:val="en-GB"/>
        </w:rPr>
      </w:pPr>
      <w:r w:rsidRPr="001E5747">
        <w:rPr>
          <w:rFonts w:asciiTheme="majorHAnsi" w:hAnsiTheme="majorHAnsi" w:cstheme="majorHAnsi"/>
          <w:sz w:val="21"/>
          <w:szCs w:val="21"/>
          <w:lang w:val="en-GB"/>
        </w:rPr>
        <w:t xml:space="preserve">Column 10 shows the grant allocation for each municipality as a percentage of its general grant allocation </w:t>
      </w:r>
      <w:r w:rsidRPr="001E5747">
        <w:rPr>
          <w:rFonts w:asciiTheme="majorHAnsi" w:hAnsiTheme="majorHAnsi" w:cstheme="majorHAnsi"/>
          <w:color w:val="000000" w:themeColor="text1"/>
          <w:sz w:val="21"/>
          <w:szCs w:val="21"/>
          <w:lang w:val="en-GB"/>
        </w:rPr>
        <w:t>(column 3). In this example, it shows th</w:t>
      </w:r>
      <w:r w:rsidR="00091613" w:rsidRPr="001E5747">
        <w:rPr>
          <w:rFonts w:asciiTheme="majorHAnsi" w:hAnsiTheme="majorHAnsi" w:cstheme="majorHAnsi"/>
          <w:color w:val="000000" w:themeColor="text1"/>
          <w:sz w:val="21"/>
          <w:szCs w:val="21"/>
          <w:lang w:val="en-GB"/>
        </w:rPr>
        <w:t>at all municipalities get a</w:t>
      </w:r>
      <w:r w:rsidR="00E75EA6">
        <w:rPr>
          <w:rFonts w:asciiTheme="majorHAnsi" w:hAnsiTheme="majorHAnsi" w:cstheme="majorHAnsi"/>
          <w:color w:val="000000" w:themeColor="text1"/>
          <w:sz w:val="21"/>
          <w:szCs w:val="21"/>
          <w:lang w:val="en-GB"/>
        </w:rPr>
        <w:t>n average increase of</w:t>
      </w:r>
      <w:r w:rsidR="00091613" w:rsidRPr="001E5747">
        <w:rPr>
          <w:rFonts w:asciiTheme="majorHAnsi" w:hAnsiTheme="majorHAnsi" w:cstheme="majorHAnsi"/>
          <w:color w:val="000000" w:themeColor="text1"/>
          <w:sz w:val="21"/>
          <w:szCs w:val="21"/>
          <w:lang w:val="en-GB"/>
        </w:rPr>
        <w:t xml:space="preserve"> </w:t>
      </w:r>
      <w:r w:rsidR="00AA1660" w:rsidRPr="007E55B9">
        <w:rPr>
          <w:rFonts w:asciiTheme="majorHAnsi" w:hAnsiTheme="majorHAnsi" w:cstheme="majorHAnsi"/>
          <w:color w:val="000000" w:themeColor="text1"/>
          <w:sz w:val="21"/>
          <w:szCs w:val="21"/>
          <w:lang w:val="en-GB"/>
        </w:rPr>
        <w:t>3</w:t>
      </w:r>
      <w:r w:rsidR="00091613" w:rsidRPr="007E55B9">
        <w:rPr>
          <w:rFonts w:asciiTheme="majorHAnsi" w:hAnsiTheme="majorHAnsi" w:cstheme="majorHAnsi"/>
          <w:color w:val="000000" w:themeColor="text1"/>
          <w:sz w:val="21"/>
          <w:szCs w:val="21"/>
          <w:lang w:val="en-GB"/>
        </w:rPr>
        <w:t>.</w:t>
      </w:r>
      <w:r w:rsidR="00EC2593">
        <w:rPr>
          <w:rFonts w:asciiTheme="majorHAnsi" w:hAnsiTheme="majorHAnsi" w:cstheme="majorHAnsi"/>
          <w:color w:val="000000" w:themeColor="text1"/>
          <w:sz w:val="21"/>
          <w:szCs w:val="21"/>
          <w:lang w:val="en-GB"/>
        </w:rPr>
        <w:t>10</w:t>
      </w:r>
      <w:r w:rsidRPr="007E55B9">
        <w:rPr>
          <w:rFonts w:asciiTheme="majorHAnsi" w:hAnsiTheme="majorHAnsi" w:cstheme="majorHAnsi"/>
          <w:color w:val="000000" w:themeColor="text1"/>
          <w:sz w:val="21"/>
          <w:szCs w:val="21"/>
          <w:lang w:val="en-GB"/>
        </w:rPr>
        <w:t>%</w:t>
      </w:r>
      <w:r w:rsidRPr="001E5747">
        <w:rPr>
          <w:rFonts w:asciiTheme="majorHAnsi" w:hAnsiTheme="majorHAnsi" w:cstheme="majorHAnsi"/>
          <w:color w:val="000000" w:themeColor="text1"/>
          <w:sz w:val="21"/>
          <w:szCs w:val="21"/>
          <w:lang w:val="en-GB"/>
        </w:rPr>
        <w:t xml:space="preserve"> to the general grant allocation.</w:t>
      </w:r>
      <w:r w:rsidR="00DD3393">
        <w:rPr>
          <w:rStyle w:val="FootnoteReference"/>
          <w:rFonts w:asciiTheme="majorHAnsi" w:hAnsiTheme="majorHAnsi" w:cstheme="majorHAnsi"/>
          <w:color w:val="000000" w:themeColor="text1"/>
          <w:sz w:val="21"/>
          <w:szCs w:val="21"/>
          <w:lang w:val="en-GB"/>
        </w:rPr>
        <w:footnoteReference w:id="12"/>
      </w:r>
    </w:p>
    <w:p w14:paraId="0C48F94E" w14:textId="77777777" w:rsidR="00175AA2" w:rsidRPr="001E5747" w:rsidRDefault="00175AA2" w:rsidP="00175AA2">
      <w:pPr>
        <w:jc w:val="both"/>
        <w:rPr>
          <w:rFonts w:asciiTheme="majorHAnsi" w:hAnsiTheme="majorHAnsi" w:cstheme="majorHAnsi"/>
          <w:sz w:val="21"/>
          <w:szCs w:val="21"/>
          <w:lang w:val="en-GB"/>
        </w:rPr>
      </w:pPr>
      <w:r w:rsidRPr="001E5747">
        <w:rPr>
          <w:rFonts w:asciiTheme="majorHAnsi" w:hAnsiTheme="majorHAnsi" w:cstheme="majorHAnsi"/>
          <w:color w:val="000000" w:themeColor="text1"/>
          <w:sz w:val="21"/>
          <w:szCs w:val="21"/>
          <w:lang w:val="en-GB"/>
        </w:rPr>
        <w:t xml:space="preserve">Column </w:t>
      </w:r>
      <w:r w:rsidRPr="001E5747">
        <w:rPr>
          <w:rFonts w:asciiTheme="majorHAnsi" w:hAnsiTheme="majorHAnsi" w:cstheme="majorHAnsi"/>
          <w:sz w:val="21"/>
          <w:szCs w:val="21"/>
          <w:lang w:val="en-GB"/>
        </w:rPr>
        <w:t xml:space="preserve">11 shows the remuneration allocation assuming that all municipalities have the same performance. </w:t>
      </w:r>
    </w:p>
    <w:p w14:paraId="6690E5FF" w14:textId="77777777" w:rsidR="00175AA2" w:rsidRPr="001E5747" w:rsidRDefault="00175AA2" w:rsidP="00175AA2">
      <w:pPr>
        <w:jc w:val="both"/>
        <w:rPr>
          <w:rFonts w:asciiTheme="majorHAnsi" w:hAnsiTheme="majorHAnsi" w:cstheme="majorHAnsi"/>
          <w:sz w:val="21"/>
          <w:szCs w:val="21"/>
          <w:lang w:val="en-GB"/>
        </w:rPr>
      </w:pPr>
      <w:r w:rsidRPr="001E5747">
        <w:rPr>
          <w:rFonts w:asciiTheme="majorHAnsi" w:hAnsiTheme="majorHAnsi" w:cstheme="majorHAnsi"/>
          <w:sz w:val="21"/>
          <w:szCs w:val="21"/>
          <w:lang w:val="en-GB"/>
        </w:rPr>
        <w:t>Column 12 shows the total value of the municipal performance grant for each municipality after the remuneration allocation. So, to column 9 - calculated value for the MPG, the amount of award is added and gives us the total value of MPG for each municipality.</w:t>
      </w:r>
    </w:p>
    <w:p w14:paraId="713924F1" w14:textId="7FBCC576" w:rsidR="00175AA2" w:rsidRPr="001E5747" w:rsidRDefault="00175AA2" w:rsidP="00175AA2">
      <w:pPr>
        <w:jc w:val="both"/>
        <w:rPr>
          <w:rFonts w:asciiTheme="majorHAnsi" w:hAnsiTheme="majorHAnsi" w:cstheme="majorHAnsi"/>
          <w:sz w:val="21"/>
          <w:szCs w:val="21"/>
          <w:lang w:val="en-GB"/>
        </w:rPr>
      </w:pPr>
      <w:r w:rsidRPr="001E5747">
        <w:rPr>
          <w:rFonts w:asciiTheme="majorHAnsi" w:hAnsiTheme="majorHAnsi" w:cstheme="majorHAnsi"/>
          <w:sz w:val="21"/>
          <w:szCs w:val="21"/>
          <w:lang w:val="en-GB"/>
        </w:rPr>
        <w:t xml:space="preserve">Column 13 shows the grant allocation for each municipality as a percentage of the total grant allocation (column 3). In this example, this shows that all municipalities </w:t>
      </w:r>
      <w:r w:rsidRPr="0071124B">
        <w:rPr>
          <w:rFonts w:asciiTheme="majorHAnsi" w:hAnsiTheme="majorHAnsi" w:cstheme="majorHAnsi"/>
          <w:sz w:val="21"/>
          <w:szCs w:val="21"/>
          <w:lang w:val="en-GB"/>
        </w:rPr>
        <w:t xml:space="preserve">receive a </w:t>
      </w:r>
      <w:r w:rsidR="00EC2593" w:rsidRPr="0071124B">
        <w:rPr>
          <w:rFonts w:asciiTheme="majorHAnsi" w:hAnsiTheme="majorHAnsi" w:cstheme="majorHAnsi"/>
          <w:sz w:val="21"/>
          <w:szCs w:val="21"/>
          <w:lang w:val="en-GB"/>
        </w:rPr>
        <w:t>2.8</w:t>
      </w:r>
      <w:r w:rsidRPr="0071124B">
        <w:rPr>
          <w:rFonts w:asciiTheme="majorHAnsi" w:hAnsiTheme="majorHAnsi" w:cstheme="majorHAnsi"/>
          <w:sz w:val="21"/>
          <w:szCs w:val="21"/>
          <w:lang w:val="en-GB"/>
        </w:rPr>
        <w:t>%-</w:t>
      </w:r>
      <w:r w:rsidR="00EC2593" w:rsidRPr="0071124B">
        <w:rPr>
          <w:rFonts w:asciiTheme="majorHAnsi" w:hAnsiTheme="majorHAnsi" w:cstheme="majorHAnsi"/>
          <w:sz w:val="21"/>
          <w:szCs w:val="21"/>
          <w:lang w:val="en-GB"/>
        </w:rPr>
        <w:t>6.</w:t>
      </w:r>
      <w:r w:rsidR="0071124B" w:rsidRPr="0071124B">
        <w:rPr>
          <w:rFonts w:asciiTheme="majorHAnsi" w:hAnsiTheme="majorHAnsi" w:cstheme="majorHAnsi"/>
          <w:sz w:val="21"/>
          <w:szCs w:val="21"/>
          <w:lang w:val="en-GB"/>
        </w:rPr>
        <w:t>5</w:t>
      </w:r>
      <w:r w:rsidR="00AA1660" w:rsidRPr="0071124B">
        <w:rPr>
          <w:rFonts w:asciiTheme="majorHAnsi" w:hAnsiTheme="majorHAnsi" w:cstheme="majorHAnsi"/>
          <w:sz w:val="21"/>
          <w:szCs w:val="21"/>
          <w:lang w:val="en-GB"/>
        </w:rPr>
        <w:t>%</w:t>
      </w:r>
      <w:r w:rsidRPr="001E5747">
        <w:rPr>
          <w:rFonts w:asciiTheme="majorHAnsi" w:hAnsiTheme="majorHAnsi" w:cstheme="majorHAnsi"/>
          <w:sz w:val="21"/>
          <w:szCs w:val="21"/>
          <w:lang w:val="en-GB"/>
        </w:rPr>
        <w:t xml:space="preserve"> </w:t>
      </w:r>
      <w:r w:rsidR="00CC10F3" w:rsidRPr="001E5747">
        <w:rPr>
          <w:rFonts w:asciiTheme="majorHAnsi" w:hAnsiTheme="majorHAnsi" w:cstheme="majorHAnsi"/>
          <w:sz w:val="21"/>
          <w:szCs w:val="21"/>
          <w:lang w:val="en-GB"/>
        </w:rPr>
        <w:t>increase</w:t>
      </w:r>
      <w:r w:rsidRPr="001E5747">
        <w:rPr>
          <w:rFonts w:asciiTheme="majorHAnsi" w:hAnsiTheme="majorHAnsi" w:cstheme="majorHAnsi"/>
          <w:sz w:val="21"/>
          <w:szCs w:val="21"/>
          <w:lang w:val="en-GB"/>
        </w:rPr>
        <w:t xml:space="preserve"> in overall grant allocation.</w:t>
      </w:r>
    </w:p>
    <w:p w14:paraId="384B1B5A" w14:textId="77777777" w:rsidR="00CC10F3" w:rsidRPr="001E5747" w:rsidRDefault="00CC10F3" w:rsidP="00175AA2">
      <w:pPr>
        <w:jc w:val="both"/>
        <w:rPr>
          <w:rFonts w:asciiTheme="majorHAnsi" w:hAnsiTheme="majorHAnsi" w:cstheme="majorHAnsi"/>
          <w:sz w:val="21"/>
          <w:szCs w:val="21"/>
          <w:lang w:val="en-GB"/>
        </w:rPr>
      </w:pPr>
    </w:p>
    <w:p w14:paraId="34651174" w14:textId="462A23FF" w:rsidR="00175AA2" w:rsidRPr="001E5747" w:rsidRDefault="00175AA2" w:rsidP="00175AA2">
      <w:pPr>
        <w:jc w:val="both"/>
        <w:rPr>
          <w:rFonts w:asciiTheme="majorHAnsi" w:hAnsiTheme="majorHAnsi" w:cstheme="majorHAnsi"/>
          <w:sz w:val="21"/>
          <w:szCs w:val="21"/>
          <w:lang w:val="en-GB"/>
        </w:rPr>
      </w:pPr>
      <w:r w:rsidRPr="001E5747">
        <w:rPr>
          <w:rFonts w:asciiTheme="majorHAnsi" w:hAnsiTheme="majorHAnsi" w:cstheme="majorHAnsi"/>
          <w:sz w:val="21"/>
          <w:szCs w:val="21"/>
          <w:lang w:val="en-GB"/>
        </w:rPr>
        <w:lastRenderedPageBreak/>
        <w:t>In fact, and as not all municipalities will meet the minimum conditions, it is anticipated that, through the municipal performance grant, municipalities with a score above average will see a noticeable increase in their capital budget.</w:t>
      </w:r>
    </w:p>
    <w:p w14:paraId="245B6D1A" w14:textId="77777777" w:rsidR="00175AA2" w:rsidRPr="001E5747" w:rsidRDefault="00175AA2" w:rsidP="00175AA2">
      <w:pPr>
        <w:jc w:val="both"/>
        <w:rPr>
          <w:rFonts w:asciiTheme="majorHAnsi" w:hAnsiTheme="majorHAnsi" w:cstheme="majorHAnsi"/>
          <w:sz w:val="21"/>
          <w:szCs w:val="21"/>
          <w:lang w:val="en-GB"/>
        </w:rPr>
      </w:pPr>
      <w:r w:rsidRPr="001E5747">
        <w:rPr>
          <w:rFonts w:asciiTheme="majorHAnsi" w:hAnsiTheme="majorHAnsi" w:cstheme="majorHAnsi"/>
          <w:sz w:val="21"/>
          <w:szCs w:val="21"/>
          <w:lang w:val="en-GB"/>
        </w:rPr>
        <w:t>The table above is available as an Excel spreadsheet for those who are interested.</w:t>
      </w:r>
    </w:p>
    <w:p w14:paraId="62754FBE" w14:textId="77777777" w:rsidR="00175AA2" w:rsidRPr="001E5747" w:rsidRDefault="00175AA2" w:rsidP="00175AA2">
      <w:pPr>
        <w:spacing w:before="60" w:line="252" w:lineRule="auto"/>
        <w:jc w:val="both"/>
        <w:rPr>
          <w:rFonts w:asciiTheme="majorHAnsi" w:hAnsiTheme="majorHAnsi" w:cstheme="majorHAnsi"/>
          <w:sz w:val="21"/>
          <w:szCs w:val="21"/>
          <w:lang w:val="en-GB" w:eastAsia="en-GB"/>
        </w:rPr>
      </w:pPr>
    </w:p>
    <w:p w14:paraId="498108EF" w14:textId="77777777" w:rsidR="00175AA2" w:rsidRPr="001E5747" w:rsidRDefault="00175AA2" w:rsidP="00175AA2">
      <w:pPr>
        <w:spacing w:before="80" w:line="252" w:lineRule="auto"/>
        <w:jc w:val="both"/>
        <w:rPr>
          <w:rFonts w:asciiTheme="majorHAnsi" w:hAnsiTheme="majorHAnsi"/>
          <w:sz w:val="21"/>
          <w:szCs w:val="21"/>
          <w:lang w:val="en-GB"/>
        </w:rPr>
      </w:pPr>
    </w:p>
    <w:p w14:paraId="76409BA7" w14:textId="77777777" w:rsidR="00175AA2" w:rsidRPr="001E5747" w:rsidRDefault="00175AA2" w:rsidP="00175AA2">
      <w:pPr>
        <w:rPr>
          <w:rFonts w:ascii="Arial" w:hAnsi="Arial" w:cs="Arial"/>
          <w:b/>
          <w:color w:val="C0504D"/>
          <w:sz w:val="28"/>
          <w:szCs w:val="28"/>
          <w:lang w:val="en-GB"/>
        </w:rPr>
      </w:pPr>
      <w:r w:rsidRPr="001E5747">
        <w:rPr>
          <w:rFonts w:ascii="Arial" w:hAnsi="Arial" w:cs="Arial"/>
          <w:b/>
          <w:color w:val="C0504D"/>
          <w:sz w:val="28"/>
          <w:szCs w:val="28"/>
          <w:lang w:val="en-GB"/>
        </w:rPr>
        <w:br w:type="page"/>
      </w:r>
    </w:p>
    <w:p w14:paraId="27A045EA" w14:textId="43EDA24E" w:rsidR="00175AA2" w:rsidRPr="001E5747" w:rsidRDefault="00175AA2" w:rsidP="00175AA2">
      <w:pPr>
        <w:pStyle w:val="Heading1"/>
        <w:shd w:val="clear" w:color="auto" w:fill="D55635"/>
        <w:tabs>
          <w:tab w:val="left" w:pos="540"/>
        </w:tabs>
        <w:rPr>
          <w:rFonts w:asciiTheme="majorHAnsi" w:hAnsiTheme="majorHAnsi"/>
          <w:color w:val="FFFFFF" w:themeColor="background1"/>
          <w:sz w:val="32"/>
          <w:szCs w:val="32"/>
          <w:lang w:val="en-GB"/>
        </w:rPr>
      </w:pPr>
      <w:bookmarkStart w:id="71" w:name="Textbaustein"/>
      <w:bookmarkStart w:id="72" w:name="mfg"/>
      <w:bookmarkStart w:id="73" w:name="Vertreter"/>
      <w:bookmarkStart w:id="74" w:name="po"/>
      <w:bookmarkStart w:id="75" w:name="Unterschrift"/>
      <w:bookmarkStart w:id="76" w:name="_Toc61062546"/>
      <w:bookmarkStart w:id="77" w:name="_Toc517708897"/>
      <w:bookmarkStart w:id="78" w:name="_Toc31029018"/>
      <w:bookmarkStart w:id="79" w:name="_Toc31194816"/>
      <w:bookmarkEnd w:id="71"/>
      <w:bookmarkEnd w:id="72"/>
      <w:bookmarkEnd w:id="73"/>
      <w:bookmarkEnd w:id="74"/>
      <w:bookmarkEnd w:id="75"/>
      <w:r w:rsidRPr="001E5747">
        <w:rPr>
          <w:rFonts w:asciiTheme="majorHAnsi" w:hAnsiTheme="majorHAnsi"/>
          <w:color w:val="FFFFFF" w:themeColor="background1"/>
          <w:sz w:val="32"/>
          <w:szCs w:val="32"/>
          <w:lang w:val="en-GB"/>
        </w:rPr>
        <w:lastRenderedPageBreak/>
        <w:t xml:space="preserve">Annex </w:t>
      </w:r>
      <w:r w:rsidR="00A92637">
        <w:rPr>
          <w:rFonts w:asciiTheme="majorHAnsi" w:hAnsiTheme="majorHAnsi"/>
          <w:color w:val="FFFFFF" w:themeColor="background1"/>
          <w:sz w:val="32"/>
          <w:szCs w:val="32"/>
          <w:lang w:val="en-GB"/>
        </w:rPr>
        <w:t>5</w:t>
      </w:r>
      <w:r w:rsidRPr="001E5747">
        <w:rPr>
          <w:rFonts w:asciiTheme="majorHAnsi" w:hAnsiTheme="majorHAnsi"/>
          <w:color w:val="FFFFFF" w:themeColor="background1"/>
          <w:sz w:val="32"/>
          <w:szCs w:val="32"/>
          <w:lang w:val="en-GB"/>
        </w:rPr>
        <w:t>: Terms of reference - MPG Commission</w:t>
      </w:r>
      <w:bookmarkEnd w:id="76"/>
    </w:p>
    <w:p w14:paraId="4AA6D961" w14:textId="77777777" w:rsidR="00175AA2" w:rsidRPr="001E5747" w:rsidRDefault="00175AA2" w:rsidP="00175AA2">
      <w:pPr>
        <w:bidi/>
        <w:rPr>
          <w:lang w:val="en-GB"/>
        </w:rPr>
      </w:pPr>
    </w:p>
    <w:p w14:paraId="7DEE40FE" w14:textId="77777777" w:rsidR="00175AA2" w:rsidRPr="001E5747" w:rsidRDefault="00175AA2" w:rsidP="00175AA2">
      <w:pPr>
        <w:rPr>
          <w:b/>
          <w:sz w:val="28"/>
          <w:lang w:val="en-GB"/>
        </w:rPr>
      </w:pPr>
      <w:r w:rsidRPr="0028141A">
        <w:rPr>
          <w:rFonts w:ascii="Cambria" w:hAnsi="Cambria"/>
          <w:b/>
          <w:noProof/>
          <w:sz w:val="22"/>
          <w:lang w:val="en-US"/>
        </w:rPr>
        <w:drawing>
          <wp:anchor distT="0" distB="0" distL="114300" distR="114300" simplePos="0" relativeHeight="251655168" behindDoc="0" locked="0" layoutInCell="1" allowOverlap="1" wp14:anchorId="2749C4B8" wp14:editId="540C93DE">
            <wp:simplePos x="0" y="0"/>
            <wp:positionH relativeFrom="column">
              <wp:posOffset>-113665</wp:posOffset>
            </wp:positionH>
            <wp:positionV relativeFrom="paragraph">
              <wp:posOffset>186055</wp:posOffset>
            </wp:positionV>
            <wp:extent cx="813435" cy="801370"/>
            <wp:effectExtent l="0" t="0" r="0" b="11430"/>
            <wp:wrapSquare wrapText="bothSides"/>
            <wp:docPr id="12" name="Picture 12" descr="logo Gov Koso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1" name="Picture 2" descr="logo Gov Kosovo.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3435" cy="801370"/>
                    </a:xfrm>
                    <a:prstGeom prst="rect">
                      <a:avLst/>
                    </a:prstGeom>
                    <a:noFill/>
                    <a:ln>
                      <a:noFill/>
                    </a:ln>
                    <a:extLst>
                      <a:ext uri="{FAA26D3D-D897-4be2-8F04-BA451C77F1D7}">
                        <ma14:placeholderFlag xmlns:mv="urn:schemas-microsoft-com:mac:vml" xmlns:mo="http://schemas.microsoft.com/office/mac/office/2008/main"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
                      </a:ext>
                    </a:extLst>
                  </pic:spPr>
                </pic:pic>
              </a:graphicData>
            </a:graphic>
          </wp:anchor>
        </w:drawing>
      </w:r>
    </w:p>
    <w:p w14:paraId="3840398C" w14:textId="77777777" w:rsidR="00175AA2" w:rsidRPr="000C3EC3" w:rsidRDefault="00175AA2" w:rsidP="00175AA2">
      <w:pPr>
        <w:rPr>
          <w:rFonts w:asciiTheme="majorHAnsi" w:hAnsiTheme="majorHAnsi"/>
          <w:b/>
          <w:sz w:val="16"/>
          <w:lang w:val="sv-SE"/>
        </w:rPr>
      </w:pPr>
      <w:r w:rsidRPr="000C3EC3">
        <w:rPr>
          <w:rFonts w:asciiTheme="majorHAnsi" w:hAnsiTheme="majorHAnsi"/>
          <w:b/>
          <w:sz w:val="16"/>
          <w:lang w:val="sv-SE"/>
        </w:rPr>
        <w:t>Republika e Kosovës</w:t>
      </w:r>
    </w:p>
    <w:p w14:paraId="12EC91A5" w14:textId="77777777" w:rsidR="00175AA2" w:rsidRPr="000C3EC3" w:rsidRDefault="00175AA2" w:rsidP="00175AA2">
      <w:pPr>
        <w:rPr>
          <w:rFonts w:asciiTheme="majorHAnsi" w:hAnsiTheme="majorHAnsi"/>
          <w:b/>
          <w:sz w:val="16"/>
          <w:lang w:val="sv-SE"/>
        </w:rPr>
      </w:pPr>
      <w:r w:rsidRPr="000C3EC3">
        <w:rPr>
          <w:rFonts w:asciiTheme="majorHAnsi" w:hAnsiTheme="majorHAnsi"/>
          <w:b/>
          <w:sz w:val="16"/>
          <w:lang w:val="sv-SE"/>
        </w:rPr>
        <w:t>Republika Kosova - Republic of Kosovo</w:t>
      </w:r>
    </w:p>
    <w:p w14:paraId="189C1BFE" w14:textId="77777777" w:rsidR="00175AA2" w:rsidRPr="001E5747" w:rsidRDefault="00175AA2" w:rsidP="00175AA2">
      <w:pPr>
        <w:rPr>
          <w:rFonts w:asciiTheme="majorHAnsi" w:hAnsiTheme="majorHAnsi" w:cs="Book Antiqua"/>
          <w:b/>
          <w:bCs/>
          <w:iCs/>
          <w:sz w:val="16"/>
          <w:szCs w:val="16"/>
          <w:lang w:val="en-GB" w:eastAsia="de-CH"/>
        </w:rPr>
      </w:pPr>
      <w:r w:rsidRPr="001E5747">
        <w:rPr>
          <w:rFonts w:asciiTheme="majorHAnsi" w:hAnsiTheme="majorHAnsi" w:cs="Book Antiqua"/>
          <w:b/>
          <w:bCs/>
          <w:iCs/>
          <w:sz w:val="16"/>
          <w:szCs w:val="16"/>
          <w:lang w:val="en-GB" w:eastAsia="de-CH"/>
        </w:rPr>
        <w:t xml:space="preserve">Qeveria - Vlada - Government </w:t>
      </w:r>
    </w:p>
    <w:p w14:paraId="37EAA9D4" w14:textId="77777777" w:rsidR="00175AA2" w:rsidRPr="001E5747" w:rsidRDefault="00175AA2" w:rsidP="00175AA2">
      <w:pPr>
        <w:rPr>
          <w:rFonts w:asciiTheme="majorHAnsi" w:hAnsiTheme="majorHAnsi" w:cs="Book Antiqua"/>
          <w:b/>
          <w:bCs/>
          <w:iCs/>
          <w:sz w:val="16"/>
          <w:szCs w:val="16"/>
          <w:lang w:val="en-GB" w:eastAsia="de-CH"/>
        </w:rPr>
      </w:pPr>
    </w:p>
    <w:p w14:paraId="4081F997" w14:textId="77777777" w:rsidR="00175AA2" w:rsidRPr="001E5747" w:rsidRDefault="00175AA2" w:rsidP="00175AA2">
      <w:pPr>
        <w:rPr>
          <w:rFonts w:asciiTheme="majorHAnsi" w:hAnsiTheme="majorHAnsi"/>
          <w:sz w:val="16"/>
          <w:szCs w:val="16"/>
          <w:lang w:val="en-GB" w:eastAsia="de-CH"/>
        </w:rPr>
      </w:pPr>
      <w:r w:rsidRPr="001E5747">
        <w:rPr>
          <w:rFonts w:asciiTheme="majorHAnsi" w:hAnsiTheme="majorHAnsi"/>
          <w:sz w:val="16"/>
          <w:szCs w:val="16"/>
          <w:lang w:val="en-GB" w:eastAsia="de-CH"/>
        </w:rPr>
        <w:t xml:space="preserve">Ministria e </w:t>
      </w:r>
      <w:r w:rsidR="00D25AD4">
        <w:rPr>
          <w:rFonts w:asciiTheme="majorHAnsi" w:hAnsiTheme="majorHAnsi"/>
          <w:sz w:val="16"/>
          <w:szCs w:val="16"/>
          <w:lang w:val="en-GB" w:eastAsia="de-CH"/>
        </w:rPr>
        <w:t xml:space="preserve">Administrimit të </w:t>
      </w:r>
      <w:r w:rsidRPr="001E5747">
        <w:rPr>
          <w:rFonts w:asciiTheme="majorHAnsi" w:hAnsiTheme="majorHAnsi"/>
          <w:sz w:val="16"/>
          <w:szCs w:val="16"/>
          <w:lang w:val="en-GB" w:eastAsia="de-CH"/>
        </w:rPr>
        <w:t>Pushtetit Lokal</w:t>
      </w:r>
    </w:p>
    <w:p w14:paraId="5550EBF2" w14:textId="77777777" w:rsidR="00175AA2" w:rsidRPr="001E5747" w:rsidRDefault="00175AA2" w:rsidP="00175AA2">
      <w:pPr>
        <w:rPr>
          <w:rFonts w:asciiTheme="majorHAnsi" w:hAnsiTheme="majorHAnsi"/>
          <w:sz w:val="16"/>
          <w:szCs w:val="16"/>
          <w:lang w:val="en-GB" w:eastAsia="de-CH"/>
        </w:rPr>
      </w:pPr>
      <w:r w:rsidRPr="001E5747">
        <w:rPr>
          <w:rFonts w:asciiTheme="majorHAnsi" w:hAnsiTheme="majorHAnsi"/>
          <w:sz w:val="16"/>
          <w:szCs w:val="16"/>
          <w:lang w:val="en-GB" w:eastAsia="de-CH"/>
        </w:rPr>
        <w:t>Ministarstvo</w:t>
      </w:r>
      <w:r w:rsidR="00D25AD4">
        <w:rPr>
          <w:rFonts w:asciiTheme="majorHAnsi" w:hAnsiTheme="majorHAnsi"/>
          <w:sz w:val="16"/>
          <w:szCs w:val="16"/>
          <w:lang w:val="en-GB" w:eastAsia="de-CH"/>
        </w:rPr>
        <w:t xml:space="preserve"> Administracije</w:t>
      </w:r>
      <w:r w:rsidRPr="001E5747">
        <w:rPr>
          <w:rFonts w:asciiTheme="majorHAnsi" w:hAnsiTheme="majorHAnsi"/>
          <w:sz w:val="16"/>
          <w:szCs w:val="16"/>
          <w:lang w:val="en-GB" w:eastAsia="de-CH"/>
        </w:rPr>
        <w:t xml:space="preserve"> Lokalne Samouprave</w:t>
      </w:r>
    </w:p>
    <w:p w14:paraId="1C7897CE" w14:textId="77777777" w:rsidR="00175AA2" w:rsidRPr="001E5747" w:rsidRDefault="00175AA2" w:rsidP="00175AA2">
      <w:pPr>
        <w:rPr>
          <w:rFonts w:asciiTheme="majorHAnsi" w:hAnsiTheme="majorHAnsi" w:cs="Arial"/>
          <w:sz w:val="16"/>
          <w:szCs w:val="16"/>
          <w:lang w:val="en-GB" w:eastAsia="de-CH"/>
        </w:rPr>
      </w:pPr>
      <w:r w:rsidRPr="001E5747">
        <w:rPr>
          <w:rFonts w:asciiTheme="majorHAnsi" w:hAnsiTheme="majorHAnsi"/>
          <w:sz w:val="16"/>
          <w:szCs w:val="16"/>
          <w:lang w:val="en-GB" w:eastAsia="de-CH"/>
        </w:rPr>
        <w:t xml:space="preserve">Ministry of Local Government </w:t>
      </w:r>
      <w:r w:rsidR="00D25AD4">
        <w:rPr>
          <w:rFonts w:asciiTheme="majorHAnsi" w:hAnsiTheme="majorHAnsi"/>
          <w:sz w:val="16"/>
          <w:szCs w:val="16"/>
          <w:lang w:val="en-GB" w:eastAsia="de-CH"/>
        </w:rPr>
        <w:t>Administration</w:t>
      </w:r>
    </w:p>
    <w:p w14:paraId="59647B19" w14:textId="77777777" w:rsidR="00175AA2" w:rsidRPr="001E5747" w:rsidRDefault="00175AA2" w:rsidP="00175AA2">
      <w:pPr>
        <w:rPr>
          <w:rFonts w:ascii="Cambria" w:hAnsi="Cambria" w:cs="Arial"/>
          <w:sz w:val="22"/>
          <w:szCs w:val="22"/>
          <w:lang w:val="en-GB" w:eastAsia="de-CH"/>
        </w:rPr>
      </w:pPr>
    </w:p>
    <w:p w14:paraId="7ED34FEF" w14:textId="77777777" w:rsidR="00175AA2" w:rsidRPr="001E5747" w:rsidRDefault="00175AA2" w:rsidP="00175AA2">
      <w:pPr>
        <w:rPr>
          <w:rFonts w:ascii="Calibri" w:hAnsi="Calibri" w:cs="Arial"/>
          <w:sz w:val="22"/>
          <w:szCs w:val="22"/>
          <w:lang w:val="en-GB" w:eastAsia="de-CH"/>
        </w:rPr>
      </w:pPr>
    </w:p>
    <w:p w14:paraId="0BAE8C92" w14:textId="77777777" w:rsidR="00175AA2" w:rsidRPr="001E5747" w:rsidRDefault="00175AA2" w:rsidP="00175AA2">
      <w:pPr>
        <w:rPr>
          <w:rFonts w:ascii="Calibri" w:hAnsi="Calibri" w:cs="Arial"/>
          <w:b/>
          <w:sz w:val="22"/>
          <w:szCs w:val="22"/>
          <w:lang w:val="en-GB" w:eastAsia="de-CH"/>
        </w:rPr>
      </w:pPr>
    </w:p>
    <w:p w14:paraId="4253838C" w14:textId="77777777" w:rsidR="00175AA2" w:rsidRPr="001E5747" w:rsidRDefault="00175AA2" w:rsidP="00175AA2">
      <w:pPr>
        <w:rPr>
          <w:rFonts w:ascii="Calibri" w:hAnsi="Calibri" w:cs="Arial"/>
          <w:b/>
          <w:sz w:val="22"/>
          <w:szCs w:val="22"/>
          <w:lang w:val="en-GB" w:eastAsia="de-CH"/>
        </w:rPr>
      </w:pPr>
    </w:p>
    <w:p w14:paraId="18EA68C7" w14:textId="77777777" w:rsidR="00175AA2" w:rsidRPr="001E5747" w:rsidRDefault="00175AA2" w:rsidP="00175AA2">
      <w:pPr>
        <w:rPr>
          <w:rFonts w:ascii="Calibri" w:hAnsi="Calibri" w:cs="Arial"/>
          <w:b/>
          <w:sz w:val="22"/>
          <w:szCs w:val="22"/>
          <w:lang w:val="en-GB" w:eastAsia="de-CH"/>
        </w:rPr>
      </w:pPr>
    </w:p>
    <w:p w14:paraId="73C268BD" w14:textId="77777777" w:rsidR="00175AA2" w:rsidRPr="001E5747" w:rsidRDefault="00175AA2" w:rsidP="00175AA2">
      <w:pPr>
        <w:rPr>
          <w:rFonts w:ascii="Calibri" w:hAnsi="Calibri" w:cs="Arial"/>
          <w:b/>
          <w:sz w:val="22"/>
          <w:szCs w:val="22"/>
          <w:lang w:val="en-GB" w:eastAsia="de-CH"/>
        </w:rPr>
      </w:pPr>
    </w:p>
    <w:p w14:paraId="043921AF" w14:textId="77777777" w:rsidR="00175AA2" w:rsidRPr="001E5747" w:rsidRDefault="00175AA2" w:rsidP="00175AA2">
      <w:pPr>
        <w:rPr>
          <w:rFonts w:ascii="Calibri" w:hAnsi="Calibri" w:cs="Arial"/>
          <w:b/>
          <w:sz w:val="22"/>
          <w:szCs w:val="22"/>
          <w:lang w:val="en-GB" w:eastAsia="de-CH"/>
        </w:rPr>
      </w:pPr>
    </w:p>
    <w:p w14:paraId="1ECDF657" w14:textId="77777777" w:rsidR="00175AA2" w:rsidRPr="001E5747" w:rsidRDefault="00175AA2" w:rsidP="00175AA2">
      <w:pPr>
        <w:rPr>
          <w:rFonts w:ascii="Calibri" w:hAnsi="Calibri" w:cs="Arial"/>
          <w:sz w:val="22"/>
          <w:szCs w:val="22"/>
          <w:lang w:val="en-GB" w:eastAsia="de-CH"/>
        </w:rPr>
      </w:pPr>
    </w:p>
    <w:p w14:paraId="5E70312F" w14:textId="77777777" w:rsidR="00175AA2" w:rsidRPr="001E5747" w:rsidRDefault="00175AA2" w:rsidP="00175AA2">
      <w:pPr>
        <w:rPr>
          <w:rFonts w:ascii="Calibri" w:hAnsi="Calibri" w:cs="Arial"/>
          <w:sz w:val="32"/>
          <w:szCs w:val="32"/>
          <w:lang w:val="en-GB" w:eastAsia="de-CH"/>
        </w:rPr>
      </w:pPr>
    </w:p>
    <w:p w14:paraId="111BC027" w14:textId="77777777" w:rsidR="00175AA2" w:rsidRPr="001E5747" w:rsidRDefault="00175AA2" w:rsidP="00175AA2">
      <w:pPr>
        <w:rPr>
          <w:rFonts w:ascii="Calibri" w:hAnsi="Calibri" w:cs="Arial"/>
          <w:b/>
          <w:sz w:val="32"/>
          <w:szCs w:val="32"/>
          <w:lang w:val="en-GB" w:eastAsia="de-CH"/>
        </w:rPr>
      </w:pPr>
    </w:p>
    <w:p w14:paraId="70A7571B" w14:textId="77777777" w:rsidR="00175AA2" w:rsidRPr="001E5747" w:rsidRDefault="00175AA2" w:rsidP="00175AA2">
      <w:pPr>
        <w:rPr>
          <w:rFonts w:ascii="Calibri" w:hAnsi="Calibri" w:cs="Arial"/>
          <w:b/>
          <w:sz w:val="32"/>
          <w:szCs w:val="32"/>
          <w:u w:val="single"/>
          <w:lang w:val="en-GB" w:eastAsia="de-CH"/>
        </w:rPr>
      </w:pPr>
      <w:r w:rsidRPr="001E5747">
        <w:rPr>
          <w:rFonts w:ascii="Calibri" w:hAnsi="Calibri" w:cs="Arial"/>
          <w:b/>
          <w:sz w:val="32"/>
          <w:szCs w:val="32"/>
          <w:u w:val="single"/>
          <w:lang w:val="en-GB" w:eastAsia="de-CH"/>
        </w:rPr>
        <w:t>Terms of reference</w:t>
      </w:r>
    </w:p>
    <w:p w14:paraId="5EC596D3" w14:textId="77777777" w:rsidR="00175AA2" w:rsidRPr="001E5747" w:rsidRDefault="00175AA2" w:rsidP="00175AA2">
      <w:pPr>
        <w:rPr>
          <w:rFonts w:ascii="Calibri" w:hAnsi="Calibri" w:cs="Arial"/>
          <w:b/>
          <w:sz w:val="32"/>
          <w:szCs w:val="32"/>
          <w:u w:val="single"/>
          <w:lang w:val="en-GB" w:eastAsia="de-CH"/>
        </w:rPr>
      </w:pPr>
      <w:r w:rsidRPr="001E5747">
        <w:rPr>
          <w:rFonts w:ascii="Calibri" w:hAnsi="Calibri" w:cs="Arial"/>
          <w:b/>
          <w:sz w:val="32"/>
          <w:szCs w:val="32"/>
          <w:u w:val="single"/>
          <w:lang w:val="en-GB" w:eastAsia="de-CH"/>
        </w:rPr>
        <w:t>for</w:t>
      </w:r>
    </w:p>
    <w:p w14:paraId="5D380BC5" w14:textId="77777777" w:rsidR="00175AA2" w:rsidRPr="001E5747" w:rsidRDefault="00175AA2" w:rsidP="00175AA2">
      <w:pPr>
        <w:rPr>
          <w:rFonts w:ascii="Calibri" w:hAnsi="Calibri" w:cs="Arial"/>
          <w:b/>
          <w:sz w:val="32"/>
          <w:szCs w:val="32"/>
          <w:u w:val="single"/>
          <w:lang w:val="en-GB" w:eastAsia="de-CH"/>
        </w:rPr>
      </w:pPr>
      <w:r w:rsidRPr="001E5747">
        <w:rPr>
          <w:rFonts w:ascii="Calibri" w:hAnsi="Calibri" w:cs="Arial"/>
          <w:b/>
          <w:sz w:val="32"/>
          <w:szCs w:val="32"/>
          <w:u w:val="single"/>
          <w:lang w:val="en-GB" w:eastAsia="de-CH"/>
        </w:rPr>
        <w:t>the Municipal Performance Grant Commission</w:t>
      </w:r>
    </w:p>
    <w:p w14:paraId="4A286CB7" w14:textId="77777777" w:rsidR="00175AA2" w:rsidRPr="001E5747" w:rsidRDefault="00175AA2" w:rsidP="00175AA2">
      <w:pPr>
        <w:rPr>
          <w:rFonts w:ascii="Calibri" w:hAnsi="Calibri" w:cs="Arial"/>
          <w:b/>
          <w:sz w:val="32"/>
          <w:szCs w:val="32"/>
          <w:u w:val="single"/>
          <w:lang w:val="en-GB" w:eastAsia="de-CH"/>
        </w:rPr>
      </w:pPr>
    </w:p>
    <w:p w14:paraId="0BDF94C1" w14:textId="77777777" w:rsidR="00175AA2" w:rsidRPr="001E5747" w:rsidRDefault="00175AA2" w:rsidP="00175AA2">
      <w:pPr>
        <w:rPr>
          <w:rFonts w:ascii="Calibri" w:hAnsi="Calibri" w:cs="Arial"/>
          <w:b/>
          <w:sz w:val="32"/>
          <w:szCs w:val="32"/>
          <w:lang w:val="en-GB" w:eastAsia="de-CH"/>
        </w:rPr>
      </w:pPr>
    </w:p>
    <w:p w14:paraId="1B5A75A6" w14:textId="77777777" w:rsidR="00175AA2" w:rsidRPr="001E5747" w:rsidRDefault="00175AA2" w:rsidP="00175AA2">
      <w:pPr>
        <w:rPr>
          <w:rFonts w:ascii="Calibri" w:hAnsi="Calibri" w:cs="Arial"/>
          <w:b/>
          <w:sz w:val="32"/>
          <w:szCs w:val="32"/>
          <w:lang w:val="en-GB" w:eastAsia="de-CH"/>
        </w:rPr>
      </w:pPr>
    </w:p>
    <w:p w14:paraId="78602A5B" w14:textId="77777777" w:rsidR="00175AA2" w:rsidRPr="001E5747" w:rsidRDefault="00175AA2" w:rsidP="00175AA2">
      <w:pPr>
        <w:rPr>
          <w:rFonts w:ascii="Calibri" w:hAnsi="Calibri" w:cs="Arial"/>
          <w:sz w:val="28"/>
          <w:szCs w:val="28"/>
          <w:lang w:val="en-GB" w:eastAsia="de-CH"/>
        </w:rPr>
      </w:pPr>
    </w:p>
    <w:p w14:paraId="1C45E916" w14:textId="77777777" w:rsidR="00175AA2" w:rsidRPr="001E5747" w:rsidRDefault="00175AA2" w:rsidP="00175AA2">
      <w:pPr>
        <w:rPr>
          <w:rFonts w:ascii="Calibri" w:hAnsi="Calibri" w:cs="Arial"/>
          <w:b/>
          <w:sz w:val="22"/>
          <w:szCs w:val="22"/>
          <w:lang w:val="en-GB" w:eastAsia="de-CH"/>
        </w:rPr>
      </w:pPr>
    </w:p>
    <w:p w14:paraId="410BA691" w14:textId="77777777" w:rsidR="00175AA2" w:rsidRPr="001E5747" w:rsidRDefault="00175AA2" w:rsidP="00175AA2">
      <w:pPr>
        <w:rPr>
          <w:rFonts w:ascii="Calibri" w:hAnsi="Calibri" w:cs="Arial"/>
          <w:b/>
          <w:sz w:val="22"/>
          <w:szCs w:val="22"/>
          <w:lang w:val="en-GB" w:eastAsia="de-CH"/>
        </w:rPr>
      </w:pPr>
    </w:p>
    <w:p w14:paraId="7701DDA4" w14:textId="77777777" w:rsidR="00175AA2" w:rsidRPr="001E5747" w:rsidRDefault="00175AA2" w:rsidP="00175AA2">
      <w:pPr>
        <w:rPr>
          <w:rFonts w:ascii="Calibri" w:hAnsi="Calibri" w:cs="Arial"/>
          <w:b/>
          <w:sz w:val="22"/>
          <w:szCs w:val="22"/>
          <w:lang w:val="en-GB" w:eastAsia="de-CH"/>
        </w:rPr>
      </w:pPr>
    </w:p>
    <w:p w14:paraId="1DA0DC09" w14:textId="77777777" w:rsidR="00175AA2" w:rsidRPr="001E5747" w:rsidRDefault="00175AA2" w:rsidP="00175AA2">
      <w:pPr>
        <w:rPr>
          <w:rFonts w:ascii="Calibri" w:hAnsi="Calibri" w:cs="Arial"/>
          <w:b/>
          <w:sz w:val="22"/>
          <w:szCs w:val="22"/>
          <w:lang w:val="en-GB" w:eastAsia="de-CH"/>
        </w:rPr>
      </w:pPr>
    </w:p>
    <w:p w14:paraId="3F25F7B2" w14:textId="77777777" w:rsidR="00175AA2" w:rsidRPr="001E5747" w:rsidRDefault="00175AA2" w:rsidP="00175AA2">
      <w:pPr>
        <w:rPr>
          <w:rFonts w:ascii="Calibri" w:hAnsi="Calibri" w:cs="Arial"/>
          <w:b/>
          <w:sz w:val="22"/>
          <w:szCs w:val="22"/>
          <w:lang w:val="en-GB" w:eastAsia="de-CH"/>
        </w:rPr>
      </w:pPr>
    </w:p>
    <w:p w14:paraId="2E9C4ADF" w14:textId="77777777" w:rsidR="00175AA2" w:rsidRPr="001E5747" w:rsidRDefault="00175AA2" w:rsidP="00175AA2">
      <w:pPr>
        <w:rPr>
          <w:rFonts w:ascii="Calibri" w:hAnsi="Calibri" w:cs="Arial"/>
          <w:b/>
          <w:sz w:val="22"/>
          <w:szCs w:val="22"/>
          <w:lang w:val="en-GB" w:eastAsia="de-CH"/>
        </w:rPr>
      </w:pPr>
    </w:p>
    <w:p w14:paraId="3CF1135F" w14:textId="77777777" w:rsidR="00175AA2" w:rsidRPr="001E5747" w:rsidRDefault="00175AA2" w:rsidP="00175AA2">
      <w:pPr>
        <w:rPr>
          <w:rFonts w:ascii="Calibri" w:hAnsi="Calibri" w:cs="Arial"/>
          <w:b/>
          <w:sz w:val="22"/>
          <w:szCs w:val="22"/>
          <w:lang w:val="en-GB" w:eastAsia="de-CH"/>
        </w:rPr>
      </w:pPr>
    </w:p>
    <w:p w14:paraId="0780EC7F" w14:textId="77777777" w:rsidR="00175AA2" w:rsidRPr="001E5747" w:rsidRDefault="00175AA2" w:rsidP="00175AA2">
      <w:pPr>
        <w:rPr>
          <w:rFonts w:ascii="Calibri" w:hAnsi="Calibri" w:cs="Arial"/>
          <w:b/>
          <w:sz w:val="22"/>
          <w:szCs w:val="22"/>
          <w:lang w:val="en-GB" w:eastAsia="de-CH"/>
        </w:rPr>
      </w:pPr>
    </w:p>
    <w:p w14:paraId="77FD7476" w14:textId="77777777" w:rsidR="00175AA2" w:rsidRPr="001E5747" w:rsidRDefault="00175AA2" w:rsidP="00175AA2">
      <w:pPr>
        <w:rPr>
          <w:rFonts w:ascii="Calibri" w:hAnsi="Calibri" w:cs="Arial"/>
          <w:b/>
          <w:sz w:val="22"/>
          <w:szCs w:val="22"/>
          <w:lang w:val="en-GB" w:eastAsia="de-CH"/>
        </w:rPr>
      </w:pPr>
    </w:p>
    <w:p w14:paraId="5169D923" w14:textId="77777777" w:rsidR="00175AA2" w:rsidRPr="001E5747" w:rsidRDefault="00175AA2" w:rsidP="00175AA2">
      <w:pPr>
        <w:rPr>
          <w:rFonts w:asciiTheme="majorHAnsi" w:hAnsiTheme="majorHAnsi" w:cstheme="majorHAnsi"/>
          <w:b/>
          <w:sz w:val="21"/>
          <w:szCs w:val="21"/>
          <w:u w:val="single"/>
          <w:lang w:val="en-GB" w:eastAsia="de-CH"/>
        </w:rPr>
      </w:pPr>
      <w:r w:rsidRPr="001E5747">
        <w:rPr>
          <w:rFonts w:ascii="Calibri" w:hAnsi="Calibri" w:cs="Arial"/>
          <w:sz w:val="22"/>
          <w:szCs w:val="22"/>
          <w:lang w:val="en-GB" w:eastAsia="de-CH"/>
        </w:rPr>
        <w:br w:type="page"/>
      </w:r>
      <w:r w:rsidRPr="001E5747">
        <w:rPr>
          <w:rFonts w:ascii="Calibri" w:hAnsi="Calibri" w:cs="Arial"/>
          <w:sz w:val="22"/>
          <w:szCs w:val="22"/>
          <w:lang w:val="en-GB" w:eastAsia="de-CH"/>
        </w:rPr>
        <w:lastRenderedPageBreak/>
        <w:t xml:space="preserve">1. </w:t>
      </w:r>
      <w:r w:rsidRPr="001E5747">
        <w:rPr>
          <w:rFonts w:asciiTheme="majorHAnsi" w:hAnsiTheme="majorHAnsi" w:cstheme="majorHAnsi"/>
          <w:b/>
          <w:sz w:val="21"/>
          <w:szCs w:val="21"/>
          <w:u w:val="single"/>
          <w:lang w:val="en-GB" w:eastAsia="de-CH"/>
        </w:rPr>
        <w:t>Brief summary</w:t>
      </w:r>
    </w:p>
    <w:p w14:paraId="64BC00BC" w14:textId="77777777" w:rsidR="00175AA2" w:rsidRPr="001E5747" w:rsidRDefault="00175AA2" w:rsidP="00175AA2">
      <w:pPr>
        <w:spacing w:before="240"/>
        <w:jc w:val="both"/>
        <w:rPr>
          <w:rFonts w:asciiTheme="majorHAnsi" w:hAnsiTheme="majorHAnsi" w:cstheme="majorHAnsi"/>
          <w:sz w:val="21"/>
          <w:szCs w:val="21"/>
          <w:lang w:val="en-GB" w:eastAsia="de-CH"/>
        </w:rPr>
      </w:pPr>
      <w:r w:rsidRPr="001E5747">
        <w:rPr>
          <w:rFonts w:asciiTheme="majorHAnsi" w:hAnsiTheme="majorHAnsi" w:cstheme="majorHAnsi"/>
          <w:sz w:val="21"/>
          <w:szCs w:val="21"/>
          <w:lang w:val="en-GB" w:eastAsia="de-CH"/>
        </w:rPr>
        <w:t>This document clarifies the role and functions of the Municipal Performance Grant Commission. The main function of the Municipal Performance Grant Commission is to guarantee the integrity of the assessment system by formally assuming responsibility for the assessment results and the ensuing calculations for the allocations of the determined rules. The Commission cannot change the results of the assessment, but only ensure that the Technical Group (TG) has followed the rules.</w:t>
      </w:r>
    </w:p>
    <w:p w14:paraId="1B751127" w14:textId="77777777" w:rsidR="00175AA2" w:rsidRPr="001E5747" w:rsidRDefault="00175AA2" w:rsidP="00175AA2">
      <w:pPr>
        <w:rPr>
          <w:rFonts w:asciiTheme="majorHAnsi" w:hAnsiTheme="majorHAnsi" w:cstheme="majorHAnsi"/>
          <w:b/>
          <w:bCs/>
          <w:iCs/>
          <w:sz w:val="21"/>
          <w:szCs w:val="21"/>
          <w:lang w:val="en-GB" w:eastAsia="de-CH"/>
        </w:rPr>
      </w:pPr>
    </w:p>
    <w:p w14:paraId="751FCB5F" w14:textId="77777777" w:rsidR="00175AA2" w:rsidRPr="001E5747" w:rsidRDefault="00175AA2" w:rsidP="00175AA2">
      <w:pPr>
        <w:rPr>
          <w:rFonts w:asciiTheme="majorHAnsi" w:hAnsiTheme="majorHAnsi" w:cstheme="majorHAnsi"/>
          <w:b/>
          <w:bCs/>
          <w:iCs/>
          <w:sz w:val="21"/>
          <w:szCs w:val="21"/>
          <w:lang w:val="en-GB" w:eastAsia="de-CH"/>
        </w:rPr>
      </w:pPr>
      <w:r w:rsidRPr="001E5747">
        <w:rPr>
          <w:rFonts w:asciiTheme="majorHAnsi" w:hAnsiTheme="majorHAnsi" w:cstheme="majorHAnsi"/>
          <w:b/>
          <w:bCs/>
          <w:iCs/>
          <w:sz w:val="21"/>
          <w:szCs w:val="21"/>
          <w:lang w:val="en-GB" w:eastAsia="de-CH"/>
        </w:rPr>
        <w:t xml:space="preserve">2. Role and functions of the Municipal performance grant Commission </w:t>
      </w:r>
    </w:p>
    <w:p w14:paraId="5FCA0348" w14:textId="77777777" w:rsidR="00175AA2" w:rsidRPr="001E5747" w:rsidRDefault="00175AA2" w:rsidP="00175AA2">
      <w:pPr>
        <w:rPr>
          <w:rFonts w:asciiTheme="majorHAnsi" w:hAnsiTheme="majorHAnsi" w:cstheme="majorHAnsi"/>
          <w:sz w:val="21"/>
          <w:szCs w:val="21"/>
          <w:lang w:val="en-GB" w:eastAsia="de-CH"/>
        </w:rPr>
      </w:pPr>
      <w:r w:rsidRPr="001E5747">
        <w:rPr>
          <w:rFonts w:asciiTheme="majorHAnsi" w:hAnsiTheme="majorHAnsi" w:cstheme="majorHAnsi"/>
          <w:sz w:val="21"/>
          <w:szCs w:val="21"/>
          <w:lang w:val="en-GB" w:eastAsia="de-CH"/>
        </w:rPr>
        <w:t>The main function of the municipal performance grant commission is to guarantee the integrity of the assessment. The main functions of the Municipal Performance Grant Commission are the following:</w:t>
      </w:r>
    </w:p>
    <w:p w14:paraId="63ECC017" w14:textId="77777777" w:rsidR="00175AA2" w:rsidRPr="001E5747" w:rsidRDefault="004C6860" w:rsidP="00175AA2">
      <w:pPr>
        <w:pStyle w:val="ListParagraph"/>
        <w:numPr>
          <w:ilvl w:val="1"/>
          <w:numId w:val="9"/>
        </w:numPr>
        <w:tabs>
          <w:tab w:val="left" w:pos="1710"/>
        </w:tabs>
        <w:spacing w:before="20" w:after="0" w:line="264" w:lineRule="auto"/>
        <w:ind w:left="839" w:hanging="272"/>
        <w:jc w:val="both"/>
        <w:rPr>
          <w:rFonts w:asciiTheme="majorHAnsi" w:hAnsiTheme="majorHAnsi"/>
          <w:sz w:val="21"/>
          <w:szCs w:val="21"/>
          <w:lang w:val="en-GB"/>
        </w:rPr>
      </w:pPr>
      <w:r w:rsidRPr="001E5747">
        <w:rPr>
          <w:rFonts w:asciiTheme="majorHAnsi" w:hAnsiTheme="majorHAnsi"/>
          <w:sz w:val="21"/>
          <w:szCs w:val="21"/>
          <w:lang w:val="en-GB"/>
        </w:rPr>
        <w:t>Set</w:t>
      </w:r>
      <w:r w:rsidR="00175AA2" w:rsidRPr="001E5747">
        <w:rPr>
          <w:rFonts w:asciiTheme="majorHAnsi" w:hAnsiTheme="majorHAnsi"/>
          <w:sz w:val="21"/>
          <w:szCs w:val="21"/>
          <w:lang w:val="en-GB"/>
        </w:rPr>
        <w:t xml:space="preserve"> the rules and procedures </w:t>
      </w:r>
      <w:r w:rsidRPr="001E5747">
        <w:rPr>
          <w:rFonts w:asciiTheme="majorHAnsi" w:hAnsiTheme="majorHAnsi"/>
          <w:sz w:val="21"/>
          <w:szCs w:val="21"/>
          <w:lang w:val="en-GB"/>
        </w:rPr>
        <w:t>for</w:t>
      </w:r>
      <w:r w:rsidR="00175AA2" w:rsidRPr="001E5747">
        <w:rPr>
          <w:rFonts w:asciiTheme="majorHAnsi" w:hAnsiTheme="majorHAnsi"/>
          <w:sz w:val="21"/>
          <w:szCs w:val="21"/>
          <w:lang w:val="en-GB"/>
        </w:rPr>
        <w:t xml:space="preserve"> the Commission's work;</w:t>
      </w:r>
    </w:p>
    <w:p w14:paraId="0C921185" w14:textId="77777777" w:rsidR="00175AA2" w:rsidRPr="001E5747" w:rsidRDefault="00175AA2" w:rsidP="00175AA2">
      <w:pPr>
        <w:pStyle w:val="ListParagraph"/>
        <w:numPr>
          <w:ilvl w:val="1"/>
          <w:numId w:val="9"/>
        </w:numPr>
        <w:tabs>
          <w:tab w:val="left" w:pos="1710"/>
        </w:tabs>
        <w:spacing w:before="20" w:after="0" w:line="264" w:lineRule="auto"/>
        <w:ind w:left="839" w:hanging="272"/>
        <w:jc w:val="both"/>
        <w:rPr>
          <w:rFonts w:asciiTheme="majorHAnsi" w:hAnsiTheme="majorHAnsi"/>
          <w:sz w:val="21"/>
          <w:szCs w:val="21"/>
          <w:lang w:val="en-GB"/>
        </w:rPr>
      </w:pPr>
      <w:r w:rsidRPr="001E5747">
        <w:rPr>
          <w:rFonts w:asciiTheme="majorHAnsi" w:hAnsiTheme="majorHAnsi"/>
          <w:sz w:val="21"/>
          <w:szCs w:val="21"/>
          <w:lang w:val="en-GB"/>
        </w:rPr>
        <w:t>Oversee the process and ensur</w:t>
      </w:r>
      <w:r w:rsidR="004C6860" w:rsidRPr="001E5747">
        <w:rPr>
          <w:rFonts w:asciiTheme="majorHAnsi" w:hAnsiTheme="majorHAnsi"/>
          <w:sz w:val="21"/>
          <w:szCs w:val="21"/>
          <w:lang w:val="en-GB"/>
        </w:rPr>
        <w:t>e</w:t>
      </w:r>
      <w:r w:rsidRPr="001E5747">
        <w:rPr>
          <w:rFonts w:asciiTheme="majorHAnsi" w:hAnsiTheme="majorHAnsi"/>
          <w:sz w:val="21"/>
          <w:szCs w:val="21"/>
          <w:lang w:val="en-GB"/>
        </w:rPr>
        <w:t xml:space="preserve"> that the Technical Group has followed the assessment criteria and procedures set out in the performance grant rules;</w:t>
      </w:r>
    </w:p>
    <w:p w14:paraId="5AB6C2A7" w14:textId="77777777" w:rsidR="00175AA2" w:rsidRPr="001E5747" w:rsidRDefault="00E3723A" w:rsidP="00175AA2">
      <w:pPr>
        <w:pStyle w:val="ListParagraph"/>
        <w:numPr>
          <w:ilvl w:val="1"/>
          <w:numId w:val="9"/>
        </w:numPr>
        <w:tabs>
          <w:tab w:val="left" w:pos="1710"/>
        </w:tabs>
        <w:spacing w:before="20" w:after="0" w:line="264" w:lineRule="auto"/>
        <w:ind w:left="839" w:hanging="272"/>
        <w:jc w:val="both"/>
        <w:rPr>
          <w:rFonts w:asciiTheme="majorHAnsi" w:hAnsiTheme="majorHAnsi"/>
          <w:sz w:val="21"/>
          <w:szCs w:val="21"/>
          <w:lang w:val="en-GB"/>
        </w:rPr>
      </w:pPr>
      <w:r>
        <w:rPr>
          <w:rFonts w:asciiTheme="majorHAnsi" w:hAnsiTheme="majorHAnsi"/>
          <w:sz w:val="21"/>
          <w:szCs w:val="21"/>
          <w:lang w:val="en-GB"/>
        </w:rPr>
        <w:t>Endorses</w:t>
      </w:r>
      <w:r w:rsidR="00175AA2" w:rsidRPr="001E5747">
        <w:rPr>
          <w:rFonts w:asciiTheme="majorHAnsi" w:hAnsiTheme="majorHAnsi"/>
          <w:sz w:val="21"/>
          <w:szCs w:val="21"/>
          <w:lang w:val="en-GB"/>
        </w:rPr>
        <w:t xml:space="preserve"> the performance assessment results for the grant;</w:t>
      </w:r>
    </w:p>
    <w:p w14:paraId="3056685F" w14:textId="77777777" w:rsidR="00175AA2" w:rsidRPr="001E5747" w:rsidRDefault="00175AA2" w:rsidP="00175AA2">
      <w:pPr>
        <w:pStyle w:val="ListParagraph"/>
        <w:numPr>
          <w:ilvl w:val="1"/>
          <w:numId w:val="9"/>
        </w:numPr>
        <w:tabs>
          <w:tab w:val="left" w:pos="1710"/>
        </w:tabs>
        <w:spacing w:before="20" w:after="0" w:line="264" w:lineRule="auto"/>
        <w:ind w:left="839" w:hanging="272"/>
        <w:jc w:val="both"/>
        <w:rPr>
          <w:rFonts w:asciiTheme="majorHAnsi" w:hAnsiTheme="majorHAnsi"/>
          <w:sz w:val="21"/>
          <w:szCs w:val="21"/>
          <w:lang w:val="en-GB"/>
        </w:rPr>
      </w:pPr>
      <w:r w:rsidRPr="001E5747">
        <w:rPr>
          <w:rFonts w:asciiTheme="majorHAnsi" w:hAnsiTheme="majorHAnsi"/>
          <w:sz w:val="21"/>
          <w:szCs w:val="21"/>
          <w:lang w:val="en-GB"/>
        </w:rPr>
        <w:t>In case of irregularities, the Commission may return the assessment process for reconsideration;</w:t>
      </w:r>
    </w:p>
    <w:p w14:paraId="7DEEC6F8" w14:textId="77777777" w:rsidR="00175AA2" w:rsidRPr="001E5747" w:rsidRDefault="004C6860" w:rsidP="00175AA2">
      <w:pPr>
        <w:pStyle w:val="ListParagraph"/>
        <w:numPr>
          <w:ilvl w:val="1"/>
          <w:numId w:val="9"/>
        </w:numPr>
        <w:tabs>
          <w:tab w:val="left" w:pos="1710"/>
        </w:tabs>
        <w:spacing w:before="20" w:after="0" w:line="264" w:lineRule="auto"/>
        <w:ind w:left="900"/>
        <w:jc w:val="both"/>
        <w:rPr>
          <w:color w:val="000000" w:themeColor="text1"/>
          <w:lang w:val="en-GB"/>
        </w:rPr>
      </w:pPr>
      <w:r w:rsidRPr="001E5747">
        <w:rPr>
          <w:rFonts w:asciiTheme="majorHAnsi" w:hAnsiTheme="majorHAnsi"/>
          <w:sz w:val="21"/>
          <w:szCs w:val="21"/>
          <w:lang w:val="en-GB"/>
        </w:rPr>
        <w:t>Notify</w:t>
      </w:r>
      <w:r w:rsidR="00175AA2" w:rsidRPr="001E5747">
        <w:rPr>
          <w:rFonts w:asciiTheme="majorHAnsi" w:hAnsiTheme="majorHAnsi"/>
          <w:sz w:val="21"/>
          <w:szCs w:val="21"/>
          <w:lang w:val="en-GB"/>
        </w:rPr>
        <w:t xml:space="preserve"> municipalities about the results of the grant assessment;</w:t>
      </w:r>
    </w:p>
    <w:p w14:paraId="4C541CB7" w14:textId="77777777" w:rsidR="00175AA2" w:rsidRPr="001E5747" w:rsidRDefault="00175AA2" w:rsidP="00175AA2">
      <w:pPr>
        <w:pStyle w:val="ListParagraph"/>
        <w:numPr>
          <w:ilvl w:val="1"/>
          <w:numId w:val="9"/>
        </w:numPr>
        <w:tabs>
          <w:tab w:val="left" w:pos="1710"/>
        </w:tabs>
        <w:spacing w:before="20" w:after="0" w:line="264" w:lineRule="auto"/>
        <w:ind w:left="900"/>
        <w:jc w:val="both"/>
        <w:rPr>
          <w:color w:val="000000" w:themeColor="text1"/>
          <w:lang w:val="en-GB"/>
        </w:rPr>
      </w:pPr>
      <w:r w:rsidRPr="001E5747">
        <w:rPr>
          <w:rFonts w:asciiTheme="majorHAnsi" w:hAnsiTheme="majorHAnsi"/>
          <w:sz w:val="21"/>
          <w:szCs w:val="21"/>
          <w:lang w:val="en-GB"/>
        </w:rPr>
        <w:t xml:space="preserve">The grant Commission cannot change the assessment results and </w:t>
      </w:r>
      <w:r w:rsidR="004C6860" w:rsidRPr="001E5747">
        <w:rPr>
          <w:rFonts w:asciiTheme="majorHAnsi" w:hAnsiTheme="majorHAnsi"/>
          <w:sz w:val="21"/>
          <w:szCs w:val="21"/>
          <w:lang w:val="en-GB"/>
        </w:rPr>
        <w:t xml:space="preserve">the amount of the Grant </w:t>
      </w:r>
      <w:r w:rsidRPr="001E5747">
        <w:rPr>
          <w:rFonts w:asciiTheme="majorHAnsi" w:hAnsiTheme="majorHAnsi"/>
          <w:sz w:val="21"/>
          <w:szCs w:val="21"/>
          <w:lang w:val="en-GB"/>
        </w:rPr>
        <w:t xml:space="preserve">without fully applying the assessment process in accordance with the grant rules; </w:t>
      </w:r>
    </w:p>
    <w:p w14:paraId="51DE85CD" w14:textId="77777777" w:rsidR="00175AA2" w:rsidRPr="001E5747" w:rsidRDefault="00175AA2" w:rsidP="00175AA2">
      <w:pPr>
        <w:pStyle w:val="ListParagraph"/>
        <w:numPr>
          <w:ilvl w:val="1"/>
          <w:numId w:val="9"/>
        </w:numPr>
        <w:tabs>
          <w:tab w:val="left" w:pos="1710"/>
        </w:tabs>
        <w:spacing w:before="20" w:after="0" w:line="264" w:lineRule="auto"/>
        <w:ind w:left="900"/>
        <w:jc w:val="both"/>
        <w:rPr>
          <w:color w:val="000000" w:themeColor="text1"/>
          <w:lang w:val="en-GB"/>
        </w:rPr>
      </w:pPr>
      <w:r w:rsidRPr="001E5747">
        <w:rPr>
          <w:rFonts w:asciiTheme="majorHAnsi" w:hAnsiTheme="majorHAnsi"/>
          <w:sz w:val="21"/>
          <w:szCs w:val="21"/>
          <w:lang w:val="en-GB"/>
        </w:rPr>
        <w:t xml:space="preserve">In case of change of the assessment score as a result of the decision on appeal issued by the </w:t>
      </w:r>
      <w:r w:rsidR="00091613" w:rsidRPr="001E5747">
        <w:rPr>
          <w:rFonts w:asciiTheme="majorHAnsi" w:hAnsiTheme="majorHAnsi"/>
          <w:sz w:val="21"/>
          <w:szCs w:val="21"/>
          <w:lang w:val="en-GB"/>
        </w:rPr>
        <w:t>appeal commission</w:t>
      </w:r>
      <w:r w:rsidRPr="001E5747">
        <w:rPr>
          <w:rFonts w:asciiTheme="majorHAnsi" w:hAnsiTheme="majorHAnsi"/>
          <w:sz w:val="21"/>
          <w:szCs w:val="21"/>
          <w:lang w:val="en-GB"/>
        </w:rPr>
        <w:t>, the grant commission, through the technical group, makes changes in the assessment report and notifies the relevant municipality of the final result.</w:t>
      </w:r>
    </w:p>
    <w:p w14:paraId="60BFE3D6" w14:textId="77777777" w:rsidR="00175AA2" w:rsidRPr="001E5747" w:rsidRDefault="00175AA2" w:rsidP="00175AA2">
      <w:pPr>
        <w:rPr>
          <w:rFonts w:asciiTheme="majorHAnsi" w:hAnsiTheme="majorHAnsi" w:cstheme="majorHAnsi"/>
          <w:sz w:val="21"/>
          <w:szCs w:val="21"/>
          <w:lang w:val="en-GB" w:eastAsia="de-CH"/>
        </w:rPr>
      </w:pPr>
    </w:p>
    <w:p w14:paraId="3C9464D4" w14:textId="77777777" w:rsidR="00175AA2" w:rsidRPr="001E5747" w:rsidRDefault="00175AA2" w:rsidP="00175AA2">
      <w:pPr>
        <w:rPr>
          <w:rFonts w:asciiTheme="majorHAnsi" w:hAnsiTheme="majorHAnsi" w:cstheme="majorHAnsi"/>
          <w:sz w:val="21"/>
          <w:szCs w:val="21"/>
          <w:lang w:val="en-GB" w:eastAsia="de-CH"/>
        </w:rPr>
      </w:pPr>
    </w:p>
    <w:p w14:paraId="23ECFBEC" w14:textId="77777777" w:rsidR="00175AA2" w:rsidRPr="001E5747" w:rsidRDefault="00175AA2" w:rsidP="00175AA2">
      <w:pPr>
        <w:rPr>
          <w:rFonts w:asciiTheme="majorHAnsi" w:hAnsiTheme="majorHAnsi" w:cstheme="majorHAnsi"/>
          <w:b/>
          <w:bCs/>
          <w:iCs/>
          <w:sz w:val="21"/>
          <w:szCs w:val="21"/>
          <w:lang w:val="en-GB" w:eastAsia="de-CH"/>
        </w:rPr>
      </w:pPr>
      <w:r w:rsidRPr="001E5747">
        <w:rPr>
          <w:rFonts w:asciiTheme="majorHAnsi" w:hAnsiTheme="majorHAnsi" w:cstheme="majorHAnsi"/>
          <w:b/>
          <w:bCs/>
          <w:iCs/>
          <w:sz w:val="21"/>
          <w:szCs w:val="21"/>
          <w:lang w:val="en-GB" w:eastAsia="de-CH"/>
        </w:rPr>
        <w:t>3. Administration of the Municipal Performance Grant Commission</w:t>
      </w:r>
    </w:p>
    <w:p w14:paraId="55895D95" w14:textId="77777777" w:rsidR="00175AA2" w:rsidRPr="001E5747" w:rsidRDefault="00175AA2" w:rsidP="00175AA2">
      <w:pPr>
        <w:pStyle w:val="ListParagraph"/>
        <w:numPr>
          <w:ilvl w:val="0"/>
          <w:numId w:val="22"/>
        </w:numPr>
        <w:spacing w:after="0" w:line="264" w:lineRule="auto"/>
        <w:jc w:val="both"/>
        <w:rPr>
          <w:rFonts w:asciiTheme="majorHAnsi" w:hAnsiTheme="majorHAnsi" w:cstheme="majorHAnsi"/>
          <w:sz w:val="21"/>
          <w:szCs w:val="21"/>
          <w:lang w:val="en-GB" w:eastAsia="de-CH"/>
        </w:rPr>
      </w:pPr>
      <w:r w:rsidRPr="001E5747">
        <w:rPr>
          <w:rFonts w:asciiTheme="majorHAnsi" w:hAnsiTheme="majorHAnsi" w:cstheme="majorHAnsi"/>
          <w:sz w:val="21"/>
          <w:szCs w:val="21"/>
          <w:lang w:val="en-GB" w:eastAsia="de-CH"/>
        </w:rPr>
        <w:t xml:space="preserve">It is preferable for members of the Municipal Performance Grant Commission to understand and speak English. </w:t>
      </w:r>
    </w:p>
    <w:p w14:paraId="11D7F699" w14:textId="77777777" w:rsidR="00175AA2" w:rsidRPr="001E5747" w:rsidRDefault="00175AA2" w:rsidP="00175AA2">
      <w:pPr>
        <w:pStyle w:val="ListParagraph"/>
        <w:numPr>
          <w:ilvl w:val="0"/>
          <w:numId w:val="22"/>
        </w:numPr>
        <w:spacing w:after="0" w:line="264" w:lineRule="auto"/>
        <w:jc w:val="both"/>
        <w:rPr>
          <w:rFonts w:asciiTheme="majorHAnsi" w:hAnsiTheme="majorHAnsi" w:cstheme="majorHAnsi"/>
          <w:sz w:val="21"/>
          <w:szCs w:val="21"/>
          <w:lang w:val="en-GB" w:eastAsia="de-CH"/>
        </w:rPr>
      </w:pPr>
      <w:r w:rsidRPr="001E5747">
        <w:rPr>
          <w:rFonts w:asciiTheme="majorHAnsi" w:hAnsiTheme="majorHAnsi" w:cstheme="majorHAnsi"/>
          <w:sz w:val="21"/>
          <w:szCs w:val="21"/>
          <w:lang w:val="en-GB" w:eastAsia="de-CH"/>
        </w:rPr>
        <w:t xml:space="preserve">The Chairperson of the MPG appoints the secretariat for the technical administration of the work of the commission, ensuring the preparation of meeting agendas, meeting announcements, minutes, working documents and other procedural issues. </w:t>
      </w:r>
    </w:p>
    <w:p w14:paraId="251BFA6A" w14:textId="77777777" w:rsidR="00175AA2" w:rsidRPr="001E5747" w:rsidRDefault="00175AA2" w:rsidP="00175AA2">
      <w:pPr>
        <w:pStyle w:val="ListParagraph"/>
        <w:numPr>
          <w:ilvl w:val="0"/>
          <w:numId w:val="22"/>
        </w:numPr>
        <w:spacing w:after="0" w:line="264" w:lineRule="auto"/>
        <w:jc w:val="both"/>
        <w:rPr>
          <w:rFonts w:asciiTheme="majorHAnsi" w:hAnsiTheme="majorHAnsi" w:cstheme="majorHAnsi"/>
          <w:sz w:val="21"/>
          <w:szCs w:val="21"/>
          <w:lang w:val="en-GB" w:eastAsia="de-CH"/>
        </w:rPr>
      </w:pPr>
      <w:r w:rsidRPr="001E5747">
        <w:rPr>
          <w:rFonts w:asciiTheme="majorHAnsi" w:hAnsiTheme="majorHAnsi" w:cstheme="majorHAnsi"/>
          <w:sz w:val="21"/>
          <w:szCs w:val="21"/>
          <w:lang w:val="en-GB" w:eastAsia="de-CH"/>
        </w:rPr>
        <w:t xml:space="preserve">The agenda and relevant documents must always be attached to the </w:t>
      </w:r>
      <w:r w:rsidR="0019729C">
        <w:rPr>
          <w:rFonts w:asciiTheme="majorHAnsi" w:hAnsiTheme="majorHAnsi" w:cstheme="majorHAnsi"/>
          <w:sz w:val="21"/>
          <w:szCs w:val="21"/>
          <w:lang w:val="en-GB" w:eastAsia="de-CH"/>
        </w:rPr>
        <w:t xml:space="preserve">meeting </w:t>
      </w:r>
      <w:r w:rsidRPr="001E5747">
        <w:rPr>
          <w:rFonts w:asciiTheme="majorHAnsi" w:hAnsiTheme="majorHAnsi" w:cstheme="majorHAnsi"/>
          <w:sz w:val="21"/>
          <w:szCs w:val="21"/>
          <w:lang w:val="en-GB" w:eastAsia="de-CH"/>
        </w:rPr>
        <w:t>notices.</w:t>
      </w:r>
    </w:p>
    <w:p w14:paraId="3D627C24" w14:textId="77777777" w:rsidR="00175AA2" w:rsidRPr="001E5747" w:rsidRDefault="00175AA2" w:rsidP="00175AA2">
      <w:pPr>
        <w:pStyle w:val="ListParagraph"/>
        <w:numPr>
          <w:ilvl w:val="0"/>
          <w:numId w:val="22"/>
        </w:numPr>
        <w:spacing w:after="0" w:line="264" w:lineRule="auto"/>
        <w:jc w:val="both"/>
        <w:rPr>
          <w:rFonts w:asciiTheme="majorHAnsi" w:hAnsiTheme="majorHAnsi" w:cstheme="majorHAnsi"/>
          <w:sz w:val="21"/>
          <w:szCs w:val="21"/>
          <w:lang w:val="en-GB" w:eastAsia="de-CH"/>
        </w:rPr>
      </w:pPr>
      <w:r w:rsidRPr="001E5747">
        <w:rPr>
          <w:rFonts w:asciiTheme="majorHAnsi" w:hAnsiTheme="majorHAnsi" w:cstheme="majorHAnsi"/>
          <w:sz w:val="21"/>
          <w:szCs w:val="21"/>
          <w:lang w:val="en-GB" w:eastAsia="de-CH"/>
        </w:rPr>
        <w:t>Minutes are prepared for each meeting and approved by the Municipal Performance Grant Commission.</w:t>
      </w:r>
    </w:p>
    <w:p w14:paraId="06413D6F" w14:textId="77777777" w:rsidR="00175AA2" w:rsidRPr="001E5747" w:rsidRDefault="00175AA2" w:rsidP="00175AA2">
      <w:pPr>
        <w:pStyle w:val="ListParagraph"/>
        <w:numPr>
          <w:ilvl w:val="0"/>
          <w:numId w:val="22"/>
        </w:numPr>
        <w:spacing w:after="0" w:line="264" w:lineRule="auto"/>
        <w:jc w:val="both"/>
        <w:rPr>
          <w:rFonts w:asciiTheme="majorHAnsi" w:hAnsiTheme="majorHAnsi" w:cstheme="majorHAnsi"/>
          <w:sz w:val="21"/>
          <w:szCs w:val="21"/>
          <w:lang w:val="en-GB" w:eastAsia="de-CH"/>
        </w:rPr>
      </w:pPr>
      <w:r w:rsidRPr="001E5747">
        <w:rPr>
          <w:rFonts w:asciiTheme="majorHAnsi" w:hAnsiTheme="majorHAnsi" w:cstheme="majorHAnsi"/>
          <w:sz w:val="21"/>
          <w:szCs w:val="21"/>
          <w:lang w:val="en-GB" w:eastAsia="de-CH"/>
        </w:rPr>
        <w:t xml:space="preserve">Decisions of the Municipal Performance Grant Commission are taken by a majority of votes. </w:t>
      </w:r>
    </w:p>
    <w:p w14:paraId="0FDE8253" w14:textId="77777777" w:rsidR="00175AA2" w:rsidRPr="001E5747" w:rsidRDefault="00175AA2" w:rsidP="00175AA2">
      <w:pPr>
        <w:pStyle w:val="ListParagraph"/>
        <w:numPr>
          <w:ilvl w:val="0"/>
          <w:numId w:val="22"/>
        </w:numPr>
        <w:spacing w:line="264" w:lineRule="auto"/>
        <w:jc w:val="both"/>
        <w:rPr>
          <w:rFonts w:asciiTheme="majorHAnsi" w:hAnsiTheme="majorHAnsi" w:cstheme="majorHAnsi"/>
          <w:sz w:val="21"/>
          <w:szCs w:val="21"/>
          <w:lang w:val="en-GB" w:eastAsia="de-CH"/>
        </w:rPr>
      </w:pPr>
      <w:r w:rsidRPr="001E5747">
        <w:rPr>
          <w:rFonts w:asciiTheme="majorHAnsi" w:hAnsiTheme="majorHAnsi" w:cstheme="majorHAnsi"/>
          <w:sz w:val="21"/>
          <w:szCs w:val="21"/>
          <w:lang w:val="en-GB" w:eastAsia="de-CH"/>
        </w:rPr>
        <w:t xml:space="preserve">Any member of the Municipal Performance Grant Commission may request the convening of further meetings in coordination with the Chairperson. </w:t>
      </w:r>
    </w:p>
    <w:p w14:paraId="663A6A10" w14:textId="77777777" w:rsidR="00175AA2" w:rsidRPr="001E5747" w:rsidRDefault="00175AA2" w:rsidP="00175AA2">
      <w:pPr>
        <w:pBdr>
          <w:bottom w:val="single" w:sz="6" w:space="1" w:color="auto"/>
        </w:pBdr>
        <w:rPr>
          <w:rFonts w:ascii="Arial" w:hAnsi="Arial" w:cs="Arial"/>
          <w:b/>
          <w:color w:val="4F81BD" w:themeColor="accent1"/>
          <w:sz w:val="28"/>
          <w:szCs w:val="28"/>
          <w:lang w:val="en-GB"/>
        </w:rPr>
        <w:sectPr w:rsidR="00175AA2" w:rsidRPr="001E5747" w:rsidSect="00A25A8C">
          <w:footerReference w:type="default" r:id="rId21"/>
          <w:pgSz w:w="11909" w:h="16834" w:code="9"/>
          <w:pgMar w:top="1440" w:right="1800" w:bottom="1440" w:left="1080" w:header="1296" w:footer="1051" w:gutter="0"/>
          <w:cols w:space="720"/>
          <w:docGrid w:linePitch="360"/>
        </w:sectPr>
      </w:pPr>
    </w:p>
    <w:p w14:paraId="6A03E5B1" w14:textId="77777777" w:rsidR="00175AA2" w:rsidRPr="001E5747" w:rsidRDefault="00175AA2" w:rsidP="00175AA2">
      <w:pPr>
        <w:rPr>
          <w:rFonts w:ascii="Calibri" w:eastAsia="Calibri" w:hAnsi="Calibri"/>
          <w:b/>
          <w:sz w:val="22"/>
          <w:szCs w:val="22"/>
          <w:u w:val="single"/>
          <w:lang w:val="en-GB"/>
        </w:rPr>
      </w:pPr>
    </w:p>
    <w:p w14:paraId="328F9723" w14:textId="77777777" w:rsidR="00175AA2" w:rsidRPr="001E5747" w:rsidRDefault="00175AA2" w:rsidP="00175AA2">
      <w:pPr>
        <w:pStyle w:val="Heading1"/>
        <w:shd w:val="clear" w:color="auto" w:fill="D55635"/>
        <w:tabs>
          <w:tab w:val="left" w:pos="540"/>
        </w:tabs>
        <w:rPr>
          <w:rFonts w:asciiTheme="majorHAnsi" w:hAnsiTheme="majorHAnsi"/>
          <w:color w:val="FFFFFF" w:themeColor="background1"/>
          <w:sz w:val="32"/>
          <w:szCs w:val="32"/>
          <w:lang w:val="en-GB"/>
        </w:rPr>
      </w:pPr>
      <w:bookmarkStart w:id="80" w:name="_Toc61062547"/>
      <w:r w:rsidRPr="001E5747">
        <w:rPr>
          <w:rFonts w:asciiTheme="majorHAnsi" w:hAnsiTheme="majorHAnsi"/>
          <w:color w:val="FFFFFF" w:themeColor="background1"/>
          <w:sz w:val="32"/>
          <w:szCs w:val="32"/>
          <w:lang w:val="en-GB"/>
        </w:rPr>
        <w:t xml:space="preserve">Annex </w:t>
      </w:r>
      <w:r w:rsidR="00A92637">
        <w:rPr>
          <w:rFonts w:asciiTheme="majorHAnsi" w:hAnsiTheme="majorHAnsi"/>
          <w:color w:val="FFFFFF" w:themeColor="background1"/>
          <w:sz w:val="32"/>
          <w:szCs w:val="32"/>
          <w:lang w:val="en-GB"/>
        </w:rPr>
        <w:t>6</w:t>
      </w:r>
      <w:r w:rsidRPr="001E5747">
        <w:rPr>
          <w:rFonts w:asciiTheme="majorHAnsi" w:hAnsiTheme="majorHAnsi"/>
          <w:color w:val="FFFFFF" w:themeColor="background1"/>
          <w:sz w:val="32"/>
          <w:szCs w:val="32"/>
          <w:lang w:val="en-GB"/>
        </w:rPr>
        <w:t>: Terms of reference - Technical group</w:t>
      </w:r>
      <w:bookmarkEnd w:id="80"/>
    </w:p>
    <w:p w14:paraId="49A5D967" w14:textId="77777777" w:rsidR="00175AA2" w:rsidRPr="001E5747" w:rsidRDefault="00175AA2" w:rsidP="00175AA2">
      <w:pPr>
        <w:bidi/>
        <w:rPr>
          <w:lang w:val="en-GB"/>
        </w:rPr>
      </w:pPr>
    </w:p>
    <w:p w14:paraId="7A922D64" w14:textId="77777777" w:rsidR="00175AA2" w:rsidRPr="001E5747" w:rsidRDefault="00175AA2" w:rsidP="00175AA2">
      <w:pPr>
        <w:bidi/>
        <w:rPr>
          <w:lang w:val="en-GB"/>
        </w:rPr>
      </w:pPr>
      <w:r w:rsidRPr="0028141A">
        <w:rPr>
          <w:rFonts w:ascii="Cambria" w:hAnsi="Cambria"/>
          <w:b/>
          <w:noProof/>
          <w:sz w:val="22"/>
          <w:lang w:val="en-US"/>
        </w:rPr>
        <w:drawing>
          <wp:anchor distT="0" distB="0" distL="114300" distR="114300" simplePos="0" relativeHeight="251657216" behindDoc="0" locked="0" layoutInCell="1" allowOverlap="1" wp14:anchorId="0191A15D" wp14:editId="4AE82DF9">
            <wp:simplePos x="0" y="0"/>
            <wp:positionH relativeFrom="column">
              <wp:posOffset>-73025</wp:posOffset>
            </wp:positionH>
            <wp:positionV relativeFrom="paragraph">
              <wp:posOffset>177165</wp:posOffset>
            </wp:positionV>
            <wp:extent cx="813435" cy="801370"/>
            <wp:effectExtent l="0" t="0" r="0" b="11430"/>
            <wp:wrapSquare wrapText="bothSides"/>
            <wp:docPr id="13" name="Picture 13" descr="logo Gov Koso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1" name="Picture 2" descr="logo Gov Kosovo.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3435" cy="801370"/>
                    </a:xfrm>
                    <a:prstGeom prst="rect">
                      <a:avLst/>
                    </a:prstGeom>
                    <a:noFill/>
                    <a:ln>
                      <a:noFill/>
                    </a:ln>
                    <a:extLst>
                      <a:ext uri="{FAA26D3D-D897-4be2-8F04-BA451C77F1D7}">
                        <ma14:placeholderFlag xmlns:mv="urn:schemas-microsoft-com:mac:vml" xmlns:mo="http://schemas.microsoft.com/office/mac/office/2008/main"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
                      </a:ext>
                    </a:extLst>
                  </pic:spPr>
                </pic:pic>
              </a:graphicData>
            </a:graphic>
          </wp:anchor>
        </w:drawing>
      </w:r>
    </w:p>
    <w:p w14:paraId="54E44186" w14:textId="77777777" w:rsidR="00175AA2" w:rsidRPr="000C3EC3" w:rsidRDefault="00175AA2" w:rsidP="00175AA2">
      <w:pPr>
        <w:rPr>
          <w:rFonts w:asciiTheme="majorHAnsi" w:hAnsiTheme="majorHAnsi"/>
          <w:b/>
          <w:sz w:val="16"/>
          <w:lang w:val="sv-SE"/>
        </w:rPr>
      </w:pPr>
      <w:r w:rsidRPr="000C3EC3">
        <w:rPr>
          <w:rFonts w:asciiTheme="majorHAnsi" w:hAnsiTheme="majorHAnsi"/>
          <w:b/>
          <w:sz w:val="16"/>
          <w:lang w:val="sv-SE"/>
        </w:rPr>
        <w:t>Republika e Kosovës</w:t>
      </w:r>
    </w:p>
    <w:p w14:paraId="53B2969B" w14:textId="77777777" w:rsidR="00175AA2" w:rsidRPr="000C3EC3" w:rsidRDefault="00175AA2" w:rsidP="00175AA2">
      <w:pPr>
        <w:rPr>
          <w:rFonts w:asciiTheme="majorHAnsi" w:hAnsiTheme="majorHAnsi"/>
          <w:b/>
          <w:sz w:val="16"/>
          <w:lang w:val="sv-SE"/>
        </w:rPr>
      </w:pPr>
      <w:r w:rsidRPr="000C3EC3">
        <w:rPr>
          <w:rFonts w:asciiTheme="majorHAnsi" w:hAnsiTheme="majorHAnsi"/>
          <w:b/>
          <w:sz w:val="16"/>
          <w:lang w:val="sv-SE"/>
        </w:rPr>
        <w:t>Republika Kosova - Republic of Kosovo</w:t>
      </w:r>
    </w:p>
    <w:p w14:paraId="0548ABDA" w14:textId="77777777" w:rsidR="00175AA2" w:rsidRPr="001E5747" w:rsidRDefault="00175AA2" w:rsidP="00175AA2">
      <w:pPr>
        <w:rPr>
          <w:rFonts w:asciiTheme="majorHAnsi" w:hAnsiTheme="majorHAnsi" w:cs="Book Antiqua"/>
          <w:b/>
          <w:bCs/>
          <w:iCs/>
          <w:sz w:val="16"/>
          <w:szCs w:val="16"/>
          <w:lang w:val="en-GB" w:eastAsia="de-CH"/>
        </w:rPr>
      </w:pPr>
      <w:r w:rsidRPr="001E5747">
        <w:rPr>
          <w:rFonts w:asciiTheme="majorHAnsi" w:hAnsiTheme="majorHAnsi" w:cs="Book Antiqua"/>
          <w:b/>
          <w:bCs/>
          <w:iCs/>
          <w:sz w:val="16"/>
          <w:szCs w:val="16"/>
          <w:lang w:val="en-GB" w:eastAsia="de-CH"/>
        </w:rPr>
        <w:t xml:space="preserve">Qeveria - Vlada - Government </w:t>
      </w:r>
    </w:p>
    <w:p w14:paraId="4FF5811E" w14:textId="77777777" w:rsidR="00175AA2" w:rsidRPr="001E5747" w:rsidRDefault="00175AA2" w:rsidP="00175AA2">
      <w:pPr>
        <w:rPr>
          <w:rFonts w:asciiTheme="majorHAnsi" w:hAnsiTheme="majorHAnsi" w:cs="Book Antiqua"/>
          <w:b/>
          <w:bCs/>
          <w:iCs/>
          <w:sz w:val="16"/>
          <w:szCs w:val="16"/>
          <w:lang w:val="en-GB" w:eastAsia="de-CH"/>
        </w:rPr>
      </w:pPr>
    </w:p>
    <w:p w14:paraId="18673B36" w14:textId="77777777" w:rsidR="00D25AD4" w:rsidRPr="001E5747" w:rsidRDefault="00D25AD4" w:rsidP="00D25AD4">
      <w:pPr>
        <w:rPr>
          <w:rFonts w:asciiTheme="majorHAnsi" w:hAnsiTheme="majorHAnsi"/>
          <w:sz w:val="16"/>
          <w:szCs w:val="16"/>
          <w:lang w:val="en-GB" w:eastAsia="de-CH"/>
        </w:rPr>
      </w:pPr>
      <w:r w:rsidRPr="001E5747">
        <w:rPr>
          <w:rFonts w:asciiTheme="majorHAnsi" w:hAnsiTheme="majorHAnsi"/>
          <w:sz w:val="16"/>
          <w:szCs w:val="16"/>
          <w:lang w:val="en-GB" w:eastAsia="de-CH"/>
        </w:rPr>
        <w:t xml:space="preserve">Ministria e </w:t>
      </w:r>
      <w:r>
        <w:rPr>
          <w:rFonts w:asciiTheme="majorHAnsi" w:hAnsiTheme="majorHAnsi"/>
          <w:sz w:val="16"/>
          <w:szCs w:val="16"/>
          <w:lang w:val="en-GB" w:eastAsia="de-CH"/>
        </w:rPr>
        <w:t xml:space="preserve">Administrimit të </w:t>
      </w:r>
      <w:r w:rsidRPr="001E5747">
        <w:rPr>
          <w:rFonts w:asciiTheme="majorHAnsi" w:hAnsiTheme="majorHAnsi"/>
          <w:sz w:val="16"/>
          <w:szCs w:val="16"/>
          <w:lang w:val="en-GB" w:eastAsia="de-CH"/>
        </w:rPr>
        <w:t>Pushtetit Lokal</w:t>
      </w:r>
    </w:p>
    <w:p w14:paraId="4B573BE4" w14:textId="77777777" w:rsidR="00D25AD4" w:rsidRPr="001E5747" w:rsidRDefault="00D25AD4" w:rsidP="00D25AD4">
      <w:pPr>
        <w:rPr>
          <w:rFonts w:asciiTheme="majorHAnsi" w:hAnsiTheme="majorHAnsi"/>
          <w:sz w:val="16"/>
          <w:szCs w:val="16"/>
          <w:lang w:val="en-GB" w:eastAsia="de-CH"/>
        </w:rPr>
      </w:pPr>
      <w:r w:rsidRPr="001E5747">
        <w:rPr>
          <w:rFonts w:asciiTheme="majorHAnsi" w:hAnsiTheme="majorHAnsi"/>
          <w:sz w:val="16"/>
          <w:szCs w:val="16"/>
          <w:lang w:val="en-GB" w:eastAsia="de-CH"/>
        </w:rPr>
        <w:t>Ministarstvo</w:t>
      </w:r>
      <w:r>
        <w:rPr>
          <w:rFonts w:asciiTheme="majorHAnsi" w:hAnsiTheme="majorHAnsi"/>
          <w:sz w:val="16"/>
          <w:szCs w:val="16"/>
          <w:lang w:val="en-GB" w:eastAsia="de-CH"/>
        </w:rPr>
        <w:t xml:space="preserve"> Administracije</w:t>
      </w:r>
      <w:r w:rsidRPr="001E5747">
        <w:rPr>
          <w:rFonts w:asciiTheme="majorHAnsi" w:hAnsiTheme="majorHAnsi"/>
          <w:sz w:val="16"/>
          <w:szCs w:val="16"/>
          <w:lang w:val="en-GB" w:eastAsia="de-CH"/>
        </w:rPr>
        <w:t xml:space="preserve"> Lokalne Samouprave</w:t>
      </w:r>
    </w:p>
    <w:p w14:paraId="6CA17949" w14:textId="77777777" w:rsidR="00D25AD4" w:rsidRPr="001E5747" w:rsidRDefault="00D25AD4" w:rsidP="00D25AD4">
      <w:pPr>
        <w:rPr>
          <w:rFonts w:asciiTheme="majorHAnsi" w:hAnsiTheme="majorHAnsi" w:cs="Arial"/>
          <w:sz w:val="16"/>
          <w:szCs w:val="16"/>
          <w:lang w:val="en-GB" w:eastAsia="de-CH"/>
        </w:rPr>
      </w:pPr>
      <w:r w:rsidRPr="001E5747">
        <w:rPr>
          <w:rFonts w:asciiTheme="majorHAnsi" w:hAnsiTheme="majorHAnsi"/>
          <w:sz w:val="16"/>
          <w:szCs w:val="16"/>
          <w:lang w:val="en-GB" w:eastAsia="de-CH"/>
        </w:rPr>
        <w:t xml:space="preserve">Ministry of Local Government </w:t>
      </w:r>
      <w:r>
        <w:rPr>
          <w:rFonts w:asciiTheme="majorHAnsi" w:hAnsiTheme="majorHAnsi"/>
          <w:sz w:val="16"/>
          <w:szCs w:val="16"/>
          <w:lang w:val="en-GB" w:eastAsia="de-CH"/>
        </w:rPr>
        <w:t>Administration</w:t>
      </w:r>
    </w:p>
    <w:p w14:paraId="09B6CF19" w14:textId="77777777" w:rsidR="00175AA2" w:rsidRPr="001E5747" w:rsidRDefault="00175AA2" w:rsidP="00175AA2">
      <w:pPr>
        <w:rPr>
          <w:rFonts w:ascii="Cambria" w:hAnsi="Cambria" w:cs="Arial"/>
          <w:sz w:val="22"/>
          <w:szCs w:val="22"/>
          <w:lang w:val="en-GB" w:eastAsia="de-CH"/>
        </w:rPr>
      </w:pPr>
    </w:p>
    <w:p w14:paraId="4533A303" w14:textId="77777777" w:rsidR="00175AA2" w:rsidRPr="001E5747" w:rsidRDefault="00175AA2" w:rsidP="00175AA2">
      <w:pPr>
        <w:rPr>
          <w:rFonts w:ascii="Cambria" w:hAnsi="Cambria" w:cs="Arial"/>
          <w:sz w:val="22"/>
          <w:szCs w:val="22"/>
          <w:lang w:val="en-GB" w:eastAsia="de-CH"/>
        </w:rPr>
      </w:pPr>
    </w:p>
    <w:p w14:paraId="69017504" w14:textId="77777777" w:rsidR="00175AA2" w:rsidRPr="001E5747" w:rsidRDefault="00175AA2" w:rsidP="00175AA2">
      <w:pPr>
        <w:rPr>
          <w:rFonts w:ascii="Calibri" w:hAnsi="Calibri" w:cs="Arial"/>
          <w:b/>
          <w:sz w:val="22"/>
          <w:szCs w:val="22"/>
          <w:lang w:val="en-GB" w:eastAsia="de-CH"/>
        </w:rPr>
      </w:pPr>
    </w:p>
    <w:p w14:paraId="77F30CDE" w14:textId="77777777" w:rsidR="00175AA2" w:rsidRPr="001E5747" w:rsidRDefault="00175AA2" w:rsidP="00175AA2">
      <w:pPr>
        <w:rPr>
          <w:rFonts w:ascii="Calibri" w:hAnsi="Calibri" w:cs="Arial"/>
          <w:sz w:val="22"/>
          <w:szCs w:val="22"/>
          <w:lang w:val="en-GB" w:eastAsia="de-CH"/>
        </w:rPr>
      </w:pPr>
    </w:p>
    <w:p w14:paraId="42418880" w14:textId="77777777" w:rsidR="00175AA2" w:rsidRPr="001E5747" w:rsidRDefault="00175AA2" w:rsidP="00175AA2">
      <w:pPr>
        <w:rPr>
          <w:rFonts w:ascii="Calibri" w:hAnsi="Calibri" w:cs="Arial"/>
          <w:sz w:val="22"/>
          <w:szCs w:val="22"/>
          <w:lang w:val="en-GB" w:eastAsia="de-CH"/>
        </w:rPr>
      </w:pPr>
    </w:p>
    <w:p w14:paraId="671E670C" w14:textId="77777777" w:rsidR="00175AA2" w:rsidRPr="001E5747" w:rsidRDefault="00175AA2" w:rsidP="00175AA2">
      <w:pPr>
        <w:rPr>
          <w:rFonts w:ascii="Calibri" w:hAnsi="Calibri" w:cs="Arial"/>
          <w:sz w:val="22"/>
          <w:szCs w:val="22"/>
          <w:lang w:val="en-GB" w:eastAsia="de-CH"/>
        </w:rPr>
      </w:pPr>
    </w:p>
    <w:p w14:paraId="14641B51" w14:textId="77777777" w:rsidR="00175AA2" w:rsidRPr="001E5747" w:rsidRDefault="00175AA2" w:rsidP="00175AA2">
      <w:pPr>
        <w:rPr>
          <w:rFonts w:ascii="Calibri" w:hAnsi="Calibri" w:cs="Arial"/>
          <w:sz w:val="22"/>
          <w:szCs w:val="22"/>
          <w:lang w:val="en-GB" w:eastAsia="de-CH"/>
        </w:rPr>
      </w:pPr>
    </w:p>
    <w:p w14:paraId="5F78B1BD" w14:textId="77777777" w:rsidR="00175AA2" w:rsidRPr="001E5747" w:rsidRDefault="00175AA2" w:rsidP="00175AA2">
      <w:pPr>
        <w:rPr>
          <w:rFonts w:ascii="Calibri" w:hAnsi="Calibri" w:cs="Arial"/>
          <w:sz w:val="22"/>
          <w:szCs w:val="22"/>
          <w:lang w:val="en-GB" w:eastAsia="de-CH"/>
        </w:rPr>
      </w:pPr>
    </w:p>
    <w:p w14:paraId="34478C28" w14:textId="77777777" w:rsidR="00175AA2" w:rsidRPr="001E5747" w:rsidRDefault="00175AA2" w:rsidP="00175AA2">
      <w:pPr>
        <w:rPr>
          <w:rFonts w:ascii="Calibri" w:hAnsi="Calibri" w:cs="Arial"/>
          <w:sz w:val="22"/>
          <w:szCs w:val="22"/>
          <w:lang w:val="en-GB" w:eastAsia="de-CH"/>
        </w:rPr>
      </w:pPr>
    </w:p>
    <w:p w14:paraId="37D8B4F8" w14:textId="77777777" w:rsidR="00175AA2" w:rsidRPr="001E5747" w:rsidRDefault="00175AA2" w:rsidP="00175AA2">
      <w:pPr>
        <w:rPr>
          <w:rFonts w:ascii="Calibri" w:hAnsi="Calibri" w:cs="Arial"/>
          <w:sz w:val="22"/>
          <w:szCs w:val="22"/>
          <w:lang w:val="en-GB" w:eastAsia="de-CH"/>
        </w:rPr>
      </w:pPr>
    </w:p>
    <w:p w14:paraId="0FA37127" w14:textId="77777777" w:rsidR="00175AA2" w:rsidRPr="001E5747" w:rsidRDefault="00175AA2" w:rsidP="00175AA2">
      <w:pPr>
        <w:rPr>
          <w:rFonts w:ascii="Calibri" w:hAnsi="Calibri" w:cs="Arial"/>
          <w:sz w:val="22"/>
          <w:szCs w:val="22"/>
          <w:lang w:val="en-GB" w:eastAsia="de-CH"/>
        </w:rPr>
      </w:pPr>
    </w:p>
    <w:p w14:paraId="0C389D98" w14:textId="77777777" w:rsidR="00175AA2" w:rsidRPr="001E5747" w:rsidRDefault="00175AA2" w:rsidP="00175AA2">
      <w:pPr>
        <w:rPr>
          <w:rFonts w:ascii="Calibri" w:hAnsi="Calibri" w:cs="Arial"/>
          <w:b/>
          <w:sz w:val="22"/>
          <w:szCs w:val="22"/>
          <w:lang w:val="en-GB" w:eastAsia="de-CH"/>
        </w:rPr>
      </w:pPr>
    </w:p>
    <w:p w14:paraId="73027B13" w14:textId="77777777" w:rsidR="00175AA2" w:rsidRPr="001E5747" w:rsidRDefault="00175AA2" w:rsidP="00175AA2">
      <w:pPr>
        <w:rPr>
          <w:rFonts w:ascii="Calibri" w:hAnsi="Calibri" w:cs="Arial"/>
          <w:b/>
          <w:sz w:val="32"/>
          <w:szCs w:val="32"/>
          <w:u w:val="single"/>
          <w:lang w:val="en-GB" w:eastAsia="de-CH"/>
        </w:rPr>
      </w:pPr>
      <w:r w:rsidRPr="001E5747">
        <w:rPr>
          <w:rFonts w:ascii="Calibri" w:hAnsi="Calibri" w:cs="Arial"/>
          <w:b/>
          <w:sz w:val="32"/>
          <w:szCs w:val="32"/>
          <w:u w:val="single"/>
          <w:lang w:val="en-GB" w:eastAsia="de-CH"/>
        </w:rPr>
        <w:t>Terms of reference</w:t>
      </w:r>
    </w:p>
    <w:p w14:paraId="41388435" w14:textId="77777777" w:rsidR="00175AA2" w:rsidRPr="001E5747" w:rsidRDefault="00175AA2" w:rsidP="00175AA2">
      <w:pPr>
        <w:rPr>
          <w:rFonts w:ascii="Calibri" w:hAnsi="Calibri" w:cs="Arial"/>
          <w:b/>
          <w:sz w:val="32"/>
          <w:szCs w:val="32"/>
          <w:u w:val="single"/>
          <w:lang w:val="en-GB" w:eastAsia="de-CH"/>
        </w:rPr>
      </w:pPr>
      <w:r w:rsidRPr="001E5747">
        <w:rPr>
          <w:rFonts w:ascii="Calibri" w:hAnsi="Calibri" w:cs="Arial"/>
          <w:b/>
          <w:sz w:val="32"/>
          <w:szCs w:val="32"/>
          <w:u w:val="single"/>
          <w:lang w:val="en-GB" w:eastAsia="de-CH"/>
        </w:rPr>
        <w:t>for</w:t>
      </w:r>
    </w:p>
    <w:p w14:paraId="3034CC48" w14:textId="77777777" w:rsidR="00175AA2" w:rsidRPr="001E5747" w:rsidRDefault="00175AA2" w:rsidP="00175AA2">
      <w:pPr>
        <w:rPr>
          <w:rFonts w:ascii="Calibri" w:hAnsi="Calibri" w:cs="Arial"/>
          <w:b/>
          <w:sz w:val="32"/>
          <w:szCs w:val="32"/>
          <w:u w:val="single"/>
          <w:lang w:val="en-GB" w:eastAsia="de-CH"/>
        </w:rPr>
      </w:pPr>
      <w:r w:rsidRPr="001E5747">
        <w:rPr>
          <w:rFonts w:ascii="Calibri" w:hAnsi="Calibri" w:cs="Arial"/>
          <w:b/>
          <w:sz w:val="32"/>
          <w:szCs w:val="32"/>
          <w:u w:val="single"/>
          <w:lang w:val="en-GB" w:eastAsia="de-CH"/>
        </w:rPr>
        <w:t>the Technical Group (TG)</w:t>
      </w:r>
    </w:p>
    <w:p w14:paraId="748DB6A0" w14:textId="77777777" w:rsidR="00175AA2" w:rsidRPr="001E5747" w:rsidRDefault="00175AA2" w:rsidP="00175AA2">
      <w:pPr>
        <w:rPr>
          <w:rFonts w:ascii="Calibri" w:hAnsi="Calibri" w:cs="Arial"/>
          <w:b/>
          <w:sz w:val="32"/>
          <w:szCs w:val="32"/>
          <w:lang w:val="en-GB" w:eastAsia="de-CH"/>
        </w:rPr>
      </w:pPr>
    </w:p>
    <w:p w14:paraId="7BA41B79" w14:textId="77777777" w:rsidR="00175AA2" w:rsidRPr="001E5747" w:rsidRDefault="00175AA2" w:rsidP="00175AA2">
      <w:pPr>
        <w:rPr>
          <w:rFonts w:ascii="Calibri" w:hAnsi="Calibri" w:cs="Arial"/>
          <w:b/>
          <w:sz w:val="32"/>
          <w:szCs w:val="32"/>
          <w:lang w:val="en-GB" w:eastAsia="de-CH"/>
        </w:rPr>
      </w:pPr>
    </w:p>
    <w:p w14:paraId="61BEDAD4" w14:textId="77777777" w:rsidR="00175AA2" w:rsidRPr="001E5747" w:rsidRDefault="00175AA2" w:rsidP="00175AA2">
      <w:pPr>
        <w:rPr>
          <w:rFonts w:ascii="Calibri" w:hAnsi="Calibri" w:cs="Arial"/>
          <w:b/>
          <w:sz w:val="32"/>
          <w:szCs w:val="32"/>
          <w:lang w:val="en-GB" w:eastAsia="de-CH"/>
        </w:rPr>
      </w:pPr>
    </w:p>
    <w:p w14:paraId="71DDEA2D" w14:textId="77777777" w:rsidR="00175AA2" w:rsidRPr="001E5747" w:rsidRDefault="00175AA2" w:rsidP="00175AA2">
      <w:pPr>
        <w:rPr>
          <w:rFonts w:ascii="Calibri" w:hAnsi="Calibri" w:cs="Arial"/>
          <w:b/>
          <w:sz w:val="32"/>
          <w:szCs w:val="32"/>
          <w:lang w:val="en-GB" w:eastAsia="de-CH"/>
        </w:rPr>
      </w:pPr>
    </w:p>
    <w:p w14:paraId="696DC784" w14:textId="77777777" w:rsidR="00175AA2" w:rsidRPr="001E5747" w:rsidRDefault="00175AA2" w:rsidP="00175AA2">
      <w:pPr>
        <w:rPr>
          <w:rFonts w:ascii="Calibri" w:hAnsi="Calibri" w:cs="Arial"/>
          <w:sz w:val="28"/>
          <w:szCs w:val="28"/>
          <w:lang w:val="en-GB" w:eastAsia="de-CH"/>
        </w:rPr>
      </w:pPr>
    </w:p>
    <w:p w14:paraId="338C06DE" w14:textId="77777777" w:rsidR="00175AA2" w:rsidRPr="001E5747" w:rsidRDefault="00175AA2" w:rsidP="00175AA2">
      <w:pPr>
        <w:rPr>
          <w:rFonts w:ascii="Calibri" w:hAnsi="Calibri" w:cs="Arial"/>
          <w:b/>
          <w:sz w:val="22"/>
          <w:szCs w:val="22"/>
          <w:u w:val="single"/>
          <w:lang w:val="en-GB" w:eastAsia="de-CH"/>
        </w:rPr>
      </w:pPr>
    </w:p>
    <w:p w14:paraId="1DF04C6A" w14:textId="77777777" w:rsidR="00175AA2" w:rsidRPr="001E5747" w:rsidRDefault="00175AA2" w:rsidP="00175AA2">
      <w:pPr>
        <w:rPr>
          <w:rFonts w:ascii="Calibri" w:hAnsi="Calibri" w:cs="Arial"/>
          <w:b/>
          <w:sz w:val="22"/>
          <w:szCs w:val="22"/>
          <w:lang w:val="en-GB" w:eastAsia="de-CH"/>
        </w:rPr>
      </w:pPr>
    </w:p>
    <w:p w14:paraId="26B04937" w14:textId="77777777" w:rsidR="00175AA2" w:rsidRPr="001E5747" w:rsidRDefault="00175AA2" w:rsidP="00175AA2">
      <w:pPr>
        <w:rPr>
          <w:rFonts w:ascii="Calibri" w:hAnsi="Calibri" w:cs="Arial"/>
          <w:b/>
          <w:sz w:val="22"/>
          <w:szCs w:val="22"/>
          <w:lang w:val="en-GB" w:eastAsia="de-CH"/>
        </w:rPr>
      </w:pPr>
    </w:p>
    <w:p w14:paraId="53F57A20" w14:textId="77777777" w:rsidR="00175AA2" w:rsidRPr="001E5747" w:rsidRDefault="00175AA2" w:rsidP="00175AA2">
      <w:pPr>
        <w:rPr>
          <w:rFonts w:ascii="Calibri" w:hAnsi="Calibri" w:cs="Arial"/>
          <w:b/>
          <w:sz w:val="22"/>
          <w:szCs w:val="22"/>
          <w:lang w:val="en-GB" w:eastAsia="de-CH"/>
        </w:rPr>
      </w:pPr>
    </w:p>
    <w:p w14:paraId="0B5B11D8" w14:textId="77777777" w:rsidR="00175AA2" w:rsidRPr="001E5747" w:rsidRDefault="00175AA2" w:rsidP="00175AA2">
      <w:pPr>
        <w:rPr>
          <w:rFonts w:ascii="Calibri" w:hAnsi="Calibri" w:cs="Arial"/>
          <w:b/>
          <w:sz w:val="22"/>
          <w:szCs w:val="22"/>
          <w:lang w:val="en-GB" w:eastAsia="de-CH"/>
        </w:rPr>
      </w:pPr>
    </w:p>
    <w:p w14:paraId="3FC83461" w14:textId="77777777" w:rsidR="00175AA2" w:rsidRPr="001E5747" w:rsidRDefault="00175AA2" w:rsidP="00175AA2">
      <w:pPr>
        <w:rPr>
          <w:rFonts w:ascii="Calibri" w:hAnsi="Calibri" w:cs="Arial"/>
          <w:b/>
          <w:sz w:val="22"/>
          <w:szCs w:val="22"/>
          <w:lang w:val="en-GB" w:eastAsia="de-CH"/>
        </w:rPr>
      </w:pPr>
    </w:p>
    <w:p w14:paraId="7E8E4DD1" w14:textId="77777777" w:rsidR="00175AA2" w:rsidRPr="001E5747" w:rsidRDefault="00175AA2" w:rsidP="00175AA2">
      <w:pPr>
        <w:rPr>
          <w:rFonts w:ascii="Calibri" w:hAnsi="Calibri" w:cs="Arial"/>
          <w:b/>
          <w:sz w:val="22"/>
          <w:szCs w:val="22"/>
          <w:lang w:val="en-GB" w:eastAsia="de-CH"/>
        </w:rPr>
      </w:pPr>
    </w:p>
    <w:p w14:paraId="344C504D" w14:textId="77777777" w:rsidR="00175AA2" w:rsidRPr="001E5747" w:rsidRDefault="00175AA2" w:rsidP="00175AA2">
      <w:pPr>
        <w:rPr>
          <w:rFonts w:ascii="Calibri" w:hAnsi="Calibri" w:cs="Arial"/>
          <w:b/>
          <w:sz w:val="22"/>
          <w:szCs w:val="22"/>
          <w:lang w:val="en-GB" w:eastAsia="de-CH"/>
        </w:rPr>
      </w:pPr>
    </w:p>
    <w:p w14:paraId="6EB159BC" w14:textId="77777777" w:rsidR="00175AA2" w:rsidRPr="001E5747" w:rsidRDefault="00175AA2" w:rsidP="00175AA2">
      <w:pPr>
        <w:rPr>
          <w:rFonts w:ascii="Calibri" w:hAnsi="Calibri" w:cs="Arial"/>
          <w:b/>
          <w:sz w:val="22"/>
          <w:szCs w:val="22"/>
          <w:lang w:val="en-GB" w:eastAsia="de-CH"/>
        </w:rPr>
      </w:pPr>
    </w:p>
    <w:p w14:paraId="24CC713E" w14:textId="77777777" w:rsidR="00175AA2" w:rsidRPr="001E5747" w:rsidRDefault="00175AA2" w:rsidP="00175AA2">
      <w:pPr>
        <w:rPr>
          <w:rFonts w:ascii="Calibri" w:hAnsi="Calibri" w:cs="Arial"/>
          <w:b/>
          <w:sz w:val="22"/>
          <w:szCs w:val="22"/>
          <w:lang w:val="en-GB" w:eastAsia="de-CH"/>
        </w:rPr>
      </w:pPr>
    </w:p>
    <w:p w14:paraId="52211962" w14:textId="77777777" w:rsidR="00175AA2" w:rsidRPr="001E5747" w:rsidRDefault="00175AA2" w:rsidP="00175AA2">
      <w:pPr>
        <w:rPr>
          <w:rFonts w:ascii="Calibri" w:hAnsi="Calibri" w:cs="Arial"/>
          <w:sz w:val="22"/>
          <w:szCs w:val="22"/>
          <w:lang w:val="en-GB" w:eastAsia="de-CH"/>
        </w:rPr>
      </w:pPr>
      <w:r w:rsidRPr="001E5747">
        <w:rPr>
          <w:rFonts w:ascii="Calibri" w:hAnsi="Calibri" w:cs="Arial"/>
          <w:sz w:val="22"/>
          <w:szCs w:val="22"/>
          <w:lang w:val="en-GB" w:eastAsia="de-CH"/>
        </w:rPr>
        <w:br w:type="page"/>
      </w:r>
      <w:r w:rsidRPr="001E5747">
        <w:rPr>
          <w:rFonts w:asciiTheme="majorHAnsi" w:hAnsiTheme="majorHAnsi"/>
          <w:sz w:val="21"/>
          <w:szCs w:val="21"/>
          <w:lang w:val="en-GB" w:eastAsia="en-GB"/>
        </w:rPr>
        <w:lastRenderedPageBreak/>
        <w:t xml:space="preserve"> </w:t>
      </w:r>
    </w:p>
    <w:p w14:paraId="5AD7B7D7" w14:textId="77777777" w:rsidR="00175AA2" w:rsidRPr="001E5747" w:rsidRDefault="00175AA2" w:rsidP="00175AA2">
      <w:pPr>
        <w:rPr>
          <w:rFonts w:ascii="Calibri" w:hAnsi="Calibri" w:cs="Arial"/>
          <w:b/>
          <w:bCs/>
          <w:iCs/>
          <w:sz w:val="22"/>
          <w:szCs w:val="22"/>
          <w:lang w:val="en-GB" w:eastAsia="de-CH"/>
        </w:rPr>
      </w:pPr>
      <w:r w:rsidRPr="001E5747">
        <w:rPr>
          <w:rFonts w:ascii="Calibri" w:hAnsi="Calibri" w:cs="Arial"/>
          <w:b/>
          <w:bCs/>
          <w:iCs/>
          <w:sz w:val="22"/>
          <w:szCs w:val="22"/>
          <w:lang w:val="en-GB" w:eastAsia="de-CH"/>
        </w:rPr>
        <w:t>2. Duties and responsibilities of the Technical Group (TG):</w:t>
      </w:r>
    </w:p>
    <w:p w14:paraId="20B49AE2" w14:textId="77777777" w:rsidR="00175AA2" w:rsidRPr="001E5747" w:rsidRDefault="00175AA2" w:rsidP="00175AA2">
      <w:pPr>
        <w:spacing w:line="300" w:lineRule="atLeast"/>
        <w:rPr>
          <w:rFonts w:asciiTheme="majorHAnsi" w:hAnsiTheme="majorHAnsi" w:cstheme="majorHAnsi"/>
          <w:sz w:val="21"/>
          <w:szCs w:val="21"/>
          <w:lang w:val="en-GB" w:eastAsia="de-CH"/>
        </w:rPr>
      </w:pPr>
      <w:r w:rsidRPr="001E5747">
        <w:rPr>
          <w:rFonts w:asciiTheme="majorHAnsi" w:hAnsiTheme="majorHAnsi" w:cstheme="majorHAnsi"/>
          <w:sz w:val="21"/>
          <w:szCs w:val="21"/>
          <w:lang w:val="en-GB" w:eastAsia="de-CH"/>
        </w:rPr>
        <w:t xml:space="preserve">The main </w:t>
      </w:r>
      <w:r w:rsidR="004C6860" w:rsidRPr="001E5747">
        <w:rPr>
          <w:rFonts w:asciiTheme="majorHAnsi" w:hAnsiTheme="majorHAnsi" w:cstheme="majorHAnsi"/>
          <w:sz w:val="21"/>
          <w:szCs w:val="21"/>
          <w:lang w:val="en-GB" w:eastAsia="de-CH"/>
        </w:rPr>
        <w:t>functions of the TG are</w:t>
      </w:r>
      <w:r w:rsidRPr="001E5747">
        <w:rPr>
          <w:rFonts w:asciiTheme="majorHAnsi" w:hAnsiTheme="majorHAnsi" w:cstheme="majorHAnsi"/>
          <w:sz w:val="21"/>
          <w:szCs w:val="21"/>
          <w:lang w:val="en-GB" w:eastAsia="de-CH"/>
        </w:rPr>
        <w:t xml:space="preserve"> the following:</w:t>
      </w:r>
    </w:p>
    <w:p w14:paraId="4BA69988" w14:textId="77777777" w:rsidR="00175AA2" w:rsidRPr="001E5747" w:rsidRDefault="00175AA2" w:rsidP="00175AA2">
      <w:pPr>
        <w:pStyle w:val="ListParagraph"/>
        <w:numPr>
          <w:ilvl w:val="0"/>
          <w:numId w:val="20"/>
        </w:numPr>
        <w:spacing w:after="0" w:line="300" w:lineRule="atLeast"/>
        <w:rPr>
          <w:rFonts w:asciiTheme="majorHAnsi" w:hAnsiTheme="majorHAnsi" w:cstheme="majorHAnsi"/>
          <w:sz w:val="21"/>
          <w:szCs w:val="21"/>
          <w:lang w:val="en-GB" w:eastAsia="de-CH"/>
        </w:rPr>
      </w:pPr>
      <w:r w:rsidRPr="001E5747">
        <w:rPr>
          <w:rFonts w:asciiTheme="majorHAnsi" w:hAnsiTheme="majorHAnsi" w:cstheme="majorHAnsi"/>
          <w:sz w:val="21"/>
          <w:szCs w:val="21"/>
          <w:lang w:val="en-GB" w:eastAsia="de-CH"/>
        </w:rPr>
        <w:t>Implementation of MPG assessment rules and standards;</w:t>
      </w:r>
    </w:p>
    <w:p w14:paraId="515CD08B" w14:textId="77777777" w:rsidR="00175AA2" w:rsidRPr="001E5747" w:rsidRDefault="00175AA2" w:rsidP="00175AA2">
      <w:pPr>
        <w:pStyle w:val="ListParagraph"/>
        <w:numPr>
          <w:ilvl w:val="0"/>
          <w:numId w:val="20"/>
        </w:numPr>
        <w:spacing w:after="0" w:line="300" w:lineRule="atLeast"/>
        <w:rPr>
          <w:rFonts w:asciiTheme="majorHAnsi" w:hAnsiTheme="majorHAnsi" w:cstheme="majorHAnsi"/>
          <w:sz w:val="21"/>
          <w:szCs w:val="21"/>
          <w:lang w:val="en-GB" w:eastAsia="de-CH"/>
        </w:rPr>
      </w:pPr>
      <w:r w:rsidRPr="001E5747">
        <w:rPr>
          <w:rFonts w:asciiTheme="majorHAnsi" w:hAnsiTheme="majorHAnsi" w:cstheme="majorHAnsi"/>
          <w:sz w:val="21"/>
          <w:szCs w:val="21"/>
          <w:lang w:val="en-GB" w:eastAsia="de-CH"/>
        </w:rPr>
        <w:t>Data collection, their analysis and verification;</w:t>
      </w:r>
    </w:p>
    <w:p w14:paraId="70B9520A" w14:textId="77777777" w:rsidR="00175AA2" w:rsidRPr="001E5747" w:rsidRDefault="00175AA2" w:rsidP="00175AA2">
      <w:pPr>
        <w:pStyle w:val="ListParagraph"/>
        <w:numPr>
          <w:ilvl w:val="0"/>
          <w:numId w:val="20"/>
        </w:numPr>
        <w:spacing w:after="0" w:line="300" w:lineRule="atLeast"/>
        <w:rPr>
          <w:rFonts w:asciiTheme="majorHAnsi" w:hAnsiTheme="majorHAnsi" w:cstheme="majorHAnsi"/>
          <w:sz w:val="21"/>
          <w:szCs w:val="21"/>
          <w:lang w:val="en-GB" w:eastAsia="de-CH"/>
        </w:rPr>
      </w:pPr>
      <w:r w:rsidRPr="001E5747">
        <w:rPr>
          <w:rFonts w:asciiTheme="majorHAnsi" w:hAnsiTheme="majorHAnsi" w:cstheme="majorHAnsi"/>
          <w:sz w:val="21"/>
          <w:szCs w:val="21"/>
          <w:lang w:val="en-GB" w:eastAsia="de-CH"/>
        </w:rPr>
        <w:t>Assessment of municipal performance according to MPG rules;</w:t>
      </w:r>
    </w:p>
    <w:p w14:paraId="108D38E8" w14:textId="77777777" w:rsidR="00175AA2" w:rsidRPr="001E5747" w:rsidRDefault="00175AA2" w:rsidP="00175AA2">
      <w:pPr>
        <w:pStyle w:val="ListParagraph"/>
        <w:numPr>
          <w:ilvl w:val="0"/>
          <w:numId w:val="20"/>
        </w:numPr>
        <w:spacing w:after="0" w:line="300" w:lineRule="atLeast"/>
        <w:rPr>
          <w:rFonts w:asciiTheme="majorHAnsi" w:hAnsiTheme="majorHAnsi" w:cstheme="majorHAnsi"/>
          <w:sz w:val="21"/>
          <w:szCs w:val="21"/>
          <w:lang w:val="en-GB" w:eastAsia="de-CH"/>
        </w:rPr>
      </w:pPr>
      <w:r w:rsidRPr="001E5747">
        <w:rPr>
          <w:rFonts w:asciiTheme="majorHAnsi" w:hAnsiTheme="majorHAnsi"/>
          <w:sz w:val="21"/>
          <w:szCs w:val="21"/>
          <w:lang w:val="en-GB"/>
        </w:rPr>
        <w:t xml:space="preserve">Calculation of the grant amount according to the formula defined in the </w:t>
      </w:r>
      <w:r w:rsidRPr="001E5747">
        <w:rPr>
          <w:rFonts w:asciiTheme="majorHAnsi" w:hAnsiTheme="majorHAnsi" w:cstheme="majorHAnsi"/>
          <w:sz w:val="21"/>
          <w:szCs w:val="21"/>
          <w:lang w:val="en-GB" w:eastAsia="de-CH"/>
        </w:rPr>
        <w:t xml:space="preserve">MPG </w:t>
      </w:r>
      <w:r w:rsidRPr="001E5747">
        <w:rPr>
          <w:rFonts w:asciiTheme="majorHAnsi" w:hAnsiTheme="majorHAnsi"/>
          <w:sz w:val="21"/>
          <w:szCs w:val="21"/>
          <w:lang w:val="en-GB"/>
        </w:rPr>
        <w:t>rules;</w:t>
      </w:r>
    </w:p>
    <w:p w14:paraId="14CCC5B8" w14:textId="77777777" w:rsidR="00175AA2" w:rsidRPr="001E5747" w:rsidRDefault="00175AA2" w:rsidP="00175AA2">
      <w:pPr>
        <w:pStyle w:val="ListParagraph"/>
        <w:numPr>
          <w:ilvl w:val="0"/>
          <w:numId w:val="20"/>
        </w:numPr>
        <w:spacing w:after="0" w:line="300" w:lineRule="atLeast"/>
        <w:rPr>
          <w:rFonts w:asciiTheme="majorHAnsi" w:hAnsiTheme="majorHAnsi" w:cstheme="majorHAnsi"/>
          <w:sz w:val="21"/>
          <w:szCs w:val="21"/>
          <w:lang w:val="en-GB" w:eastAsia="de-CH"/>
        </w:rPr>
      </w:pPr>
      <w:r w:rsidRPr="001E5747">
        <w:rPr>
          <w:rFonts w:asciiTheme="majorHAnsi" w:hAnsiTheme="majorHAnsi" w:cstheme="majorHAnsi"/>
          <w:sz w:val="21"/>
          <w:szCs w:val="21"/>
          <w:lang w:val="en-GB" w:eastAsia="de-CH"/>
        </w:rPr>
        <w:t xml:space="preserve">Ensure data transfer </w:t>
      </w:r>
      <w:r w:rsidR="0019729C">
        <w:rPr>
          <w:rFonts w:asciiTheme="majorHAnsi" w:hAnsiTheme="majorHAnsi" w:cstheme="majorHAnsi"/>
          <w:sz w:val="21"/>
          <w:szCs w:val="21"/>
          <w:lang w:val="en-GB" w:eastAsia="de-CH"/>
        </w:rPr>
        <w:t xml:space="preserve">for the scorecards according to the </w:t>
      </w:r>
      <w:r w:rsidRPr="001E5747">
        <w:rPr>
          <w:rFonts w:asciiTheme="majorHAnsi" w:hAnsiTheme="majorHAnsi" w:cstheme="majorHAnsi"/>
          <w:sz w:val="21"/>
          <w:szCs w:val="21"/>
          <w:lang w:val="en-GB" w:eastAsia="de-CH"/>
        </w:rPr>
        <w:t xml:space="preserve">source; </w:t>
      </w:r>
    </w:p>
    <w:p w14:paraId="0EC9E87B" w14:textId="77777777" w:rsidR="00175AA2" w:rsidRPr="001E5747" w:rsidRDefault="00175AA2" w:rsidP="00175AA2">
      <w:pPr>
        <w:pStyle w:val="ListParagraph"/>
        <w:numPr>
          <w:ilvl w:val="0"/>
          <w:numId w:val="20"/>
        </w:numPr>
        <w:spacing w:after="0" w:line="300" w:lineRule="atLeast"/>
        <w:rPr>
          <w:rFonts w:asciiTheme="majorHAnsi" w:hAnsiTheme="majorHAnsi" w:cstheme="majorHAnsi"/>
          <w:sz w:val="21"/>
          <w:szCs w:val="21"/>
          <w:lang w:val="en-GB" w:eastAsia="de-CH"/>
        </w:rPr>
      </w:pPr>
      <w:r w:rsidRPr="001E5747">
        <w:rPr>
          <w:rFonts w:asciiTheme="majorHAnsi" w:hAnsiTheme="majorHAnsi" w:cstheme="majorHAnsi"/>
          <w:sz w:val="21"/>
          <w:szCs w:val="21"/>
          <w:lang w:val="en-GB" w:eastAsia="de-CH"/>
        </w:rPr>
        <w:t xml:space="preserve">Drafting the </w:t>
      </w:r>
      <w:r w:rsidR="009767E2">
        <w:rPr>
          <w:rFonts w:asciiTheme="majorHAnsi" w:hAnsiTheme="majorHAnsi" w:cstheme="majorHAnsi"/>
          <w:sz w:val="21"/>
          <w:szCs w:val="21"/>
          <w:lang w:val="en-GB" w:eastAsia="de-CH"/>
        </w:rPr>
        <w:t>assessment</w:t>
      </w:r>
      <w:r w:rsidRPr="001E5747">
        <w:rPr>
          <w:rFonts w:asciiTheme="majorHAnsi" w:hAnsiTheme="majorHAnsi" w:cstheme="majorHAnsi"/>
          <w:sz w:val="21"/>
          <w:szCs w:val="21"/>
          <w:lang w:val="en-GB" w:eastAsia="de-CH"/>
        </w:rPr>
        <w:t xml:space="preserve"> report for the grant and addressing it for </w:t>
      </w:r>
      <w:r w:rsidR="00DD1784">
        <w:rPr>
          <w:rFonts w:asciiTheme="majorHAnsi" w:hAnsiTheme="majorHAnsi" w:cstheme="majorHAnsi"/>
          <w:sz w:val="21"/>
          <w:szCs w:val="21"/>
          <w:lang w:val="en-GB" w:eastAsia="de-CH"/>
        </w:rPr>
        <w:t>endorsement</w:t>
      </w:r>
      <w:r w:rsidR="00DD1784" w:rsidRPr="001E5747">
        <w:rPr>
          <w:rFonts w:asciiTheme="majorHAnsi" w:hAnsiTheme="majorHAnsi" w:cstheme="majorHAnsi"/>
          <w:sz w:val="21"/>
          <w:szCs w:val="21"/>
          <w:lang w:val="en-GB" w:eastAsia="de-CH"/>
        </w:rPr>
        <w:t xml:space="preserve"> </w:t>
      </w:r>
      <w:r w:rsidRPr="001E5747">
        <w:rPr>
          <w:rFonts w:asciiTheme="majorHAnsi" w:hAnsiTheme="majorHAnsi" w:cstheme="majorHAnsi"/>
          <w:sz w:val="21"/>
          <w:szCs w:val="21"/>
          <w:lang w:val="en-GB" w:eastAsia="de-CH"/>
        </w:rPr>
        <w:t>to the Grant Commission;</w:t>
      </w:r>
    </w:p>
    <w:p w14:paraId="72E878D8" w14:textId="77777777" w:rsidR="00175AA2" w:rsidRPr="001E5747" w:rsidRDefault="00175AA2" w:rsidP="00175AA2">
      <w:pPr>
        <w:pStyle w:val="ListParagraph"/>
        <w:numPr>
          <w:ilvl w:val="0"/>
          <w:numId w:val="20"/>
        </w:numPr>
        <w:spacing w:after="0" w:line="300" w:lineRule="atLeast"/>
        <w:rPr>
          <w:rFonts w:asciiTheme="majorHAnsi" w:hAnsiTheme="majorHAnsi" w:cstheme="majorHAnsi"/>
          <w:sz w:val="21"/>
          <w:szCs w:val="21"/>
          <w:lang w:val="en-GB" w:eastAsia="de-CH"/>
        </w:rPr>
      </w:pPr>
      <w:r w:rsidRPr="001E5747">
        <w:rPr>
          <w:rFonts w:asciiTheme="majorHAnsi" w:hAnsiTheme="majorHAnsi" w:cstheme="majorHAnsi"/>
          <w:sz w:val="21"/>
          <w:szCs w:val="21"/>
          <w:lang w:val="en-GB" w:eastAsia="de-CH"/>
        </w:rPr>
        <w:t>Presentation of the MPG assessment report to the MPG Commission</w:t>
      </w:r>
    </w:p>
    <w:p w14:paraId="5B70DF38" w14:textId="77777777" w:rsidR="00175AA2" w:rsidRPr="001E5747" w:rsidRDefault="00175AA2" w:rsidP="00175AA2">
      <w:pPr>
        <w:pStyle w:val="ListParagraph"/>
        <w:numPr>
          <w:ilvl w:val="0"/>
          <w:numId w:val="20"/>
        </w:numPr>
        <w:spacing w:after="0" w:line="300" w:lineRule="atLeast"/>
        <w:rPr>
          <w:rFonts w:asciiTheme="majorHAnsi" w:hAnsiTheme="majorHAnsi" w:cstheme="majorHAnsi"/>
          <w:sz w:val="21"/>
          <w:szCs w:val="21"/>
          <w:lang w:val="en-GB" w:eastAsia="de-CH"/>
        </w:rPr>
      </w:pPr>
      <w:r w:rsidRPr="001E5747">
        <w:rPr>
          <w:rFonts w:asciiTheme="majorHAnsi" w:hAnsiTheme="majorHAnsi" w:cstheme="majorHAnsi"/>
          <w:sz w:val="21"/>
          <w:szCs w:val="21"/>
          <w:lang w:val="en-GB" w:eastAsia="de-CH"/>
        </w:rPr>
        <w:t xml:space="preserve">Provide necessary clarifications according to the </w:t>
      </w:r>
      <w:r w:rsidR="0019729C">
        <w:rPr>
          <w:rFonts w:asciiTheme="majorHAnsi" w:hAnsiTheme="majorHAnsi" w:cstheme="majorHAnsi"/>
          <w:sz w:val="21"/>
          <w:szCs w:val="21"/>
          <w:lang w:val="en-GB" w:eastAsia="de-CH"/>
        </w:rPr>
        <w:t>requests</w:t>
      </w:r>
      <w:r w:rsidRPr="001E5747">
        <w:rPr>
          <w:rFonts w:asciiTheme="majorHAnsi" w:hAnsiTheme="majorHAnsi" w:cstheme="majorHAnsi"/>
          <w:sz w:val="21"/>
          <w:szCs w:val="21"/>
          <w:lang w:val="en-GB" w:eastAsia="de-CH"/>
        </w:rPr>
        <w:t xml:space="preserve"> of the Municipal Performance Grant Commission and the </w:t>
      </w:r>
      <w:r w:rsidR="0019729C">
        <w:rPr>
          <w:rFonts w:asciiTheme="majorHAnsi" w:hAnsiTheme="majorHAnsi" w:cstheme="majorHAnsi"/>
          <w:sz w:val="21"/>
          <w:szCs w:val="21"/>
          <w:lang w:val="en-GB" w:eastAsia="de-CH"/>
        </w:rPr>
        <w:t>Appeals</w:t>
      </w:r>
      <w:r w:rsidR="0019729C" w:rsidRPr="001E5747">
        <w:rPr>
          <w:rFonts w:asciiTheme="majorHAnsi" w:hAnsiTheme="majorHAnsi" w:cstheme="majorHAnsi"/>
          <w:sz w:val="21"/>
          <w:szCs w:val="21"/>
          <w:lang w:val="en-GB" w:eastAsia="de-CH"/>
        </w:rPr>
        <w:t xml:space="preserve"> </w:t>
      </w:r>
      <w:r w:rsidRPr="001E5747">
        <w:rPr>
          <w:rFonts w:asciiTheme="majorHAnsi" w:hAnsiTheme="majorHAnsi" w:cstheme="majorHAnsi"/>
          <w:sz w:val="21"/>
          <w:szCs w:val="21"/>
          <w:lang w:val="en-GB" w:eastAsia="de-CH"/>
        </w:rPr>
        <w:t>Commission;</w:t>
      </w:r>
    </w:p>
    <w:p w14:paraId="14303ECA" w14:textId="77777777" w:rsidR="00175AA2" w:rsidRPr="001E5747" w:rsidRDefault="00175AA2" w:rsidP="00175AA2">
      <w:pPr>
        <w:pStyle w:val="ListParagraph"/>
        <w:spacing w:after="0" w:line="300" w:lineRule="atLeast"/>
        <w:ind w:left="360"/>
        <w:rPr>
          <w:rFonts w:asciiTheme="majorHAnsi" w:hAnsiTheme="majorHAnsi" w:cstheme="majorHAnsi"/>
          <w:sz w:val="21"/>
          <w:szCs w:val="21"/>
          <w:lang w:val="en-GB" w:eastAsia="de-CH"/>
        </w:rPr>
      </w:pPr>
    </w:p>
    <w:p w14:paraId="19E57DE3" w14:textId="77777777" w:rsidR="00175AA2" w:rsidRPr="001E5747" w:rsidRDefault="00175AA2" w:rsidP="00175AA2">
      <w:pPr>
        <w:rPr>
          <w:rFonts w:asciiTheme="majorHAnsi" w:hAnsiTheme="majorHAnsi" w:cstheme="majorHAnsi"/>
          <w:b/>
          <w:bCs/>
          <w:iCs/>
          <w:sz w:val="21"/>
          <w:szCs w:val="21"/>
          <w:lang w:val="en-GB" w:eastAsia="de-CH"/>
        </w:rPr>
      </w:pPr>
      <w:r w:rsidRPr="001E5747">
        <w:rPr>
          <w:rFonts w:asciiTheme="majorHAnsi" w:hAnsiTheme="majorHAnsi" w:cstheme="majorHAnsi"/>
          <w:b/>
          <w:bCs/>
          <w:iCs/>
          <w:sz w:val="21"/>
          <w:szCs w:val="21"/>
          <w:lang w:val="en-GB" w:eastAsia="de-CH"/>
        </w:rPr>
        <w:t>3. Administration of the TG</w:t>
      </w:r>
    </w:p>
    <w:p w14:paraId="141B3147" w14:textId="77777777" w:rsidR="00175AA2" w:rsidRPr="001E5747" w:rsidRDefault="00175AA2" w:rsidP="00175AA2">
      <w:pPr>
        <w:pStyle w:val="ListParagraph"/>
        <w:numPr>
          <w:ilvl w:val="0"/>
          <w:numId w:val="21"/>
        </w:numPr>
        <w:spacing w:after="0" w:line="300" w:lineRule="atLeast"/>
        <w:ind w:left="357" w:hanging="357"/>
        <w:rPr>
          <w:rFonts w:asciiTheme="majorHAnsi" w:hAnsiTheme="majorHAnsi" w:cstheme="majorHAnsi"/>
          <w:sz w:val="21"/>
          <w:szCs w:val="21"/>
          <w:lang w:val="en-GB" w:eastAsia="de-CH"/>
        </w:rPr>
      </w:pPr>
      <w:r w:rsidRPr="001E5747">
        <w:rPr>
          <w:rFonts w:asciiTheme="majorHAnsi" w:hAnsiTheme="majorHAnsi" w:cstheme="majorHAnsi"/>
          <w:sz w:val="21"/>
          <w:szCs w:val="21"/>
          <w:lang w:val="en-GB" w:eastAsia="de-CH"/>
        </w:rPr>
        <w:t>The Chairperson of TG prepares the agenda and chairs the TG meetings.</w:t>
      </w:r>
    </w:p>
    <w:p w14:paraId="723E3307" w14:textId="77777777" w:rsidR="00175AA2" w:rsidRPr="001E5747" w:rsidRDefault="00175AA2" w:rsidP="00175AA2">
      <w:pPr>
        <w:pStyle w:val="ListParagraph"/>
        <w:numPr>
          <w:ilvl w:val="0"/>
          <w:numId w:val="21"/>
        </w:numPr>
        <w:spacing w:after="0" w:line="300" w:lineRule="atLeast"/>
        <w:ind w:left="357" w:hanging="357"/>
        <w:rPr>
          <w:rFonts w:asciiTheme="majorHAnsi" w:hAnsiTheme="majorHAnsi" w:cstheme="majorHAnsi"/>
          <w:sz w:val="21"/>
          <w:szCs w:val="21"/>
          <w:lang w:val="en-GB" w:eastAsia="de-CH"/>
        </w:rPr>
      </w:pPr>
      <w:r w:rsidRPr="001E5747">
        <w:rPr>
          <w:rFonts w:asciiTheme="majorHAnsi" w:hAnsiTheme="majorHAnsi" w:cstheme="majorHAnsi"/>
          <w:sz w:val="21"/>
          <w:szCs w:val="21"/>
          <w:lang w:val="en-GB" w:eastAsia="de-CH"/>
        </w:rPr>
        <w:t>The agenda and relevant documents should be attached to the notice of TG meetings.</w:t>
      </w:r>
    </w:p>
    <w:p w14:paraId="57388343" w14:textId="77777777" w:rsidR="00175AA2" w:rsidRPr="001E5747" w:rsidRDefault="00175AA2" w:rsidP="00175AA2">
      <w:pPr>
        <w:pStyle w:val="ListParagraph"/>
        <w:numPr>
          <w:ilvl w:val="0"/>
          <w:numId w:val="21"/>
        </w:numPr>
        <w:spacing w:after="0" w:line="300" w:lineRule="atLeast"/>
        <w:ind w:left="357" w:hanging="357"/>
        <w:rPr>
          <w:rFonts w:asciiTheme="majorHAnsi" w:hAnsiTheme="majorHAnsi" w:cstheme="majorHAnsi"/>
          <w:sz w:val="21"/>
          <w:szCs w:val="21"/>
          <w:lang w:val="en-GB" w:eastAsia="de-CH"/>
        </w:rPr>
      </w:pPr>
      <w:r w:rsidRPr="001E5747">
        <w:rPr>
          <w:rFonts w:asciiTheme="majorHAnsi" w:hAnsiTheme="majorHAnsi" w:cstheme="majorHAnsi"/>
          <w:sz w:val="21"/>
          <w:szCs w:val="21"/>
          <w:lang w:val="en-GB" w:eastAsia="de-CH"/>
        </w:rPr>
        <w:t>Minutes are prepared for the TG meetings and approved by all members.</w:t>
      </w:r>
    </w:p>
    <w:p w14:paraId="2E107496" w14:textId="77777777" w:rsidR="00175AA2" w:rsidRPr="001E5747" w:rsidRDefault="00175AA2" w:rsidP="00175AA2">
      <w:pPr>
        <w:pStyle w:val="ListParagraph"/>
        <w:numPr>
          <w:ilvl w:val="0"/>
          <w:numId w:val="21"/>
        </w:numPr>
        <w:spacing w:after="0" w:line="300" w:lineRule="atLeast"/>
        <w:ind w:left="357" w:hanging="357"/>
        <w:rPr>
          <w:rFonts w:asciiTheme="majorHAnsi" w:hAnsiTheme="majorHAnsi" w:cstheme="majorHAnsi"/>
          <w:sz w:val="21"/>
          <w:szCs w:val="21"/>
          <w:lang w:val="en-GB" w:eastAsia="de-CH"/>
        </w:rPr>
      </w:pPr>
      <w:r w:rsidRPr="001E5747">
        <w:rPr>
          <w:rFonts w:asciiTheme="majorHAnsi" w:hAnsiTheme="majorHAnsi" w:cstheme="majorHAnsi"/>
          <w:sz w:val="21"/>
          <w:szCs w:val="21"/>
          <w:lang w:val="en-GB" w:eastAsia="de-CH"/>
        </w:rPr>
        <w:t xml:space="preserve">TG </w:t>
      </w:r>
      <w:r w:rsidRPr="001E5747">
        <w:rPr>
          <w:color w:val="000000" w:themeColor="text1"/>
          <w:lang w:val="en-GB"/>
        </w:rPr>
        <w:t>members should be public officials of the unit responsible for municipal performance</w:t>
      </w:r>
      <w:r w:rsidR="00DD1784">
        <w:rPr>
          <w:color w:val="000000" w:themeColor="text1"/>
          <w:lang w:val="en-GB"/>
        </w:rPr>
        <w:t xml:space="preserve"> within MLGA</w:t>
      </w:r>
      <w:r w:rsidRPr="001E5747">
        <w:rPr>
          <w:color w:val="000000" w:themeColor="text1"/>
          <w:lang w:val="en-GB"/>
        </w:rPr>
        <w:t xml:space="preserve">. Representatives of </w:t>
      </w:r>
      <w:r w:rsidR="00DD1784">
        <w:rPr>
          <w:color w:val="000000" w:themeColor="text1"/>
          <w:lang w:val="en-GB"/>
        </w:rPr>
        <w:t>donors</w:t>
      </w:r>
      <w:r w:rsidR="00DD1784" w:rsidRPr="001E5747">
        <w:rPr>
          <w:color w:val="000000" w:themeColor="text1"/>
          <w:lang w:val="en-GB"/>
        </w:rPr>
        <w:t xml:space="preserve"> </w:t>
      </w:r>
      <w:r w:rsidRPr="001E5747">
        <w:rPr>
          <w:color w:val="000000" w:themeColor="text1"/>
          <w:lang w:val="en-GB"/>
        </w:rPr>
        <w:t xml:space="preserve">also participate in the </w:t>
      </w:r>
      <w:r w:rsidRPr="001E5747">
        <w:rPr>
          <w:rFonts w:asciiTheme="majorHAnsi" w:hAnsiTheme="majorHAnsi" w:cstheme="majorHAnsi"/>
          <w:sz w:val="21"/>
          <w:szCs w:val="21"/>
          <w:lang w:val="en-GB" w:eastAsia="de-CH"/>
        </w:rPr>
        <w:t xml:space="preserve">TG </w:t>
      </w:r>
      <w:r w:rsidRPr="001E5747">
        <w:rPr>
          <w:color w:val="000000" w:themeColor="text1"/>
          <w:lang w:val="en-GB"/>
        </w:rPr>
        <w:t>as decision makers.</w:t>
      </w:r>
    </w:p>
    <w:p w14:paraId="485570C3" w14:textId="77777777" w:rsidR="00175AA2" w:rsidRPr="001E5747" w:rsidRDefault="00175AA2" w:rsidP="00175AA2">
      <w:pPr>
        <w:pStyle w:val="ListParagraph"/>
        <w:numPr>
          <w:ilvl w:val="0"/>
          <w:numId w:val="21"/>
        </w:numPr>
        <w:spacing w:after="0" w:line="300" w:lineRule="atLeast"/>
        <w:ind w:left="357" w:hanging="357"/>
        <w:rPr>
          <w:rFonts w:asciiTheme="majorHAnsi" w:hAnsiTheme="majorHAnsi" w:cstheme="majorHAnsi"/>
          <w:sz w:val="21"/>
          <w:szCs w:val="21"/>
          <w:lang w:val="en-GB" w:eastAsia="de-CH"/>
        </w:rPr>
      </w:pPr>
      <w:r w:rsidRPr="001E5747">
        <w:rPr>
          <w:rFonts w:asciiTheme="majorHAnsi" w:hAnsiTheme="majorHAnsi" w:cstheme="majorHAnsi"/>
          <w:sz w:val="21"/>
          <w:szCs w:val="21"/>
          <w:lang w:val="en-GB" w:eastAsia="de-CH"/>
        </w:rPr>
        <w:t xml:space="preserve">It is preferable for TG members to understand and speak English. </w:t>
      </w:r>
    </w:p>
    <w:p w14:paraId="10D3D39E" w14:textId="77777777" w:rsidR="00175AA2" w:rsidRPr="001E5747" w:rsidRDefault="00175AA2" w:rsidP="00175AA2">
      <w:pPr>
        <w:spacing w:line="300" w:lineRule="atLeast"/>
        <w:rPr>
          <w:rFonts w:asciiTheme="majorHAnsi" w:hAnsiTheme="majorHAnsi" w:cstheme="majorHAnsi"/>
          <w:sz w:val="21"/>
          <w:szCs w:val="21"/>
          <w:lang w:val="en-GB" w:eastAsia="de-CH"/>
        </w:rPr>
      </w:pPr>
    </w:p>
    <w:p w14:paraId="296A01A8" w14:textId="77777777" w:rsidR="00175AA2" w:rsidRPr="001E5747" w:rsidRDefault="00175AA2" w:rsidP="00175AA2">
      <w:pPr>
        <w:rPr>
          <w:rFonts w:asciiTheme="majorHAnsi" w:hAnsiTheme="majorHAnsi" w:cstheme="majorHAnsi"/>
          <w:b/>
          <w:color w:val="C0504D"/>
          <w:sz w:val="21"/>
          <w:szCs w:val="21"/>
          <w:lang w:val="en-GB"/>
        </w:rPr>
      </w:pPr>
    </w:p>
    <w:p w14:paraId="62CE58C7" w14:textId="77777777" w:rsidR="00175AA2" w:rsidRPr="001E5747" w:rsidRDefault="00175AA2" w:rsidP="00175AA2">
      <w:pPr>
        <w:rPr>
          <w:rFonts w:asciiTheme="majorHAnsi" w:hAnsiTheme="majorHAnsi" w:cstheme="majorHAnsi"/>
          <w:color w:val="FFFFFF" w:themeColor="background1"/>
          <w:sz w:val="21"/>
          <w:szCs w:val="21"/>
          <w:lang w:val="en-GB"/>
        </w:rPr>
      </w:pPr>
      <w:r w:rsidRPr="001E5747">
        <w:rPr>
          <w:rFonts w:asciiTheme="majorHAnsi" w:hAnsiTheme="majorHAnsi" w:cstheme="majorHAnsi"/>
          <w:color w:val="FFFFFF" w:themeColor="background1"/>
          <w:sz w:val="21"/>
          <w:szCs w:val="21"/>
          <w:lang w:val="en-GB"/>
        </w:rPr>
        <w:br w:type="page"/>
      </w:r>
    </w:p>
    <w:p w14:paraId="2130C6D3" w14:textId="77777777" w:rsidR="00175AA2" w:rsidRPr="001E5747" w:rsidRDefault="00175AA2" w:rsidP="00175AA2">
      <w:pPr>
        <w:pStyle w:val="Heading1"/>
        <w:shd w:val="clear" w:color="auto" w:fill="D55635"/>
        <w:tabs>
          <w:tab w:val="left" w:pos="540"/>
        </w:tabs>
        <w:rPr>
          <w:rFonts w:asciiTheme="majorHAnsi" w:hAnsiTheme="majorHAnsi"/>
          <w:color w:val="FFFFFF" w:themeColor="background1"/>
          <w:sz w:val="32"/>
          <w:szCs w:val="32"/>
          <w:lang w:val="en-GB"/>
        </w:rPr>
      </w:pPr>
      <w:r w:rsidRPr="001E5747">
        <w:rPr>
          <w:rFonts w:asciiTheme="majorHAnsi" w:hAnsiTheme="majorHAnsi"/>
          <w:color w:val="FFFFFF" w:themeColor="background1"/>
          <w:sz w:val="32"/>
          <w:szCs w:val="32"/>
          <w:lang w:val="en-GB"/>
        </w:rPr>
        <w:lastRenderedPageBreak/>
        <w:t xml:space="preserve"> Annex </w:t>
      </w:r>
      <w:r w:rsidR="00A92637">
        <w:rPr>
          <w:rFonts w:asciiTheme="majorHAnsi" w:hAnsiTheme="majorHAnsi"/>
          <w:color w:val="FFFFFF" w:themeColor="background1"/>
          <w:sz w:val="32"/>
          <w:szCs w:val="32"/>
          <w:lang w:val="en-GB"/>
        </w:rPr>
        <w:t>7</w:t>
      </w:r>
      <w:r w:rsidRPr="001E5747">
        <w:rPr>
          <w:rFonts w:asciiTheme="majorHAnsi" w:hAnsiTheme="majorHAnsi"/>
          <w:color w:val="FFFFFF" w:themeColor="background1"/>
          <w:sz w:val="32"/>
          <w:szCs w:val="32"/>
          <w:lang w:val="en-GB"/>
        </w:rPr>
        <w:t xml:space="preserve">: Terms of reference - </w:t>
      </w:r>
      <w:r w:rsidR="00A92637">
        <w:rPr>
          <w:rFonts w:asciiTheme="majorHAnsi" w:hAnsiTheme="majorHAnsi"/>
          <w:color w:val="FFFFFF" w:themeColor="background1"/>
          <w:sz w:val="32"/>
          <w:szCs w:val="32"/>
          <w:lang w:val="en-GB"/>
        </w:rPr>
        <w:t>Appeal</w:t>
      </w:r>
      <w:r w:rsidRPr="001E5747">
        <w:rPr>
          <w:rFonts w:asciiTheme="majorHAnsi" w:hAnsiTheme="majorHAnsi"/>
          <w:color w:val="FFFFFF" w:themeColor="background1"/>
          <w:sz w:val="32"/>
          <w:szCs w:val="32"/>
          <w:lang w:val="en-GB"/>
        </w:rPr>
        <w:t xml:space="preserve"> Commission</w:t>
      </w:r>
      <w:bookmarkStart w:id="81" w:name="_Toc61062548"/>
      <w:bookmarkEnd w:id="81"/>
    </w:p>
    <w:p w14:paraId="67486225" w14:textId="6D60E539" w:rsidR="00175AA2" w:rsidRPr="000C3EC3" w:rsidRDefault="00175AA2" w:rsidP="00175AA2">
      <w:pPr>
        <w:rPr>
          <w:rFonts w:asciiTheme="majorHAnsi" w:hAnsiTheme="majorHAnsi"/>
          <w:b/>
          <w:sz w:val="16"/>
          <w:lang w:val="sv-SE"/>
        </w:rPr>
      </w:pPr>
      <w:r w:rsidRPr="0028141A">
        <w:rPr>
          <w:rFonts w:ascii="Cambria" w:hAnsi="Cambria"/>
          <w:b/>
          <w:noProof/>
          <w:sz w:val="22"/>
          <w:lang w:val="en-US"/>
        </w:rPr>
        <w:drawing>
          <wp:anchor distT="0" distB="0" distL="114300" distR="114300" simplePos="0" relativeHeight="251654144" behindDoc="0" locked="0" layoutInCell="1" allowOverlap="1" wp14:anchorId="48388459" wp14:editId="3B3A15EF">
            <wp:simplePos x="0" y="0"/>
            <wp:positionH relativeFrom="margin">
              <wp:align>left</wp:align>
            </wp:positionH>
            <wp:positionV relativeFrom="paragraph">
              <wp:posOffset>8890</wp:posOffset>
            </wp:positionV>
            <wp:extent cx="813435" cy="801370"/>
            <wp:effectExtent l="0" t="0" r="5715" b="0"/>
            <wp:wrapSquare wrapText="bothSides"/>
            <wp:docPr id="2" name="Picture 2" descr="logo Gov Koso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1" name="Picture 2" descr="logo Gov Kosovo.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3435" cy="801370"/>
                    </a:xfrm>
                    <a:prstGeom prst="rect">
                      <a:avLst/>
                    </a:prstGeom>
                    <a:noFill/>
                    <a:ln>
                      <a:noFill/>
                    </a:ln>
                    <a:extLst>
                      <a:ext uri="{FAA26D3D-D897-4be2-8F04-BA451C77F1D7}">
                        <ma14:placeholderFlag xmlns:arto="http://schemas.microsoft.com/office/word/2006/arto" xmlns:mo="http://schemas.microsoft.com/office/mac/office/2008/main" xmlns:mv="urn:schemas-microsoft-com:mac:vml" xmlns:ma14="http://schemas.microsoft.com/office/mac/drawingml/2011/main" xmlns:w="http://schemas.openxmlformats.org/wordprocessingml/2006/main" xmlns:w10="urn:schemas-microsoft-com:office:word" xmlns:v="urn:schemas-microsoft-com:vml" xmlns:o="urn:schemas-microsoft-com:office:office" xmlns=""/>
                      </a:ext>
                    </a:extLst>
                  </pic:spPr>
                </pic:pic>
              </a:graphicData>
            </a:graphic>
          </wp:anchor>
        </w:drawing>
      </w:r>
      <w:r w:rsidRPr="000C3EC3">
        <w:rPr>
          <w:rFonts w:asciiTheme="majorHAnsi" w:hAnsiTheme="majorHAnsi"/>
          <w:b/>
          <w:sz w:val="16"/>
          <w:lang w:val="sv-SE"/>
        </w:rPr>
        <w:t>Republika e Kosovës</w:t>
      </w:r>
    </w:p>
    <w:p w14:paraId="5EEA08F2" w14:textId="77777777" w:rsidR="00175AA2" w:rsidRPr="000C3EC3" w:rsidRDefault="00175AA2" w:rsidP="00175AA2">
      <w:pPr>
        <w:rPr>
          <w:rFonts w:asciiTheme="majorHAnsi" w:hAnsiTheme="majorHAnsi"/>
          <w:b/>
          <w:sz w:val="16"/>
          <w:lang w:val="sv-SE"/>
        </w:rPr>
      </w:pPr>
      <w:r w:rsidRPr="000C3EC3">
        <w:rPr>
          <w:rFonts w:asciiTheme="majorHAnsi" w:hAnsiTheme="majorHAnsi"/>
          <w:b/>
          <w:sz w:val="16"/>
          <w:lang w:val="sv-SE"/>
        </w:rPr>
        <w:t>Republika Kosova - Republic of Kosovo</w:t>
      </w:r>
    </w:p>
    <w:p w14:paraId="53660E25" w14:textId="77777777" w:rsidR="00175AA2" w:rsidRPr="001E5747" w:rsidRDefault="00175AA2" w:rsidP="00175AA2">
      <w:pPr>
        <w:rPr>
          <w:rFonts w:asciiTheme="majorHAnsi" w:hAnsiTheme="majorHAnsi" w:cs="Book Antiqua"/>
          <w:b/>
          <w:bCs/>
          <w:iCs/>
          <w:sz w:val="16"/>
          <w:szCs w:val="16"/>
          <w:lang w:val="en-GB" w:eastAsia="de-CH"/>
        </w:rPr>
      </w:pPr>
      <w:r w:rsidRPr="001E5747">
        <w:rPr>
          <w:rFonts w:asciiTheme="majorHAnsi" w:hAnsiTheme="majorHAnsi" w:cs="Book Antiqua"/>
          <w:b/>
          <w:bCs/>
          <w:iCs/>
          <w:sz w:val="16"/>
          <w:szCs w:val="16"/>
          <w:lang w:val="en-GB" w:eastAsia="de-CH"/>
        </w:rPr>
        <w:t xml:space="preserve">Qeveria - Vlada - Government </w:t>
      </w:r>
    </w:p>
    <w:p w14:paraId="0D39804E" w14:textId="77777777" w:rsidR="00175AA2" w:rsidRPr="001E5747" w:rsidRDefault="00175AA2" w:rsidP="00175AA2">
      <w:pPr>
        <w:rPr>
          <w:rFonts w:asciiTheme="majorHAnsi" w:hAnsiTheme="majorHAnsi" w:cs="Book Antiqua"/>
          <w:b/>
          <w:bCs/>
          <w:iCs/>
          <w:sz w:val="16"/>
          <w:szCs w:val="16"/>
          <w:lang w:val="en-GB" w:eastAsia="de-CH"/>
        </w:rPr>
      </w:pPr>
    </w:p>
    <w:p w14:paraId="71FBE229" w14:textId="77777777" w:rsidR="00D25AD4" w:rsidRPr="001E5747" w:rsidRDefault="00D25AD4" w:rsidP="00D25AD4">
      <w:pPr>
        <w:rPr>
          <w:rFonts w:asciiTheme="majorHAnsi" w:hAnsiTheme="majorHAnsi"/>
          <w:sz w:val="16"/>
          <w:szCs w:val="16"/>
          <w:lang w:val="en-GB" w:eastAsia="de-CH"/>
        </w:rPr>
      </w:pPr>
      <w:r w:rsidRPr="001E5747">
        <w:rPr>
          <w:rFonts w:asciiTheme="majorHAnsi" w:hAnsiTheme="majorHAnsi"/>
          <w:sz w:val="16"/>
          <w:szCs w:val="16"/>
          <w:lang w:val="en-GB" w:eastAsia="de-CH"/>
        </w:rPr>
        <w:t xml:space="preserve">Ministria e </w:t>
      </w:r>
      <w:r>
        <w:rPr>
          <w:rFonts w:asciiTheme="majorHAnsi" w:hAnsiTheme="majorHAnsi"/>
          <w:sz w:val="16"/>
          <w:szCs w:val="16"/>
          <w:lang w:val="en-GB" w:eastAsia="de-CH"/>
        </w:rPr>
        <w:t xml:space="preserve">Administrimit të </w:t>
      </w:r>
      <w:r w:rsidRPr="001E5747">
        <w:rPr>
          <w:rFonts w:asciiTheme="majorHAnsi" w:hAnsiTheme="majorHAnsi"/>
          <w:sz w:val="16"/>
          <w:szCs w:val="16"/>
          <w:lang w:val="en-GB" w:eastAsia="de-CH"/>
        </w:rPr>
        <w:t>Pushtetit Lokal</w:t>
      </w:r>
    </w:p>
    <w:p w14:paraId="67203714" w14:textId="77777777" w:rsidR="00D25AD4" w:rsidRPr="001E5747" w:rsidRDefault="00D25AD4" w:rsidP="00D25AD4">
      <w:pPr>
        <w:rPr>
          <w:rFonts w:asciiTheme="majorHAnsi" w:hAnsiTheme="majorHAnsi"/>
          <w:sz w:val="16"/>
          <w:szCs w:val="16"/>
          <w:lang w:val="en-GB" w:eastAsia="de-CH"/>
        </w:rPr>
      </w:pPr>
      <w:r w:rsidRPr="001E5747">
        <w:rPr>
          <w:rFonts w:asciiTheme="majorHAnsi" w:hAnsiTheme="majorHAnsi"/>
          <w:sz w:val="16"/>
          <w:szCs w:val="16"/>
          <w:lang w:val="en-GB" w:eastAsia="de-CH"/>
        </w:rPr>
        <w:t>Ministarstvo</w:t>
      </w:r>
      <w:r>
        <w:rPr>
          <w:rFonts w:asciiTheme="majorHAnsi" w:hAnsiTheme="majorHAnsi"/>
          <w:sz w:val="16"/>
          <w:szCs w:val="16"/>
          <w:lang w:val="en-GB" w:eastAsia="de-CH"/>
        </w:rPr>
        <w:t xml:space="preserve"> Administracije</w:t>
      </w:r>
      <w:r w:rsidRPr="001E5747">
        <w:rPr>
          <w:rFonts w:asciiTheme="majorHAnsi" w:hAnsiTheme="majorHAnsi"/>
          <w:sz w:val="16"/>
          <w:szCs w:val="16"/>
          <w:lang w:val="en-GB" w:eastAsia="de-CH"/>
        </w:rPr>
        <w:t xml:space="preserve"> Lokalne Samouprave</w:t>
      </w:r>
    </w:p>
    <w:p w14:paraId="59EDE197" w14:textId="77777777" w:rsidR="00D25AD4" w:rsidRPr="001E5747" w:rsidRDefault="00D25AD4" w:rsidP="00D25AD4">
      <w:pPr>
        <w:rPr>
          <w:rFonts w:asciiTheme="majorHAnsi" w:hAnsiTheme="majorHAnsi" w:cs="Arial"/>
          <w:sz w:val="16"/>
          <w:szCs w:val="16"/>
          <w:lang w:val="en-GB" w:eastAsia="de-CH"/>
        </w:rPr>
      </w:pPr>
      <w:r w:rsidRPr="001E5747">
        <w:rPr>
          <w:rFonts w:asciiTheme="majorHAnsi" w:hAnsiTheme="majorHAnsi"/>
          <w:sz w:val="16"/>
          <w:szCs w:val="16"/>
          <w:lang w:val="en-GB" w:eastAsia="de-CH"/>
        </w:rPr>
        <w:t xml:space="preserve">Ministry of Local Government </w:t>
      </w:r>
      <w:r>
        <w:rPr>
          <w:rFonts w:asciiTheme="majorHAnsi" w:hAnsiTheme="majorHAnsi"/>
          <w:sz w:val="16"/>
          <w:szCs w:val="16"/>
          <w:lang w:val="en-GB" w:eastAsia="de-CH"/>
        </w:rPr>
        <w:t>Administration</w:t>
      </w:r>
    </w:p>
    <w:p w14:paraId="15F44A34" w14:textId="77777777" w:rsidR="00175AA2" w:rsidRPr="001E5747" w:rsidRDefault="00175AA2" w:rsidP="00175AA2">
      <w:pPr>
        <w:rPr>
          <w:rFonts w:asciiTheme="majorHAnsi" w:hAnsiTheme="majorHAnsi" w:cstheme="majorHAnsi"/>
          <w:color w:val="FFFFFF" w:themeColor="background1"/>
          <w:sz w:val="21"/>
          <w:szCs w:val="21"/>
          <w:lang w:val="en-GB"/>
        </w:rPr>
      </w:pPr>
    </w:p>
    <w:p w14:paraId="57CF7964" w14:textId="77777777" w:rsidR="00175AA2" w:rsidRPr="001E5747" w:rsidRDefault="00175AA2" w:rsidP="00175AA2">
      <w:pPr>
        <w:rPr>
          <w:rFonts w:asciiTheme="majorHAnsi" w:hAnsiTheme="majorHAnsi" w:cstheme="majorHAnsi"/>
          <w:color w:val="FFFFFF" w:themeColor="background1"/>
          <w:sz w:val="21"/>
          <w:szCs w:val="21"/>
          <w:lang w:val="en-GB"/>
        </w:rPr>
      </w:pPr>
    </w:p>
    <w:p w14:paraId="4D70DCA0" w14:textId="77777777" w:rsidR="00175AA2" w:rsidRPr="001E5747" w:rsidRDefault="00175AA2" w:rsidP="00175AA2">
      <w:pPr>
        <w:rPr>
          <w:rFonts w:asciiTheme="majorHAnsi" w:hAnsiTheme="majorHAnsi" w:cstheme="majorHAnsi"/>
          <w:color w:val="FFFFFF" w:themeColor="background1"/>
          <w:sz w:val="21"/>
          <w:szCs w:val="21"/>
          <w:lang w:val="en-GB"/>
        </w:rPr>
      </w:pPr>
    </w:p>
    <w:p w14:paraId="7DCCC428" w14:textId="77777777" w:rsidR="00175AA2" w:rsidRPr="001E5747" w:rsidRDefault="00175AA2" w:rsidP="00175AA2">
      <w:pPr>
        <w:rPr>
          <w:rFonts w:asciiTheme="majorHAnsi" w:hAnsiTheme="majorHAnsi" w:cstheme="majorHAnsi"/>
          <w:color w:val="FFFFFF" w:themeColor="background1"/>
          <w:sz w:val="21"/>
          <w:szCs w:val="21"/>
          <w:lang w:val="en-GB"/>
        </w:rPr>
      </w:pPr>
    </w:p>
    <w:p w14:paraId="338E3129" w14:textId="77777777" w:rsidR="00175AA2" w:rsidRPr="001E5747" w:rsidRDefault="00175AA2" w:rsidP="00175AA2">
      <w:pPr>
        <w:rPr>
          <w:rFonts w:asciiTheme="majorHAnsi" w:hAnsiTheme="majorHAnsi" w:cstheme="majorHAnsi"/>
          <w:color w:val="FFFFFF" w:themeColor="background1"/>
          <w:sz w:val="21"/>
          <w:szCs w:val="21"/>
          <w:lang w:val="en-GB"/>
        </w:rPr>
      </w:pPr>
    </w:p>
    <w:p w14:paraId="7100CAD5" w14:textId="77777777" w:rsidR="00175AA2" w:rsidRPr="001E5747" w:rsidRDefault="00175AA2" w:rsidP="00175AA2">
      <w:pPr>
        <w:rPr>
          <w:rFonts w:asciiTheme="majorHAnsi" w:hAnsiTheme="majorHAnsi" w:cstheme="majorHAnsi"/>
          <w:color w:val="FFFFFF" w:themeColor="background1"/>
          <w:sz w:val="21"/>
          <w:szCs w:val="21"/>
          <w:lang w:val="en-GB"/>
        </w:rPr>
      </w:pPr>
    </w:p>
    <w:p w14:paraId="46723E85" w14:textId="77777777" w:rsidR="00175AA2" w:rsidRPr="001E5747" w:rsidRDefault="00175AA2" w:rsidP="00175AA2">
      <w:pPr>
        <w:rPr>
          <w:rFonts w:asciiTheme="majorHAnsi" w:hAnsiTheme="majorHAnsi" w:cstheme="majorHAnsi"/>
          <w:color w:val="FFFFFF" w:themeColor="background1"/>
          <w:sz w:val="21"/>
          <w:szCs w:val="21"/>
          <w:lang w:val="en-GB"/>
        </w:rPr>
      </w:pPr>
    </w:p>
    <w:p w14:paraId="27D558F2" w14:textId="77777777" w:rsidR="00175AA2" w:rsidRPr="001E5747" w:rsidRDefault="00175AA2" w:rsidP="00175AA2">
      <w:pPr>
        <w:rPr>
          <w:rFonts w:asciiTheme="majorHAnsi" w:hAnsiTheme="majorHAnsi" w:cstheme="majorHAnsi"/>
          <w:color w:val="FFFFFF" w:themeColor="background1"/>
          <w:sz w:val="21"/>
          <w:szCs w:val="21"/>
          <w:lang w:val="en-GB"/>
        </w:rPr>
      </w:pPr>
    </w:p>
    <w:p w14:paraId="3EC21395" w14:textId="77777777" w:rsidR="00175AA2" w:rsidRPr="001E5747" w:rsidRDefault="00175AA2" w:rsidP="00175AA2">
      <w:pPr>
        <w:rPr>
          <w:rFonts w:asciiTheme="majorHAnsi" w:hAnsiTheme="majorHAnsi" w:cstheme="majorHAnsi"/>
          <w:color w:val="FFFFFF" w:themeColor="background1"/>
          <w:sz w:val="21"/>
          <w:szCs w:val="21"/>
          <w:lang w:val="en-GB"/>
        </w:rPr>
      </w:pPr>
    </w:p>
    <w:p w14:paraId="36760289" w14:textId="77777777" w:rsidR="00175AA2" w:rsidRPr="001E5747" w:rsidRDefault="00175AA2" w:rsidP="00175AA2">
      <w:pPr>
        <w:rPr>
          <w:rFonts w:asciiTheme="majorHAnsi" w:hAnsiTheme="majorHAnsi" w:cstheme="majorHAnsi"/>
          <w:color w:val="FFFFFF" w:themeColor="background1"/>
          <w:sz w:val="21"/>
          <w:szCs w:val="21"/>
          <w:lang w:val="en-GB"/>
        </w:rPr>
      </w:pPr>
    </w:p>
    <w:p w14:paraId="684C1F94" w14:textId="77777777" w:rsidR="00175AA2" w:rsidRPr="001E5747" w:rsidRDefault="00175AA2" w:rsidP="00175AA2">
      <w:pPr>
        <w:rPr>
          <w:rFonts w:asciiTheme="majorHAnsi" w:hAnsiTheme="majorHAnsi" w:cstheme="majorHAnsi"/>
          <w:color w:val="FFFFFF" w:themeColor="background1"/>
          <w:sz w:val="21"/>
          <w:szCs w:val="21"/>
          <w:lang w:val="en-GB"/>
        </w:rPr>
      </w:pPr>
    </w:p>
    <w:p w14:paraId="4B645A7D" w14:textId="77777777" w:rsidR="00175AA2" w:rsidRPr="001E5747" w:rsidRDefault="00175AA2" w:rsidP="00175AA2">
      <w:pPr>
        <w:rPr>
          <w:rFonts w:asciiTheme="majorHAnsi" w:hAnsiTheme="majorHAnsi" w:cstheme="majorHAnsi"/>
          <w:color w:val="FFFFFF" w:themeColor="background1"/>
          <w:sz w:val="21"/>
          <w:szCs w:val="21"/>
          <w:lang w:val="en-GB"/>
        </w:rPr>
      </w:pPr>
    </w:p>
    <w:p w14:paraId="63F05290" w14:textId="77777777" w:rsidR="00175AA2" w:rsidRPr="001E5747" w:rsidRDefault="00175AA2" w:rsidP="00175AA2">
      <w:pPr>
        <w:rPr>
          <w:rFonts w:ascii="Calibri" w:hAnsi="Calibri" w:cs="Arial"/>
          <w:b/>
          <w:sz w:val="32"/>
          <w:szCs w:val="32"/>
          <w:u w:val="single"/>
          <w:lang w:val="en-GB" w:eastAsia="de-CH"/>
        </w:rPr>
      </w:pPr>
      <w:r w:rsidRPr="001E5747">
        <w:rPr>
          <w:rFonts w:ascii="Calibri" w:hAnsi="Calibri" w:cs="Arial"/>
          <w:b/>
          <w:sz w:val="32"/>
          <w:szCs w:val="32"/>
          <w:u w:val="single"/>
          <w:lang w:val="en-GB" w:eastAsia="de-CH"/>
        </w:rPr>
        <w:t>Terms of reference</w:t>
      </w:r>
    </w:p>
    <w:p w14:paraId="159C4066" w14:textId="77777777" w:rsidR="00175AA2" w:rsidRPr="001E5747" w:rsidRDefault="00175AA2" w:rsidP="00175AA2">
      <w:pPr>
        <w:rPr>
          <w:rFonts w:ascii="Calibri" w:hAnsi="Calibri" w:cs="Arial"/>
          <w:b/>
          <w:sz w:val="32"/>
          <w:szCs w:val="32"/>
          <w:u w:val="single"/>
          <w:lang w:val="en-GB" w:eastAsia="de-CH"/>
        </w:rPr>
      </w:pPr>
      <w:r w:rsidRPr="001E5747">
        <w:rPr>
          <w:rFonts w:ascii="Calibri" w:hAnsi="Calibri" w:cs="Arial"/>
          <w:b/>
          <w:sz w:val="32"/>
          <w:szCs w:val="32"/>
          <w:u w:val="single"/>
          <w:lang w:val="en-GB" w:eastAsia="de-CH"/>
        </w:rPr>
        <w:t>for</w:t>
      </w:r>
    </w:p>
    <w:p w14:paraId="265F339E" w14:textId="77777777" w:rsidR="00175AA2" w:rsidRPr="001E5747" w:rsidRDefault="004D6783" w:rsidP="00175AA2">
      <w:pPr>
        <w:rPr>
          <w:rFonts w:ascii="Calibri" w:hAnsi="Calibri" w:cs="Arial"/>
          <w:b/>
          <w:sz w:val="32"/>
          <w:szCs w:val="32"/>
          <w:u w:val="single"/>
          <w:lang w:val="en-GB" w:eastAsia="de-CH"/>
        </w:rPr>
      </w:pPr>
      <w:r>
        <w:rPr>
          <w:rFonts w:ascii="Calibri" w:hAnsi="Calibri" w:cs="Arial"/>
          <w:b/>
          <w:sz w:val="32"/>
          <w:szCs w:val="32"/>
          <w:u w:val="single"/>
          <w:lang w:val="en-GB" w:eastAsia="de-CH"/>
        </w:rPr>
        <w:t>Appeal</w:t>
      </w:r>
      <w:r w:rsidR="004734E7">
        <w:rPr>
          <w:rFonts w:ascii="Calibri" w:hAnsi="Calibri" w:cs="Arial"/>
          <w:b/>
          <w:sz w:val="32"/>
          <w:szCs w:val="32"/>
          <w:u w:val="single"/>
          <w:lang w:val="en-GB" w:eastAsia="de-CH"/>
        </w:rPr>
        <w:t>s</w:t>
      </w:r>
      <w:r w:rsidR="00175AA2" w:rsidRPr="001E5747">
        <w:rPr>
          <w:rFonts w:ascii="Calibri" w:hAnsi="Calibri" w:cs="Arial"/>
          <w:b/>
          <w:sz w:val="32"/>
          <w:szCs w:val="32"/>
          <w:u w:val="single"/>
          <w:lang w:val="en-GB" w:eastAsia="de-CH"/>
        </w:rPr>
        <w:t xml:space="preserve"> Commission </w:t>
      </w:r>
    </w:p>
    <w:p w14:paraId="2D4BEE78" w14:textId="77777777" w:rsidR="00175AA2" w:rsidRPr="001E5747" w:rsidRDefault="00175AA2" w:rsidP="00175AA2">
      <w:pPr>
        <w:rPr>
          <w:rFonts w:asciiTheme="majorHAnsi" w:hAnsiTheme="majorHAnsi" w:cstheme="majorHAnsi"/>
          <w:sz w:val="21"/>
          <w:szCs w:val="21"/>
          <w:lang w:val="en-GB"/>
        </w:rPr>
      </w:pPr>
    </w:p>
    <w:p w14:paraId="550842AA" w14:textId="77777777" w:rsidR="00175AA2" w:rsidRPr="001E5747" w:rsidRDefault="00175AA2" w:rsidP="00175AA2">
      <w:pPr>
        <w:rPr>
          <w:rFonts w:asciiTheme="majorHAnsi" w:hAnsiTheme="majorHAnsi" w:cstheme="majorHAnsi"/>
          <w:sz w:val="21"/>
          <w:szCs w:val="21"/>
          <w:lang w:val="en-GB"/>
        </w:rPr>
      </w:pPr>
    </w:p>
    <w:p w14:paraId="38F26221" w14:textId="77777777" w:rsidR="00175AA2" w:rsidRPr="001E5747" w:rsidRDefault="00175AA2" w:rsidP="00175AA2">
      <w:pPr>
        <w:rPr>
          <w:rFonts w:asciiTheme="majorHAnsi" w:hAnsiTheme="majorHAnsi" w:cstheme="majorHAnsi"/>
          <w:sz w:val="21"/>
          <w:szCs w:val="21"/>
          <w:lang w:val="en-GB"/>
        </w:rPr>
      </w:pPr>
    </w:p>
    <w:p w14:paraId="45AB54D2" w14:textId="77777777" w:rsidR="00175AA2" w:rsidRPr="001E5747" w:rsidRDefault="00175AA2" w:rsidP="00175AA2">
      <w:pPr>
        <w:rPr>
          <w:rFonts w:asciiTheme="majorHAnsi" w:hAnsiTheme="majorHAnsi" w:cstheme="majorHAnsi"/>
          <w:sz w:val="21"/>
          <w:szCs w:val="21"/>
          <w:lang w:val="en-GB"/>
        </w:rPr>
      </w:pPr>
    </w:p>
    <w:p w14:paraId="58E1C50B" w14:textId="77777777" w:rsidR="00175AA2" w:rsidRPr="001E5747" w:rsidRDefault="00175AA2" w:rsidP="00175AA2">
      <w:pPr>
        <w:rPr>
          <w:rFonts w:asciiTheme="majorHAnsi" w:hAnsiTheme="majorHAnsi" w:cstheme="majorHAnsi"/>
          <w:sz w:val="21"/>
          <w:szCs w:val="21"/>
          <w:lang w:val="en-GB"/>
        </w:rPr>
      </w:pPr>
    </w:p>
    <w:p w14:paraId="68511F25" w14:textId="77777777" w:rsidR="00175AA2" w:rsidRPr="001E5747" w:rsidRDefault="00175AA2" w:rsidP="00175AA2">
      <w:pPr>
        <w:rPr>
          <w:rFonts w:asciiTheme="majorHAnsi" w:hAnsiTheme="majorHAnsi" w:cstheme="majorHAnsi"/>
          <w:sz w:val="21"/>
          <w:szCs w:val="21"/>
          <w:lang w:val="en-GB"/>
        </w:rPr>
      </w:pPr>
    </w:p>
    <w:p w14:paraId="0B24BAB7" w14:textId="77777777" w:rsidR="00175AA2" w:rsidRPr="001E5747" w:rsidRDefault="00175AA2" w:rsidP="00175AA2">
      <w:pPr>
        <w:rPr>
          <w:rFonts w:asciiTheme="majorHAnsi" w:hAnsiTheme="majorHAnsi" w:cstheme="majorHAnsi"/>
          <w:sz w:val="21"/>
          <w:szCs w:val="21"/>
          <w:lang w:val="en-GB"/>
        </w:rPr>
      </w:pPr>
    </w:p>
    <w:p w14:paraId="1B1BC404" w14:textId="77777777" w:rsidR="00175AA2" w:rsidRPr="001E5747" w:rsidRDefault="00175AA2" w:rsidP="00175AA2">
      <w:pPr>
        <w:rPr>
          <w:rFonts w:asciiTheme="majorHAnsi" w:hAnsiTheme="majorHAnsi" w:cstheme="majorHAnsi"/>
          <w:sz w:val="21"/>
          <w:szCs w:val="21"/>
          <w:lang w:val="en-GB"/>
        </w:rPr>
      </w:pPr>
    </w:p>
    <w:p w14:paraId="133B9683" w14:textId="77777777" w:rsidR="00175AA2" w:rsidRPr="001E5747" w:rsidRDefault="00175AA2" w:rsidP="00175AA2">
      <w:pPr>
        <w:rPr>
          <w:rFonts w:asciiTheme="majorHAnsi" w:hAnsiTheme="majorHAnsi" w:cstheme="majorHAnsi"/>
          <w:sz w:val="21"/>
          <w:szCs w:val="21"/>
          <w:lang w:val="en-GB"/>
        </w:rPr>
      </w:pPr>
    </w:p>
    <w:p w14:paraId="7009D6E2" w14:textId="77777777" w:rsidR="00175AA2" w:rsidRPr="001E5747" w:rsidRDefault="00175AA2" w:rsidP="00175AA2">
      <w:pPr>
        <w:rPr>
          <w:rFonts w:asciiTheme="majorHAnsi" w:hAnsiTheme="majorHAnsi" w:cstheme="majorHAnsi"/>
          <w:sz w:val="21"/>
          <w:szCs w:val="21"/>
          <w:lang w:val="en-GB"/>
        </w:rPr>
      </w:pPr>
    </w:p>
    <w:p w14:paraId="44859E41" w14:textId="77777777" w:rsidR="00175AA2" w:rsidRPr="001E5747" w:rsidRDefault="00175AA2" w:rsidP="00175AA2">
      <w:pPr>
        <w:rPr>
          <w:rFonts w:asciiTheme="majorHAnsi" w:hAnsiTheme="majorHAnsi" w:cstheme="majorHAnsi"/>
          <w:sz w:val="21"/>
          <w:szCs w:val="21"/>
          <w:lang w:val="en-GB"/>
        </w:rPr>
      </w:pPr>
    </w:p>
    <w:p w14:paraId="5514EAB8" w14:textId="77777777" w:rsidR="00175AA2" w:rsidRPr="001E5747" w:rsidRDefault="00175AA2" w:rsidP="00175AA2">
      <w:pPr>
        <w:rPr>
          <w:rFonts w:asciiTheme="majorHAnsi" w:hAnsiTheme="majorHAnsi" w:cstheme="majorHAnsi"/>
          <w:sz w:val="21"/>
          <w:szCs w:val="21"/>
          <w:lang w:val="en-GB"/>
        </w:rPr>
      </w:pPr>
    </w:p>
    <w:p w14:paraId="1E7D7D25" w14:textId="77777777" w:rsidR="00175AA2" w:rsidRPr="001E5747" w:rsidRDefault="00175AA2" w:rsidP="00175AA2">
      <w:pPr>
        <w:rPr>
          <w:rFonts w:asciiTheme="majorHAnsi" w:hAnsiTheme="majorHAnsi" w:cstheme="majorHAnsi"/>
          <w:sz w:val="21"/>
          <w:szCs w:val="21"/>
          <w:lang w:val="en-GB"/>
        </w:rPr>
      </w:pPr>
    </w:p>
    <w:p w14:paraId="4F36C849" w14:textId="77777777" w:rsidR="00175AA2" w:rsidRPr="001E5747" w:rsidRDefault="00175AA2" w:rsidP="00175AA2">
      <w:pPr>
        <w:rPr>
          <w:rFonts w:asciiTheme="majorHAnsi" w:hAnsiTheme="majorHAnsi" w:cstheme="majorHAnsi"/>
          <w:sz w:val="21"/>
          <w:szCs w:val="21"/>
          <w:lang w:val="en-GB"/>
        </w:rPr>
      </w:pPr>
    </w:p>
    <w:p w14:paraId="03AE7C2E" w14:textId="77777777" w:rsidR="00175AA2" w:rsidRPr="001E5747" w:rsidRDefault="00175AA2" w:rsidP="00175AA2">
      <w:pPr>
        <w:rPr>
          <w:rFonts w:asciiTheme="majorHAnsi" w:hAnsiTheme="majorHAnsi" w:cstheme="majorHAnsi"/>
          <w:sz w:val="21"/>
          <w:szCs w:val="21"/>
          <w:lang w:val="en-GB"/>
        </w:rPr>
      </w:pPr>
    </w:p>
    <w:p w14:paraId="57DE9427" w14:textId="77777777" w:rsidR="00175AA2" w:rsidRPr="001E5747" w:rsidRDefault="00175AA2" w:rsidP="00175AA2">
      <w:pPr>
        <w:rPr>
          <w:rFonts w:asciiTheme="majorHAnsi" w:hAnsiTheme="majorHAnsi" w:cstheme="majorHAnsi"/>
          <w:sz w:val="21"/>
          <w:szCs w:val="21"/>
          <w:lang w:val="en-GB"/>
        </w:rPr>
      </w:pPr>
    </w:p>
    <w:p w14:paraId="10E672CA" w14:textId="77777777" w:rsidR="00175AA2" w:rsidRPr="001E5747" w:rsidRDefault="00175AA2" w:rsidP="00175AA2">
      <w:pPr>
        <w:rPr>
          <w:rFonts w:asciiTheme="majorHAnsi" w:hAnsiTheme="majorHAnsi" w:cstheme="majorHAnsi"/>
          <w:sz w:val="21"/>
          <w:szCs w:val="21"/>
          <w:lang w:val="en-GB"/>
        </w:rPr>
      </w:pPr>
    </w:p>
    <w:p w14:paraId="73CE61F5" w14:textId="77777777" w:rsidR="00175AA2" w:rsidRPr="001E5747" w:rsidRDefault="00175AA2" w:rsidP="00175AA2">
      <w:pPr>
        <w:rPr>
          <w:rFonts w:asciiTheme="majorHAnsi" w:hAnsiTheme="majorHAnsi" w:cstheme="majorHAnsi"/>
          <w:sz w:val="21"/>
          <w:szCs w:val="21"/>
          <w:lang w:val="en-GB"/>
        </w:rPr>
      </w:pPr>
    </w:p>
    <w:p w14:paraId="4F90E525" w14:textId="77777777" w:rsidR="00175AA2" w:rsidRPr="001E5747" w:rsidRDefault="00175AA2" w:rsidP="00175AA2">
      <w:pPr>
        <w:rPr>
          <w:rFonts w:asciiTheme="majorHAnsi" w:hAnsiTheme="majorHAnsi" w:cstheme="majorHAnsi"/>
          <w:sz w:val="21"/>
          <w:szCs w:val="21"/>
          <w:lang w:val="en-GB"/>
        </w:rPr>
      </w:pPr>
    </w:p>
    <w:p w14:paraId="04B3A113" w14:textId="77777777" w:rsidR="00175AA2" w:rsidRPr="001E5747" w:rsidRDefault="00175AA2" w:rsidP="00175AA2">
      <w:pPr>
        <w:rPr>
          <w:rFonts w:asciiTheme="majorHAnsi" w:hAnsiTheme="majorHAnsi" w:cstheme="majorHAnsi"/>
          <w:color w:val="FFFFFF" w:themeColor="background1"/>
          <w:sz w:val="21"/>
          <w:szCs w:val="21"/>
          <w:lang w:val="en-GB"/>
        </w:rPr>
      </w:pPr>
    </w:p>
    <w:p w14:paraId="7A370734" w14:textId="77777777" w:rsidR="00175AA2" w:rsidRPr="001E5747" w:rsidRDefault="00175AA2" w:rsidP="00175AA2">
      <w:pPr>
        <w:rPr>
          <w:rFonts w:asciiTheme="majorHAnsi" w:hAnsiTheme="majorHAnsi" w:cstheme="majorHAnsi"/>
          <w:color w:val="FFFFFF" w:themeColor="background1"/>
          <w:sz w:val="21"/>
          <w:szCs w:val="21"/>
          <w:lang w:val="en-GB"/>
        </w:rPr>
      </w:pPr>
    </w:p>
    <w:p w14:paraId="2C1C43AA" w14:textId="77777777" w:rsidR="00175AA2" w:rsidRPr="001E5747" w:rsidRDefault="00175AA2" w:rsidP="00175AA2">
      <w:pPr>
        <w:rPr>
          <w:rFonts w:asciiTheme="majorHAnsi" w:hAnsiTheme="majorHAnsi" w:cstheme="majorHAnsi"/>
          <w:color w:val="FFFFFF" w:themeColor="background1"/>
          <w:sz w:val="21"/>
          <w:szCs w:val="21"/>
          <w:lang w:val="en-GB"/>
        </w:rPr>
      </w:pPr>
    </w:p>
    <w:p w14:paraId="535C8847" w14:textId="77777777" w:rsidR="00175AA2" w:rsidRPr="001E5747" w:rsidRDefault="00175AA2" w:rsidP="00175AA2">
      <w:pPr>
        <w:rPr>
          <w:rFonts w:asciiTheme="majorHAnsi" w:hAnsiTheme="majorHAnsi" w:cstheme="majorHAnsi"/>
          <w:color w:val="FFFFFF" w:themeColor="background1"/>
          <w:sz w:val="21"/>
          <w:szCs w:val="21"/>
          <w:lang w:val="en-GB"/>
        </w:rPr>
      </w:pPr>
    </w:p>
    <w:p w14:paraId="1FE4FC7D" w14:textId="77777777" w:rsidR="00175AA2" w:rsidRPr="001E5747" w:rsidRDefault="00175AA2" w:rsidP="00175AA2">
      <w:pPr>
        <w:rPr>
          <w:rFonts w:asciiTheme="majorHAnsi" w:hAnsiTheme="majorHAnsi" w:cstheme="majorHAnsi"/>
          <w:color w:val="FFFFFF" w:themeColor="background1"/>
          <w:sz w:val="21"/>
          <w:szCs w:val="21"/>
          <w:lang w:val="en-GB"/>
        </w:rPr>
      </w:pPr>
    </w:p>
    <w:p w14:paraId="2EB70215" w14:textId="77777777" w:rsidR="00175AA2" w:rsidRPr="001E5747" w:rsidRDefault="00175AA2" w:rsidP="00175AA2">
      <w:pPr>
        <w:rPr>
          <w:rFonts w:asciiTheme="majorHAnsi" w:hAnsiTheme="majorHAnsi" w:cstheme="majorHAnsi"/>
          <w:color w:val="FFFFFF" w:themeColor="background1"/>
          <w:sz w:val="21"/>
          <w:szCs w:val="21"/>
          <w:lang w:val="en-GB"/>
        </w:rPr>
      </w:pPr>
    </w:p>
    <w:p w14:paraId="3DD79BB9" w14:textId="77777777" w:rsidR="00175AA2" w:rsidRPr="001E5747" w:rsidRDefault="00175AA2" w:rsidP="00175AA2">
      <w:pPr>
        <w:rPr>
          <w:rFonts w:asciiTheme="majorHAnsi" w:hAnsiTheme="majorHAnsi" w:cstheme="majorHAnsi"/>
          <w:color w:val="FFFFFF" w:themeColor="background1"/>
          <w:sz w:val="21"/>
          <w:szCs w:val="21"/>
          <w:lang w:val="en-GB"/>
        </w:rPr>
      </w:pPr>
    </w:p>
    <w:p w14:paraId="137DD59C" w14:textId="77777777" w:rsidR="00175AA2" w:rsidRPr="001E5747" w:rsidRDefault="00175AA2" w:rsidP="00175AA2">
      <w:pPr>
        <w:rPr>
          <w:rFonts w:asciiTheme="majorHAnsi" w:hAnsiTheme="majorHAnsi" w:cstheme="majorHAnsi"/>
          <w:color w:val="FFFFFF" w:themeColor="background1"/>
          <w:sz w:val="21"/>
          <w:szCs w:val="21"/>
          <w:lang w:val="en-GB"/>
        </w:rPr>
      </w:pPr>
    </w:p>
    <w:p w14:paraId="5D788D7F" w14:textId="77777777" w:rsidR="00175AA2" w:rsidRPr="001E5747" w:rsidRDefault="00175AA2" w:rsidP="00175AA2">
      <w:pPr>
        <w:rPr>
          <w:rFonts w:asciiTheme="majorHAnsi" w:hAnsiTheme="majorHAnsi" w:cstheme="majorHAnsi"/>
          <w:color w:val="FFFFFF" w:themeColor="background1"/>
          <w:sz w:val="21"/>
          <w:szCs w:val="21"/>
          <w:lang w:val="en-GB"/>
        </w:rPr>
      </w:pPr>
    </w:p>
    <w:p w14:paraId="74D93A71" w14:textId="77777777" w:rsidR="00175AA2" w:rsidRPr="001E5747" w:rsidRDefault="00175AA2" w:rsidP="00175AA2">
      <w:pPr>
        <w:rPr>
          <w:rFonts w:asciiTheme="majorHAnsi" w:hAnsiTheme="majorHAnsi" w:cstheme="majorHAnsi"/>
          <w:color w:val="FFFFFF" w:themeColor="background1"/>
          <w:sz w:val="21"/>
          <w:szCs w:val="21"/>
          <w:lang w:val="en-GB"/>
        </w:rPr>
      </w:pPr>
    </w:p>
    <w:p w14:paraId="4CA4042D" w14:textId="77777777" w:rsidR="00175AA2" w:rsidRPr="001E5747" w:rsidRDefault="00175AA2" w:rsidP="00175AA2">
      <w:pPr>
        <w:rPr>
          <w:rFonts w:asciiTheme="majorHAnsi" w:hAnsiTheme="majorHAnsi" w:cstheme="majorHAnsi"/>
          <w:color w:val="FFFFFF" w:themeColor="background1"/>
          <w:sz w:val="21"/>
          <w:szCs w:val="21"/>
          <w:lang w:val="en-GB"/>
        </w:rPr>
      </w:pPr>
    </w:p>
    <w:p w14:paraId="4B410764" w14:textId="77777777" w:rsidR="00175AA2" w:rsidRPr="001E5747" w:rsidRDefault="00175AA2" w:rsidP="00175AA2">
      <w:pPr>
        <w:rPr>
          <w:rFonts w:asciiTheme="majorHAnsi" w:hAnsiTheme="majorHAnsi" w:cstheme="majorHAnsi"/>
          <w:color w:val="FFFFFF" w:themeColor="background1"/>
          <w:sz w:val="21"/>
          <w:szCs w:val="21"/>
          <w:lang w:val="en-GB"/>
        </w:rPr>
      </w:pPr>
    </w:p>
    <w:p w14:paraId="18C56764" w14:textId="77777777" w:rsidR="00175AA2" w:rsidRPr="001E5747" w:rsidRDefault="00175AA2" w:rsidP="00175AA2">
      <w:pPr>
        <w:spacing w:before="80" w:line="252" w:lineRule="auto"/>
        <w:jc w:val="both"/>
        <w:rPr>
          <w:rFonts w:asciiTheme="majorHAnsi" w:hAnsiTheme="majorHAnsi"/>
          <w:sz w:val="21"/>
          <w:szCs w:val="21"/>
          <w:lang w:val="en-GB" w:eastAsia="en-GB"/>
        </w:rPr>
      </w:pPr>
      <w:r w:rsidRPr="001E5747">
        <w:rPr>
          <w:rFonts w:asciiTheme="majorHAnsi" w:hAnsiTheme="majorHAnsi"/>
          <w:sz w:val="21"/>
          <w:szCs w:val="21"/>
          <w:lang w:val="en-GB" w:eastAsia="en-GB"/>
        </w:rPr>
        <w:t xml:space="preserve">This document clarifies the role and functions of the Appeals Commission (AC). </w:t>
      </w:r>
    </w:p>
    <w:p w14:paraId="681C158F" w14:textId="77777777" w:rsidR="00175AA2" w:rsidRPr="001E5747" w:rsidRDefault="00175AA2" w:rsidP="00175AA2">
      <w:pPr>
        <w:spacing w:before="80" w:line="252" w:lineRule="auto"/>
        <w:jc w:val="both"/>
        <w:rPr>
          <w:rFonts w:asciiTheme="majorHAnsi" w:hAnsiTheme="majorHAnsi"/>
          <w:sz w:val="21"/>
          <w:szCs w:val="21"/>
          <w:lang w:val="en-GB" w:eastAsia="en-GB"/>
        </w:rPr>
      </w:pPr>
      <w:r w:rsidRPr="001E5747">
        <w:rPr>
          <w:rFonts w:asciiTheme="majorHAnsi" w:hAnsiTheme="majorHAnsi"/>
          <w:sz w:val="21"/>
          <w:szCs w:val="21"/>
          <w:lang w:val="en-GB" w:eastAsia="en-GB"/>
        </w:rPr>
        <w:t xml:space="preserve">Pursuant to Regulation on Municipal Performance Management System and Municipal Performance Grant Scheme, Article 39, municipalities can file an appeal against the decision on the assessment of MPG. However, complaints cannot </w:t>
      </w:r>
      <w:r w:rsidR="004734E7">
        <w:rPr>
          <w:rFonts w:asciiTheme="majorHAnsi" w:hAnsiTheme="majorHAnsi"/>
          <w:sz w:val="21"/>
          <w:szCs w:val="21"/>
          <w:lang w:val="en-GB" w:eastAsia="en-GB"/>
        </w:rPr>
        <w:t>dispute</w:t>
      </w:r>
      <w:r w:rsidR="00DD1784" w:rsidRPr="001E5747">
        <w:rPr>
          <w:rFonts w:asciiTheme="majorHAnsi" w:hAnsiTheme="majorHAnsi"/>
          <w:sz w:val="21"/>
          <w:szCs w:val="21"/>
          <w:lang w:val="en-GB" w:eastAsia="en-GB"/>
        </w:rPr>
        <w:t xml:space="preserve"> </w:t>
      </w:r>
      <w:r w:rsidRPr="001E5747">
        <w:rPr>
          <w:rFonts w:asciiTheme="majorHAnsi" w:hAnsiTheme="majorHAnsi"/>
          <w:sz w:val="21"/>
          <w:szCs w:val="21"/>
          <w:lang w:val="en-GB" w:eastAsia="en-GB"/>
        </w:rPr>
        <w:t xml:space="preserve">the source of official data used </w:t>
      </w:r>
      <w:r w:rsidR="00DD1784">
        <w:rPr>
          <w:rFonts w:asciiTheme="majorHAnsi" w:hAnsiTheme="majorHAnsi"/>
          <w:sz w:val="21"/>
          <w:szCs w:val="21"/>
          <w:lang w:val="en-GB" w:eastAsia="en-GB"/>
        </w:rPr>
        <w:t>for</w:t>
      </w:r>
      <w:r w:rsidR="00DD1784" w:rsidRPr="001E5747">
        <w:rPr>
          <w:rFonts w:asciiTheme="majorHAnsi" w:hAnsiTheme="majorHAnsi"/>
          <w:sz w:val="21"/>
          <w:szCs w:val="21"/>
          <w:lang w:val="en-GB" w:eastAsia="en-GB"/>
        </w:rPr>
        <w:t xml:space="preserve"> </w:t>
      </w:r>
      <w:r w:rsidRPr="001E5747">
        <w:rPr>
          <w:rFonts w:asciiTheme="majorHAnsi" w:hAnsiTheme="majorHAnsi"/>
          <w:sz w:val="21"/>
          <w:szCs w:val="21"/>
          <w:lang w:val="en-GB" w:eastAsia="en-GB"/>
        </w:rPr>
        <w:t>the assessment.</w:t>
      </w:r>
    </w:p>
    <w:p w14:paraId="1873EB90" w14:textId="77777777" w:rsidR="00175AA2" w:rsidRPr="001E5747" w:rsidRDefault="00175AA2" w:rsidP="00175AA2">
      <w:pPr>
        <w:rPr>
          <w:rFonts w:ascii="Calibri" w:hAnsi="Calibri" w:cs="Arial"/>
          <w:sz w:val="22"/>
          <w:szCs w:val="22"/>
          <w:lang w:val="en-GB" w:eastAsia="de-CH"/>
        </w:rPr>
      </w:pPr>
    </w:p>
    <w:p w14:paraId="3220BA45" w14:textId="77777777" w:rsidR="00175AA2" w:rsidRPr="001E5747" w:rsidRDefault="00175AA2" w:rsidP="00175AA2">
      <w:pPr>
        <w:rPr>
          <w:rFonts w:ascii="Calibri" w:hAnsi="Calibri" w:cs="Arial"/>
          <w:b/>
          <w:bCs/>
          <w:iCs/>
          <w:sz w:val="22"/>
          <w:szCs w:val="22"/>
          <w:lang w:val="en-GB" w:eastAsia="de-CH"/>
        </w:rPr>
      </w:pPr>
      <w:r w:rsidRPr="001E5747">
        <w:rPr>
          <w:rFonts w:ascii="Calibri" w:hAnsi="Calibri" w:cs="Arial"/>
          <w:b/>
          <w:bCs/>
          <w:iCs/>
          <w:sz w:val="22"/>
          <w:szCs w:val="22"/>
          <w:lang w:val="en-GB" w:eastAsia="de-CH"/>
        </w:rPr>
        <w:t>2. Duties and responsibilities of the Appeals Commission (AC):</w:t>
      </w:r>
    </w:p>
    <w:p w14:paraId="2C96C36E" w14:textId="77777777" w:rsidR="00175AA2" w:rsidRPr="001E5747" w:rsidRDefault="00175AA2" w:rsidP="00175AA2">
      <w:pPr>
        <w:spacing w:line="300" w:lineRule="atLeast"/>
        <w:rPr>
          <w:rFonts w:asciiTheme="majorHAnsi" w:hAnsiTheme="majorHAnsi" w:cstheme="majorHAnsi"/>
          <w:sz w:val="21"/>
          <w:szCs w:val="21"/>
          <w:lang w:val="en-GB" w:eastAsia="de-CH"/>
        </w:rPr>
      </w:pPr>
      <w:r w:rsidRPr="001E5747">
        <w:rPr>
          <w:rFonts w:asciiTheme="majorHAnsi" w:hAnsiTheme="majorHAnsi" w:cstheme="majorHAnsi"/>
          <w:sz w:val="21"/>
          <w:szCs w:val="21"/>
          <w:lang w:val="en-GB" w:eastAsia="de-CH"/>
        </w:rPr>
        <w:t xml:space="preserve">The main function of the </w:t>
      </w:r>
      <w:r w:rsidR="00E545F6">
        <w:rPr>
          <w:rFonts w:asciiTheme="majorHAnsi" w:hAnsiTheme="majorHAnsi" w:cstheme="majorHAnsi"/>
          <w:sz w:val="21"/>
          <w:szCs w:val="21"/>
          <w:lang w:val="en-GB" w:eastAsia="de-CH"/>
        </w:rPr>
        <w:t>AC</w:t>
      </w:r>
      <w:r w:rsidRPr="001E5747">
        <w:rPr>
          <w:rFonts w:asciiTheme="majorHAnsi" w:hAnsiTheme="majorHAnsi" w:cstheme="majorHAnsi"/>
          <w:sz w:val="21"/>
          <w:szCs w:val="21"/>
          <w:lang w:val="en-GB" w:eastAsia="de-CH"/>
        </w:rPr>
        <w:t xml:space="preserve"> is as follow</w:t>
      </w:r>
      <w:r w:rsidR="006B2352" w:rsidRPr="001E5747">
        <w:rPr>
          <w:rFonts w:asciiTheme="majorHAnsi" w:hAnsiTheme="majorHAnsi" w:cstheme="majorHAnsi"/>
          <w:sz w:val="21"/>
          <w:szCs w:val="21"/>
          <w:lang w:val="en-GB" w:eastAsia="de-CH"/>
        </w:rPr>
        <w:t>s</w:t>
      </w:r>
      <w:r w:rsidRPr="001E5747">
        <w:rPr>
          <w:rFonts w:asciiTheme="majorHAnsi" w:hAnsiTheme="majorHAnsi" w:cstheme="majorHAnsi"/>
          <w:sz w:val="21"/>
          <w:szCs w:val="21"/>
          <w:lang w:val="en-GB" w:eastAsia="de-CH"/>
        </w:rPr>
        <w:t>:</w:t>
      </w:r>
    </w:p>
    <w:p w14:paraId="2ED42F0D" w14:textId="77777777" w:rsidR="00175AA2" w:rsidRPr="001E5747" w:rsidRDefault="00175AA2" w:rsidP="00175AA2">
      <w:pPr>
        <w:pStyle w:val="ListParagraph"/>
        <w:numPr>
          <w:ilvl w:val="0"/>
          <w:numId w:val="40"/>
        </w:numPr>
        <w:spacing w:after="0"/>
        <w:ind w:left="720"/>
        <w:jc w:val="both"/>
        <w:rPr>
          <w:rFonts w:asciiTheme="majorHAnsi" w:hAnsiTheme="majorHAnsi"/>
          <w:sz w:val="21"/>
          <w:szCs w:val="21"/>
          <w:lang w:val="en-GB"/>
        </w:rPr>
      </w:pPr>
      <w:r w:rsidRPr="001E5747">
        <w:rPr>
          <w:rFonts w:asciiTheme="majorHAnsi" w:hAnsiTheme="majorHAnsi"/>
          <w:sz w:val="21"/>
          <w:szCs w:val="21"/>
          <w:lang w:val="en-GB"/>
        </w:rPr>
        <w:t>Review of grant complaints submitted by municipalities</w:t>
      </w:r>
      <w:r w:rsidRPr="001E5747">
        <w:rPr>
          <w:rFonts w:asciiTheme="majorHAnsi" w:hAnsiTheme="majorHAnsi" w:cstheme="majorHAnsi"/>
          <w:sz w:val="21"/>
          <w:szCs w:val="21"/>
          <w:lang w:val="en-GB" w:eastAsia="de-CH"/>
        </w:rPr>
        <w:t xml:space="preserve"> ensuring that they meet the conditions described in point 3.3.4 of the MPG Rules;</w:t>
      </w:r>
      <w:r w:rsidRPr="001E5747">
        <w:rPr>
          <w:rFonts w:asciiTheme="majorHAnsi" w:hAnsiTheme="majorHAnsi"/>
          <w:sz w:val="21"/>
          <w:szCs w:val="21"/>
          <w:lang w:val="en-GB"/>
        </w:rPr>
        <w:t xml:space="preserve"> </w:t>
      </w:r>
    </w:p>
    <w:p w14:paraId="1D1DC244" w14:textId="77777777" w:rsidR="00175AA2" w:rsidRPr="001E5747" w:rsidRDefault="00175AA2" w:rsidP="00175AA2">
      <w:pPr>
        <w:pStyle w:val="ListParagraph"/>
        <w:numPr>
          <w:ilvl w:val="0"/>
          <w:numId w:val="40"/>
        </w:numPr>
        <w:spacing w:after="0"/>
        <w:ind w:left="720"/>
        <w:jc w:val="both"/>
        <w:rPr>
          <w:rFonts w:asciiTheme="majorHAnsi" w:hAnsiTheme="majorHAnsi"/>
          <w:sz w:val="21"/>
          <w:szCs w:val="21"/>
          <w:lang w:val="en-GB"/>
        </w:rPr>
      </w:pPr>
      <w:r w:rsidRPr="001E5747">
        <w:rPr>
          <w:rFonts w:asciiTheme="majorHAnsi" w:hAnsiTheme="majorHAnsi"/>
          <w:sz w:val="21"/>
          <w:szCs w:val="21"/>
          <w:lang w:val="en-GB"/>
        </w:rPr>
        <w:t xml:space="preserve">Making decisions on complaints filed by municipalities in accordance with Article 39 of Regulation 01/2020 on MPMS and </w:t>
      </w:r>
      <w:r w:rsidR="00B34556">
        <w:rPr>
          <w:rFonts w:asciiTheme="majorHAnsi" w:hAnsiTheme="majorHAnsi"/>
          <w:sz w:val="21"/>
          <w:szCs w:val="21"/>
          <w:lang w:val="en-GB"/>
        </w:rPr>
        <w:t>PG</w:t>
      </w:r>
      <w:r w:rsidRPr="001E5747">
        <w:rPr>
          <w:rFonts w:asciiTheme="majorHAnsi" w:hAnsiTheme="majorHAnsi"/>
          <w:sz w:val="21"/>
          <w:szCs w:val="21"/>
          <w:lang w:val="en-GB"/>
        </w:rPr>
        <w:t xml:space="preserve"> Scheme.</w:t>
      </w:r>
    </w:p>
    <w:p w14:paraId="19B27B8E" w14:textId="77777777" w:rsidR="00175AA2" w:rsidRPr="001E5747" w:rsidRDefault="00175AA2" w:rsidP="00175AA2">
      <w:pPr>
        <w:spacing w:line="300" w:lineRule="atLeast"/>
        <w:rPr>
          <w:rFonts w:asciiTheme="majorHAnsi" w:hAnsiTheme="majorHAnsi" w:cstheme="majorHAnsi"/>
          <w:b/>
          <w:sz w:val="21"/>
          <w:szCs w:val="21"/>
          <w:lang w:val="en-GB" w:eastAsia="de-CH"/>
        </w:rPr>
      </w:pPr>
    </w:p>
    <w:p w14:paraId="6F3AA9AF" w14:textId="77777777" w:rsidR="00175AA2" w:rsidRPr="001E5747" w:rsidRDefault="00175AA2" w:rsidP="00175AA2">
      <w:pPr>
        <w:spacing w:line="300" w:lineRule="atLeast"/>
        <w:rPr>
          <w:rFonts w:asciiTheme="majorHAnsi" w:hAnsiTheme="majorHAnsi" w:cstheme="majorHAnsi"/>
          <w:b/>
          <w:sz w:val="21"/>
          <w:szCs w:val="21"/>
          <w:lang w:val="en-GB" w:eastAsia="de-CH"/>
        </w:rPr>
      </w:pPr>
      <w:r w:rsidRPr="001E5747">
        <w:rPr>
          <w:rFonts w:asciiTheme="majorHAnsi" w:hAnsiTheme="majorHAnsi" w:cstheme="majorHAnsi"/>
          <w:b/>
          <w:sz w:val="21"/>
          <w:szCs w:val="21"/>
          <w:lang w:val="en-GB" w:eastAsia="de-CH"/>
        </w:rPr>
        <w:t xml:space="preserve">3. Administration of the </w:t>
      </w:r>
      <w:r w:rsidR="00E545F6">
        <w:rPr>
          <w:rFonts w:asciiTheme="majorHAnsi" w:hAnsiTheme="majorHAnsi" w:cstheme="majorHAnsi"/>
          <w:b/>
          <w:sz w:val="21"/>
          <w:szCs w:val="21"/>
          <w:lang w:val="en-GB" w:eastAsia="de-CH"/>
        </w:rPr>
        <w:t>Appeals</w:t>
      </w:r>
      <w:r w:rsidRPr="001E5747">
        <w:rPr>
          <w:rFonts w:asciiTheme="majorHAnsi" w:hAnsiTheme="majorHAnsi" w:cstheme="majorHAnsi"/>
          <w:b/>
          <w:sz w:val="21"/>
          <w:szCs w:val="21"/>
          <w:lang w:val="en-GB" w:eastAsia="de-CH"/>
        </w:rPr>
        <w:t xml:space="preserve"> Commission</w:t>
      </w:r>
    </w:p>
    <w:p w14:paraId="388C9A22" w14:textId="77777777" w:rsidR="00175AA2" w:rsidRPr="001E5747" w:rsidRDefault="00175AA2" w:rsidP="00175AA2">
      <w:pPr>
        <w:pStyle w:val="ListParagraph"/>
        <w:numPr>
          <w:ilvl w:val="0"/>
          <w:numId w:val="39"/>
        </w:numPr>
        <w:spacing w:after="0"/>
        <w:ind w:left="734" w:hanging="446"/>
        <w:jc w:val="both"/>
        <w:rPr>
          <w:rFonts w:asciiTheme="majorHAnsi" w:hAnsiTheme="majorHAnsi" w:cstheme="majorHAnsi"/>
          <w:bCs/>
          <w:iCs/>
          <w:sz w:val="21"/>
          <w:szCs w:val="21"/>
          <w:lang w:val="en-GB" w:eastAsia="de-CH"/>
        </w:rPr>
      </w:pPr>
      <w:r w:rsidRPr="001E5747">
        <w:rPr>
          <w:rFonts w:asciiTheme="majorHAnsi" w:hAnsiTheme="majorHAnsi" w:cstheme="majorHAnsi"/>
          <w:bCs/>
          <w:iCs/>
          <w:sz w:val="21"/>
          <w:szCs w:val="21"/>
          <w:lang w:val="en-GB" w:eastAsia="de-CH"/>
        </w:rPr>
        <w:t>The Chairperson of the Appeals Commission convenes the meetings of the commission.</w:t>
      </w:r>
    </w:p>
    <w:p w14:paraId="0501D210" w14:textId="77777777" w:rsidR="00175AA2" w:rsidRPr="001E5747" w:rsidRDefault="00175AA2" w:rsidP="00175AA2">
      <w:pPr>
        <w:pStyle w:val="ListParagraph"/>
        <w:numPr>
          <w:ilvl w:val="0"/>
          <w:numId w:val="39"/>
        </w:numPr>
        <w:spacing w:after="0"/>
        <w:ind w:left="734" w:hanging="446"/>
        <w:jc w:val="both"/>
        <w:rPr>
          <w:rFonts w:asciiTheme="majorHAnsi" w:hAnsiTheme="majorHAnsi" w:cstheme="majorHAnsi"/>
          <w:bCs/>
          <w:iCs/>
          <w:sz w:val="21"/>
          <w:szCs w:val="21"/>
          <w:lang w:val="en-GB" w:eastAsia="de-CH"/>
        </w:rPr>
      </w:pPr>
      <w:r w:rsidRPr="001E5747">
        <w:rPr>
          <w:rFonts w:asciiTheme="majorHAnsi" w:hAnsiTheme="majorHAnsi" w:cstheme="majorHAnsi"/>
          <w:bCs/>
          <w:iCs/>
          <w:sz w:val="21"/>
          <w:szCs w:val="21"/>
          <w:lang w:val="en-GB" w:eastAsia="de-CH"/>
        </w:rPr>
        <w:t xml:space="preserve">Agenda and working materials must be attached to the </w:t>
      </w:r>
      <w:r w:rsidR="004734E7">
        <w:rPr>
          <w:rFonts w:asciiTheme="majorHAnsi" w:hAnsiTheme="majorHAnsi" w:cstheme="majorHAnsi"/>
          <w:bCs/>
          <w:iCs/>
          <w:sz w:val="21"/>
          <w:szCs w:val="21"/>
          <w:lang w:val="en-GB" w:eastAsia="de-CH"/>
        </w:rPr>
        <w:t xml:space="preserve">meeting </w:t>
      </w:r>
      <w:r w:rsidRPr="001E5747">
        <w:rPr>
          <w:rFonts w:asciiTheme="majorHAnsi" w:hAnsiTheme="majorHAnsi" w:cstheme="majorHAnsi"/>
          <w:bCs/>
          <w:iCs/>
          <w:sz w:val="21"/>
          <w:szCs w:val="21"/>
          <w:lang w:val="en-GB" w:eastAsia="de-CH"/>
        </w:rPr>
        <w:t>notice;</w:t>
      </w:r>
    </w:p>
    <w:p w14:paraId="31E45CC5" w14:textId="77777777" w:rsidR="00175AA2" w:rsidRPr="001E5747" w:rsidRDefault="00175AA2" w:rsidP="00175AA2">
      <w:pPr>
        <w:pStyle w:val="ListParagraph"/>
        <w:numPr>
          <w:ilvl w:val="0"/>
          <w:numId w:val="39"/>
        </w:numPr>
        <w:spacing w:after="0"/>
        <w:ind w:left="734" w:hanging="446"/>
        <w:jc w:val="both"/>
        <w:rPr>
          <w:rFonts w:asciiTheme="majorHAnsi" w:hAnsiTheme="majorHAnsi" w:cstheme="majorHAnsi"/>
          <w:bCs/>
          <w:iCs/>
          <w:sz w:val="21"/>
          <w:szCs w:val="21"/>
          <w:lang w:val="en-GB" w:eastAsia="de-CH"/>
        </w:rPr>
      </w:pPr>
      <w:r w:rsidRPr="001E5747">
        <w:rPr>
          <w:rFonts w:asciiTheme="majorHAnsi" w:hAnsiTheme="majorHAnsi" w:cstheme="majorHAnsi"/>
          <w:bCs/>
          <w:iCs/>
          <w:sz w:val="21"/>
          <w:szCs w:val="21"/>
          <w:lang w:val="en-GB" w:eastAsia="de-CH"/>
        </w:rPr>
        <w:t>The minutes are prepared for each meeting and signed by the members of the commission.</w:t>
      </w:r>
    </w:p>
    <w:p w14:paraId="20C7CACF" w14:textId="77777777" w:rsidR="00175AA2" w:rsidRPr="001E5747" w:rsidRDefault="00175AA2" w:rsidP="00175AA2">
      <w:pPr>
        <w:rPr>
          <w:rFonts w:asciiTheme="majorHAnsi" w:hAnsiTheme="majorHAnsi" w:cstheme="majorHAnsi"/>
          <w:sz w:val="21"/>
          <w:szCs w:val="21"/>
          <w:lang w:val="en-GB" w:eastAsia="de-CH"/>
        </w:rPr>
      </w:pPr>
    </w:p>
    <w:p w14:paraId="2BBC277D" w14:textId="77777777" w:rsidR="00175AA2" w:rsidRPr="001E5747" w:rsidRDefault="00175AA2" w:rsidP="00175AA2">
      <w:pPr>
        <w:rPr>
          <w:rFonts w:asciiTheme="majorHAnsi" w:hAnsiTheme="majorHAnsi" w:cstheme="majorHAnsi"/>
          <w:color w:val="FFFFFF" w:themeColor="background1"/>
          <w:sz w:val="21"/>
          <w:szCs w:val="21"/>
          <w:lang w:val="en-GB"/>
        </w:rPr>
      </w:pPr>
    </w:p>
    <w:p w14:paraId="6C43BA67" w14:textId="77777777" w:rsidR="00175AA2" w:rsidRPr="001E5747" w:rsidRDefault="00175AA2" w:rsidP="00175AA2">
      <w:pPr>
        <w:rPr>
          <w:rFonts w:asciiTheme="majorHAnsi" w:hAnsiTheme="majorHAnsi" w:cstheme="majorHAnsi"/>
          <w:color w:val="FFFFFF" w:themeColor="background1"/>
          <w:sz w:val="21"/>
          <w:szCs w:val="21"/>
          <w:lang w:val="en-GB"/>
        </w:rPr>
      </w:pPr>
    </w:p>
    <w:p w14:paraId="7D52F301" w14:textId="77777777" w:rsidR="00175AA2" w:rsidRPr="001E5747" w:rsidRDefault="00175AA2" w:rsidP="00175AA2">
      <w:pPr>
        <w:rPr>
          <w:rFonts w:asciiTheme="majorHAnsi" w:hAnsiTheme="majorHAnsi" w:cstheme="majorHAnsi"/>
          <w:color w:val="FFFFFF" w:themeColor="background1"/>
          <w:sz w:val="21"/>
          <w:szCs w:val="21"/>
          <w:lang w:val="en-GB"/>
        </w:rPr>
      </w:pPr>
      <w:r w:rsidRPr="001E5747">
        <w:rPr>
          <w:rFonts w:asciiTheme="majorHAnsi" w:hAnsiTheme="majorHAnsi" w:cstheme="majorHAnsi"/>
          <w:color w:val="FFFFFF" w:themeColor="background1"/>
          <w:sz w:val="21"/>
          <w:szCs w:val="21"/>
          <w:lang w:val="en-GB"/>
        </w:rPr>
        <w:br w:type="page"/>
      </w:r>
    </w:p>
    <w:p w14:paraId="72417BA6" w14:textId="77777777" w:rsidR="00175AA2" w:rsidRPr="001E5747" w:rsidRDefault="00175AA2" w:rsidP="00175AA2">
      <w:pPr>
        <w:pStyle w:val="Heading1"/>
        <w:shd w:val="clear" w:color="auto" w:fill="D55635"/>
        <w:tabs>
          <w:tab w:val="left" w:pos="540"/>
        </w:tabs>
        <w:rPr>
          <w:rFonts w:asciiTheme="majorHAnsi" w:hAnsiTheme="majorHAnsi"/>
          <w:color w:val="FFFFFF" w:themeColor="background1"/>
          <w:sz w:val="32"/>
          <w:szCs w:val="32"/>
          <w:lang w:val="en-GB"/>
        </w:rPr>
      </w:pPr>
      <w:bookmarkStart w:id="82" w:name="_Toc61062549"/>
      <w:r w:rsidRPr="001E5747">
        <w:rPr>
          <w:rFonts w:asciiTheme="majorHAnsi" w:hAnsiTheme="majorHAnsi"/>
          <w:color w:val="FFFFFF" w:themeColor="background1"/>
          <w:sz w:val="32"/>
          <w:szCs w:val="32"/>
          <w:lang w:val="en-GB"/>
        </w:rPr>
        <w:lastRenderedPageBreak/>
        <w:t xml:space="preserve">Annex </w:t>
      </w:r>
      <w:r w:rsidR="004D6783">
        <w:rPr>
          <w:rFonts w:asciiTheme="majorHAnsi" w:hAnsiTheme="majorHAnsi"/>
          <w:color w:val="FFFFFF" w:themeColor="background1"/>
          <w:sz w:val="32"/>
          <w:szCs w:val="32"/>
          <w:lang w:val="en-GB"/>
        </w:rPr>
        <w:t>8</w:t>
      </w:r>
      <w:r w:rsidRPr="001E5747">
        <w:rPr>
          <w:rFonts w:asciiTheme="majorHAnsi" w:hAnsiTheme="majorHAnsi"/>
          <w:color w:val="FFFFFF" w:themeColor="background1"/>
          <w:sz w:val="32"/>
          <w:szCs w:val="32"/>
          <w:lang w:val="en-GB"/>
        </w:rPr>
        <w:t xml:space="preserve">: Terms of reference - </w:t>
      </w:r>
      <w:r w:rsidR="00DD1784">
        <w:rPr>
          <w:rFonts w:asciiTheme="majorHAnsi" w:hAnsiTheme="majorHAnsi"/>
          <w:color w:val="FFFFFF" w:themeColor="background1"/>
          <w:sz w:val="32"/>
          <w:szCs w:val="32"/>
          <w:lang w:val="en-GB"/>
        </w:rPr>
        <w:t>Working Group</w:t>
      </w:r>
      <w:r w:rsidR="00DD1784" w:rsidRPr="001E5747">
        <w:rPr>
          <w:rFonts w:asciiTheme="majorHAnsi" w:hAnsiTheme="majorHAnsi"/>
          <w:color w:val="FFFFFF" w:themeColor="background1"/>
          <w:sz w:val="32"/>
          <w:szCs w:val="32"/>
          <w:lang w:val="en-GB"/>
        </w:rPr>
        <w:t xml:space="preserve"> </w:t>
      </w:r>
      <w:r w:rsidRPr="001E5747">
        <w:rPr>
          <w:rFonts w:asciiTheme="majorHAnsi" w:hAnsiTheme="majorHAnsi"/>
          <w:color w:val="FFFFFF" w:themeColor="background1"/>
          <w:sz w:val="32"/>
          <w:szCs w:val="32"/>
          <w:lang w:val="en-GB"/>
        </w:rPr>
        <w:t>for drafting MPG rules</w:t>
      </w:r>
      <w:bookmarkEnd w:id="82"/>
    </w:p>
    <w:p w14:paraId="55318D1C" w14:textId="3946B1CB" w:rsidR="00175AA2" w:rsidRPr="000C3EC3" w:rsidRDefault="00175AA2" w:rsidP="00175AA2">
      <w:pPr>
        <w:rPr>
          <w:rFonts w:asciiTheme="majorHAnsi" w:hAnsiTheme="majorHAnsi"/>
          <w:b/>
          <w:sz w:val="16"/>
          <w:lang w:val="sv-SE"/>
        </w:rPr>
      </w:pPr>
      <w:r w:rsidRPr="0028141A">
        <w:rPr>
          <w:rFonts w:ascii="Cambria" w:hAnsi="Cambria"/>
          <w:b/>
          <w:noProof/>
          <w:sz w:val="22"/>
          <w:lang w:val="en-US"/>
        </w:rPr>
        <w:drawing>
          <wp:anchor distT="0" distB="0" distL="114300" distR="114300" simplePos="0" relativeHeight="251658240" behindDoc="0" locked="0" layoutInCell="1" allowOverlap="1" wp14:anchorId="3E68563B" wp14:editId="43C0D832">
            <wp:simplePos x="0" y="0"/>
            <wp:positionH relativeFrom="margin">
              <wp:align>left</wp:align>
            </wp:positionH>
            <wp:positionV relativeFrom="paragraph">
              <wp:posOffset>8890</wp:posOffset>
            </wp:positionV>
            <wp:extent cx="813435" cy="801370"/>
            <wp:effectExtent l="0" t="0" r="5715" b="0"/>
            <wp:wrapSquare wrapText="bothSides"/>
            <wp:docPr id="16" name="Picture 16" descr="logo Gov Koso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1" name="Picture 2" descr="logo Gov Kosovo.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3435" cy="80137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anchor>
        </w:drawing>
      </w:r>
      <w:r w:rsidRPr="000C3EC3">
        <w:rPr>
          <w:rFonts w:asciiTheme="majorHAnsi" w:hAnsiTheme="majorHAnsi"/>
          <w:b/>
          <w:sz w:val="16"/>
          <w:lang w:val="sv-SE"/>
        </w:rPr>
        <w:t>Republika e Kosovës</w:t>
      </w:r>
    </w:p>
    <w:p w14:paraId="68FF441C" w14:textId="77777777" w:rsidR="00175AA2" w:rsidRPr="000C3EC3" w:rsidRDefault="00175AA2" w:rsidP="00175AA2">
      <w:pPr>
        <w:rPr>
          <w:rFonts w:asciiTheme="majorHAnsi" w:hAnsiTheme="majorHAnsi"/>
          <w:b/>
          <w:sz w:val="16"/>
          <w:lang w:val="sv-SE"/>
        </w:rPr>
      </w:pPr>
      <w:r w:rsidRPr="000C3EC3">
        <w:rPr>
          <w:rFonts w:asciiTheme="majorHAnsi" w:hAnsiTheme="majorHAnsi"/>
          <w:b/>
          <w:sz w:val="16"/>
          <w:lang w:val="sv-SE"/>
        </w:rPr>
        <w:t>Republika Kosova - Republic of Kosovo</w:t>
      </w:r>
    </w:p>
    <w:p w14:paraId="23E4D751" w14:textId="77777777" w:rsidR="00175AA2" w:rsidRPr="001E5747" w:rsidRDefault="00175AA2" w:rsidP="00175AA2">
      <w:pPr>
        <w:rPr>
          <w:rFonts w:asciiTheme="majorHAnsi" w:hAnsiTheme="majorHAnsi" w:cs="Book Antiqua"/>
          <w:b/>
          <w:bCs/>
          <w:iCs/>
          <w:sz w:val="16"/>
          <w:szCs w:val="16"/>
          <w:lang w:val="en-GB" w:eastAsia="de-CH"/>
        </w:rPr>
      </w:pPr>
      <w:r w:rsidRPr="001E5747">
        <w:rPr>
          <w:rFonts w:asciiTheme="majorHAnsi" w:hAnsiTheme="majorHAnsi" w:cs="Book Antiqua"/>
          <w:b/>
          <w:bCs/>
          <w:iCs/>
          <w:sz w:val="16"/>
          <w:szCs w:val="16"/>
          <w:lang w:val="en-GB" w:eastAsia="de-CH"/>
        </w:rPr>
        <w:t xml:space="preserve">Qeveria - Vlada - Government </w:t>
      </w:r>
    </w:p>
    <w:p w14:paraId="1D24FC8B" w14:textId="77777777" w:rsidR="00175AA2" w:rsidRPr="001E5747" w:rsidRDefault="00175AA2" w:rsidP="00175AA2">
      <w:pPr>
        <w:rPr>
          <w:rFonts w:asciiTheme="majorHAnsi" w:hAnsiTheme="majorHAnsi" w:cs="Book Antiqua"/>
          <w:b/>
          <w:bCs/>
          <w:iCs/>
          <w:sz w:val="16"/>
          <w:szCs w:val="16"/>
          <w:lang w:val="en-GB" w:eastAsia="de-CH"/>
        </w:rPr>
      </w:pPr>
    </w:p>
    <w:p w14:paraId="2EF92A3A" w14:textId="77777777" w:rsidR="00D25AD4" w:rsidRPr="001E5747" w:rsidRDefault="00D25AD4" w:rsidP="00D25AD4">
      <w:pPr>
        <w:rPr>
          <w:rFonts w:asciiTheme="majorHAnsi" w:hAnsiTheme="majorHAnsi"/>
          <w:sz w:val="16"/>
          <w:szCs w:val="16"/>
          <w:lang w:val="en-GB" w:eastAsia="de-CH"/>
        </w:rPr>
      </w:pPr>
      <w:bookmarkStart w:id="83" w:name="_Hlk86934155"/>
      <w:r w:rsidRPr="001E5747">
        <w:rPr>
          <w:rFonts w:asciiTheme="majorHAnsi" w:hAnsiTheme="majorHAnsi"/>
          <w:sz w:val="16"/>
          <w:szCs w:val="16"/>
          <w:lang w:val="en-GB" w:eastAsia="de-CH"/>
        </w:rPr>
        <w:t xml:space="preserve">Ministria e </w:t>
      </w:r>
      <w:r>
        <w:rPr>
          <w:rFonts w:asciiTheme="majorHAnsi" w:hAnsiTheme="majorHAnsi"/>
          <w:sz w:val="16"/>
          <w:szCs w:val="16"/>
          <w:lang w:val="en-GB" w:eastAsia="de-CH"/>
        </w:rPr>
        <w:t xml:space="preserve">Administrimit të </w:t>
      </w:r>
      <w:r w:rsidRPr="001E5747">
        <w:rPr>
          <w:rFonts w:asciiTheme="majorHAnsi" w:hAnsiTheme="majorHAnsi"/>
          <w:sz w:val="16"/>
          <w:szCs w:val="16"/>
          <w:lang w:val="en-GB" w:eastAsia="de-CH"/>
        </w:rPr>
        <w:t>Pushtetit Lokal</w:t>
      </w:r>
    </w:p>
    <w:p w14:paraId="27D5C2B9" w14:textId="77777777" w:rsidR="00D25AD4" w:rsidRPr="001E5747" w:rsidRDefault="00D25AD4" w:rsidP="00D25AD4">
      <w:pPr>
        <w:rPr>
          <w:rFonts w:asciiTheme="majorHAnsi" w:hAnsiTheme="majorHAnsi"/>
          <w:sz w:val="16"/>
          <w:szCs w:val="16"/>
          <w:lang w:val="en-GB" w:eastAsia="de-CH"/>
        </w:rPr>
      </w:pPr>
      <w:r w:rsidRPr="001E5747">
        <w:rPr>
          <w:rFonts w:asciiTheme="majorHAnsi" w:hAnsiTheme="majorHAnsi"/>
          <w:sz w:val="16"/>
          <w:szCs w:val="16"/>
          <w:lang w:val="en-GB" w:eastAsia="de-CH"/>
        </w:rPr>
        <w:t>Ministarstvo</w:t>
      </w:r>
      <w:r>
        <w:rPr>
          <w:rFonts w:asciiTheme="majorHAnsi" w:hAnsiTheme="majorHAnsi"/>
          <w:sz w:val="16"/>
          <w:szCs w:val="16"/>
          <w:lang w:val="en-GB" w:eastAsia="de-CH"/>
        </w:rPr>
        <w:t xml:space="preserve"> Administracije</w:t>
      </w:r>
      <w:r w:rsidRPr="001E5747">
        <w:rPr>
          <w:rFonts w:asciiTheme="majorHAnsi" w:hAnsiTheme="majorHAnsi"/>
          <w:sz w:val="16"/>
          <w:szCs w:val="16"/>
          <w:lang w:val="en-GB" w:eastAsia="de-CH"/>
        </w:rPr>
        <w:t xml:space="preserve"> Lokalne Samouprave</w:t>
      </w:r>
    </w:p>
    <w:p w14:paraId="4E9BE9E7" w14:textId="77777777" w:rsidR="00D25AD4" w:rsidRPr="001E5747" w:rsidRDefault="00D25AD4" w:rsidP="00D25AD4">
      <w:pPr>
        <w:rPr>
          <w:rFonts w:asciiTheme="majorHAnsi" w:hAnsiTheme="majorHAnsi" w:cs="Arial"/>
          <w:sz w:val="16"/>
          <w:szCs w:val="16"/>
          <w:lang w:val="en-GB" w:eastAsia="de-CH"/>
        </w:rPr>
      </w:pPr>
      <w:r w:rsidRPr="001E5747">
        <w:rPr>
          <w:rFonts w:asciiTheme="majorHAnsi" w:hAnsiTheme="majorHAnsi"/>
          <w:sz w:val="16"/>
          <w:szCs w:val="16"/>
          <w:lang w:val="en-GB" w:eastAsia="de-CH"/>
        </w:rPr>
        <w:t xml:space="preserve">Ministry of Local Government </w:t>
      </w:r>
      <w:r>
        <w:rPr>
          <w:rFonts w:asciiTheme="majorHAnsi" w:hAnsiTheme="majorHAnsi"/>
          <w:sz w:val="16"/>
          <w:szCs w:val="16"/>
          <w:lang w:val="en-GB" w:eastAsia="de-CH"/>
        </w:rPr>
        <w:t>Administration</w:t>
      </w:r>
    </w:p>
    <w:bookmarkEnd w:id="83"/>
    <w:p w14:paraId="4E6933AF" w14:textId="77777777" w:rsidR="00175AA2" w:rsidRPr="001E5747" w:rsidRDefault="00175AA2" w:rsidP="00175AA2">
      <w:pPr>
        <w:rPr>
          <w:rFonts w:asciiTheme="majorHAnsi" w:hAnsiTheme="majorHAnsi" w:cstheme="majorHAnsi"/>
          <w:color w:val="FFFFFF" w:themeColor="background1"/>
          <w:sz w:val="21"/>
          <w:szCs w:val="21"/>
          <w:lang w:val="en-GB"/>
        </w:rPr>
      </w:pPr>
    </w:p>
    <w:p w14:paraId="34F0A893" w14:textId="77777777" w:rsidR="00175AA2" w:rsidRPr="001E5747" w:rsidRDefault="00175AA2" w:rsidP="00175AA2">
      <w:pPr>
        <w:bidi/>
        <w:rPr>
          <w:lang w:val="en-GB"/>
        </w:rPr>
      </w:pPr>
    </w:p>
    <w:p w14:paraId="0F7FEDBE" w14:textId="77777777" w:rsidR="00175AA2" w:rsidRPr="001E5747" w:rsidRDefault="00175AA2" w:rsidP="00175AA2">
      <w:pPr>
        <w:rPr>
          <w:rFonts w:asciiTheme="majorHAnsi" w:hAnsiTheme="majorHAnsi" w:cstheme="majorHAnsi"/>
          <w:color w:val="FFFFFF" w:themeColor="background1"/>
          <w:sz w:val="21"/>
          <w:szCs w:val="21"/>
          <w:lang w:val="en-GB"/>
        </w:rPr>
      </w:pPr>
    </w:p>
    <w:bookmarkEnd w:id="77"/>
    <w:bookmarkEnd w:id="78"/>
    <w:bookmarkEnd w:id="79"/>
    <w:p w14:paraId="39D03970" w14:textId="77777777" w:rsidR="00175AA2" w:rsidRPr="001E5747" w:rsidRDefault="00175AA2" w:rsidP="00175AA2">
      <w:pPr>
        <w:spacing w:before="60" w:line="264" w:lineRule="auto"/>
        <w:jc w:val="both"/>
        <w:rPr>
          <w:rFonts w:asciiTheme="majorHAnsi" w:hAnsiTheme="majorHAnsi" w:cstheme="majorHAnsi"/>
          <w:sz w:val="21"/>
          <w:szCs w:val="21"/>
          <w:lang w:val="en-GB"/>
        </w:rPr>
      </w:pPr>
      <w:r w:rsidRPr="001E5747">
        <w:rPr>
          <w:rFonts w:asciiTheme="majorHAnsi" w:hAnsiTheme="majorHAnsi" w:cstheme="majorHAnsi"/>
          <w:sz w:val="21"/>
          <w:szCs w:val="21"/>
          <w:lang w:val="en-GB"/>
        </w:rPr>
        <w:t xml:space="preserve">The </w:t>
      </w:r>
      <w:r w:rsidR="00DD1784">
        <w:rPr>
          <w:rFonts w:asciiTheme="majorHAnsi" w:hAnsiTheme="majorHAnsi" w:cstheme="majorHAnsi"/>
          <w:sz w:val="21"/>
          <w:szCs w:val="21"/>
          <w:lang w:val="en-GB"/>
        </w:rPr>
        <w:t xml:space="preserve">Working Group for </w:t>
      </w:r>
      <w:r w:rsidRPr="001E5747">
        <w:rPr>
          <w:rFonts w:asciiTheme="majorHAnsi" w:hAnsiTheme="majorHAnsi" w:cstheme="majorHAnsi"/>
          <w:sz w:val="21"/>
          <w:szCs w:val="21"/>
          <w:lang w:val="en-GB"/>
        </w:rPr>
        <w:t xml:space="preserve">drafting </w:t>
      </w:r>
      <w:r w:rsidR="00DD1784">
        <w:rPr>
          <w:rFonts w:asciiTheme="majorHAnsi" w:hAnsiTheme="majorHAnsi" w:cstheme="majorHAnsi"/>
          <w:sz w:val="21"/>
          <w:szCs w:val="21"/>
          <w:lang w:val="en-GB"/>
        </w:rPr>
        <w:t xml:space="preserve">the MPG Rules </w:t>
      </w:r>
      <w:r w:rsidRPr="001E5747">
        <w:rPr>
          <w:rFonts w:asciiTheme="majorHAnsi" w:hAnsiTheme="majorHAnsi" w:cstheme="majorHAnsi"/>
          <w:sz w:val="21"/>
          <w:szCs w:val="21"/>
          <w:lang w:val="en-GB"/>
        </w:rPr>
        <w:t>is responsible for:</w:t>
      </w:r>
    </w:p>
    <w:p w14:paraId="043845FF" w14:textId="77777777" w:rsidR="00175AA2" w:rsidRPr="001E5747" w:rsidRDefault="00175AA2" w:rsidP="00175AA2">
      <w:pPr>
        <w:spacing w:before="60" w:line="264" w:lineRule="auto"/>
        <w:jc w:val="both"/>
        <w:rPr>
          <w:rFonts w:asciiTheme="majorHAnsi" w:hAnsiTheme="majorHAnsi" w:cstheme="majorHAnsi"/>
          <w:sz w:val="21"/>
          <w:szCs w:val="21"/>
          <w:lang w:val="en-GB"/>
        </w:rPr>
      </w:pPr>
      <w:r w:rsidRPr="001E5747">
        <w:rPr>
          <w:rFonts w:asciiTheme="majorHAnsi" w:hAnsiTheme="majorHAnsi" w:cstheme="majorHAnsi"/>
          <w:sz w:val="21"/>
          <w:szCs w:val="21"/>
          <w:lang w:val="en-GB"/>
        </w:rPr>
        <w:t xml:space="preserve">• Preparing MPG rules before each </w:t>
      </w:r>
      <w:r w:rsidR="009767E2">
        <w:rPr>
          <w:rFonts w:asciiTheme="majorHAnsi" w:hAnsiTheme="majorHAnsi" w:cstheme="majorHAnsi"/>
          <w:sz w:val="21"/>
          <w:szCs w:val="21"/>
          <w:lang w:val="en-GB"/>
        </w:rPr>
        <w:t>assessment</w:t>
      </w:r>
      <w:r w:rsidRPr="001E5747">
        <w:rPr>
          <w:rFonts w:asciiTheme="majorHAnsi" w:hAnsiTheme="majorHAnsi" w:cstheme="majorHAnsi"/>
          <w:sz w:val="21"/>
          <w:szCs w:val="21"/>
          <w:lang w:val="en-GB"/>
        </w:rPr>
        <w:t xml:space="preserve"> cycle in accordance with Regulation 01/2020 on Municipal Performance Management System and Municipal Performance Grant Scheme;</w:t>
      </w:r>
    </w:p>
    <w:p w14:paraId="7DE205F9" w14:textId="77777777" w:rsidR="00175AA2" w:rsidRPr="001E5747" w:rsidRDefault="00175AA2" w:rsidP="00175AA2">
      <w:pPr>
        <w:spacing w:before="60" w:line="264" w:lineRule="auto"/>
        <w:jc w:val="both"/>
        <w:rPr>
          <w:rFonts w:asciiTheme="majorHAnsi" w:hAnsiTheme="majorHAnsi" w:cstheme="majorHAnsi"/>
          <w:sz w:val="21"/>
          <w:szCs w:val="21"/>
          <w:lang w:val="en-GB"/>
        </w:rPr>
      </w:pPr>
    </w:p>
    <w:p w14:paraId="630C2674" w14:textId="4022F349" w:rsidR="00175AA2" w:rsidRPr="001E5747" w:rsidRDefault="00175AA2" w:rsidP="00175AA2">
      <w:pPr>
        <w:spacing w:before="60" w:line="264" w:lineRule="auto"/>
        <w:jc w:val="both"/>
        <w:rPr>
          <w:rFonts w:asciiTheme="majorHAnsi" w:hAnsiTheme="majorHAnsi" w:cstheme="majorHAnsi"/>
          <w:sz w:val="21"/>
          <w:szCs w:val="21"/>
          <w:lang w:val="en-GB"/>
        </w:rPr>
      </w:pPr>
      <w:r w:rsidRPr="001E5747">
        <w:rPr>
          <w:rFonts w:asciiTheme="majorHAnsi" w:hAnsiTheme="majorHAnsi" w:cstheme="majorHAnsi"/>
          <w:sz w:val="21"/>
          <w:szCs w:val="21"/>
          <w:lang w:val="en-GB"/>
        </w:rPr>
        <w:t>• Submitting the rules to the Secretary General of the MLG</w:t>
      </w:r>
      <w:r w:rsidR="00B34556">
        <w:rPr>
          <w:rFonts w:asciiTheme="majorHAnsi" w:hAnsiTheme="majorHAnsi" w:cstheme="majorHAnsi"/>
          <w:sz w:val="21"/>
          <w:szCs w:val="21"/>
          <w:lang w:val="en-GB"/>
        </w:rPr>
        <w:t>A</w:t>
      </w:r>
      <w:r w:rsidRPr="001E5747">
        <w:rPr>
          <w:rFonts w:asciiTheme="majorHAnsi" w:hAnsiTheme="majorHAnsi" w:cstheme="majorHAnsi"/>
          <w:sz w:val="21"/>
          <w:szCs w:val="21"/>
          <w:lang w:val="en-GB"/>
        </w:rPr>
        <w:t xml:space="preserve"> and </w:t>
      </w:r>
      <w:r w:rsidR="00DD1784">
        <w:rPr>
          <w:rFonts w:asciiTheme="majorHAnsi" w:hAnsiTheme="majorHAnsi" w:cstheme="majorHAnsi"/>
          <w:sz w:val="21"/>
          <w:szCs w:val="21"/>
          <w:lang w:val="en-GB"/>
        </w:rPr>
        <w:t>donors</w:t>
      </w:r>
      <w:r w:rsidR="00DD1784" w:rsidRPr="001E5747">
        <w:rPr>
          <w:rFonts w:asciiTheme="majorHAnsi" w:hAnsiTheme="majorHAnsi" w:cstheme="majorHAnsi"/>
          <w:sz w:val="21"/>
          <w:szCs w:val="21"/>
          <w:lang w:val="en-GB"/>
        </w:rPr>
        <w:t xml:space="preserve"> </w:t>
      </w:r>
      <w:r w:rsidRPr="001E5747">
        <w:rPr>
          <w:rFonts w:asciiTheme="majorHAnsi" w:hAnsiTheme="majorHAnsi" w:cstheme="majorHAnsi"/>
          <w:sz w:val="21"/>
          <w:szCs w:val="21"/>
          <w:lang w:val="en-GB"/>
        </w:rPr>
        <w:t>for approval;</w:t>
      </w:r>
    </w:p>
    <w:p w14:paraId="642C19DD" w14:textId="77777777" w:rsidR="00175AA2" w:rsidRPr="001E5747" w:rsidRDefault="00175AA2" w:rsidP="00175AA2">
      <w:pPr>
        <w:tabs>
          <w:tab w:val="left" w:pos="1710"/>
        </w:tabs>
        <w:spacing w:before="20" w:line="264" w:lineRule="auto"/>
        <w:ind w:left="540"/>
        <w:jc w:val="both"/>
        <w:rPr>
          <w:rFonts w:asciiTheme="majorHAnsi" w:hAnsiTheme="majorHAnsi" w:cstheme="majorHAnsi"/>
          <w:b/>
          <w:sz w:val="21"/>
          <w:szCs w:val="21"/>
          <w:lang w:val="en-GB"/>
        </w:rPr>
      </w:pPr>
      <w:r w:rsidRPr="001E5747">
        <w:rPr>
          <w:rFonts w:asciiTheme="majorHAnsi" w:hAnsiTheme="majorHAnsi" w:cstheme="majorHAnsi"/>
          <w:b/>
          <w:sz w:val="21"/>
          <w:szCs w:val="21"/>
          <w:lang w:val="en-GB"/>
        </w:rPr>
        <w:t xml:space="preserve"> </w:t>
      </w:r>
    </w:p>
    <w:p w14:paraId="0AE91871" w14:textId="0889278D" w:rsidR="00175AA2" w:rsidRDefault="00175AA2" w:rsidP="00175AA2">
      <w:pPr>
        <w:tabs>
          <w:tab w:val="left" w:pos="1710"/>
        </w:tabs>
        <w:spacing w:before="20" w:line="264" w:lineRule="auto"/>
        <w:jc w:val="both"/>
        <w:rPr>
          <w:rFonts w:asciiTheme="majorHAnsi" w:hAnsiTheme="majorHAnsi" w:cstheme="majorHAnsi"/>
          <w:color w:val="000000" w:themeColor="text1"/>
          <w:sz w:val="21"/>
          <w:szCs w:val="21"/>
          <w:lang w:val="en-GB"/>
        </w:rPr>
      </w:pPr>
      <w:r w:rsidRPr="001E5747">
        <w:rPr>
          <w:rFonts w:asciiTheme="majorHAnsi" w:hAnsiTheme="majorHAnsi" w:cstheme="majorHAnsi"/>
          <w:color w:val="000000" w:themeColor="text1"/>
          <w:sz w:val="21"/>
          <w:szCs w:val="21"/>
          <w:lang w:val="en-GB"/>
        </w:rPr>
        <w:t>The composition of the working group is established according to Article 32.2 of Regulation 01/2020 on MPMS and Municipal Performance Grant Scheme.</w:t>
      </w:r>
    </w:p>
    <w:p w14:paraId="10BF0DA3" w14:textId="5DCE4ADA" w:rsidR="00A17A5B" w:rsidRDefault="00A17A5B" w:rsidP="00175AA2">
      <w:pPr>
        <w:tabs>
          <w:tab w:val="left" w:pos="1710"/>
        </w:tabs>
        <w:spacing w:before="20" w:line="264" w:lineRule="auto"/>
        <w:jc w:val="both"/>
        <w:rPr>
          <w:rFonts w:asciiTheme="majorHAnsi" w:hAnsiTheme="majorHAnsi" w:cstheme="majorHAnsi"/>
          <w:color w:val="000000" w:themeColor="text1"/>
          <w:sz w:val="21"/>
          <w:szCs w:val="21"/>
          <w:lang w:val="en-GB"/>
        </w:rPr>
      </w:pPr>
    </w:p>
    <w:p w14:paraId="4E1A65C3" w14:textId="57496D5B" w:rsidR="00A17A5B" w:rsidRPr="001E5747" w:rsidRDefault="00A17A5B" w:rsidP="00175AA2">
      <w:pPr>
        <w:tabs>
          <w:tab w:val="left" w:pos="1710"/>
        </w:tabs>
        <w:spacing w:before="20" w:line="264" w:lineRule="auto"/>
        <w:jc w:val="both"/>
        <w:rPr>
          <w:rFonts w:asciiTheme="majorHAnsi" w:hAnsiTheme="majorHAnsi" w:cstheme="majorHAnsi"/>
          <w:b/>
          <w:sz w:val="21"/>
          <w:szCs w:val="21"/>
          <w:lang w:val="en-GB"/>
        </w:rPr>
      </w:pPr>
      <w:r>
        <w:rPr>
          <w:rFonts w:asciiTheme="majorHAnsi" w:hAnsiTheme="majorHAnsi" w:cstheme="majorHAnsi"/>
          <w:color w:val="000000" w:themeColor="text1"/>
          <w:sz w:val="21"/>
          <w:szCs w:val="21"/>
          <w:lang w:val="en-GB"/>
        </w:rPr>
        <w:t xml:space="preserve">The MPG Rules are approved by MLGA in consultation with donors either through a meeting or email exchange. </w:t>
      </w:r>
    </w:p>
    <w:p w14:paraId="2B5B62C5" w14:textId="77777777" w:rsidR="00175AA2" w:rsidRPr="001E5747" w:rsidRDefault="00175AA2" w:rsidP="00175AA2">
      <w:pPr>
        <w:bidi/>
        <w:rPr>
          <w:lang w:val="en-GB"/>
        </w:rPr>
      </w:pPr>
      <w:bookmarkStart w:id="84" w:name="_Toc170432998"/>
    </w:p>
    <w:p w14:paraId="6BE8F07D" w14:textId="77777777" w:rsidR="00175AA2" w:rsidRPr="001E5747" w:rsidRDefault="00175AA2" w:rsidP="00175AA2">
      <w:pPr>
        <w:bidi/>
        <w:rPr>
          <w:lang w:val="en-GB"/>
        </w:rPr>
      </w:pPr>
      <w:r w:rsidRPr="001E5747">
        <w:rPr>
          <w:lang w:val="en-GB"/>
        </w:rPr>
        <w:t xml:space="preserve"> </w:t>
      </w:r>
    </w:p>
    <w:p w14:paraId="625ECBD7" w14:textId="77777777" w:rsidR="00175AA2" w:rsidRPr="001E5747" w:rsidRDefault="00175AA2" w:rsidP="00175AA2">
      <w:pPr>
        <w:bidi/>
        <w:rPr>
          <w:lang w:val="en-GB"/>
        </w:rPr>
      </w:pPr>
    </w:p>
    <w:p w14:paraId="69BEEE9D" w14:textId="77777777" w:rsidR="00175AA2" w:rsidRPr="001E5747" w:rsidRDefault="00175AA2" w:rsidP="00175AA2">
      <w:pPr>
        <w:bidi/>
        <w:rPr>
          <w:lang w:val="en-GB"/>
        </w:rPr>
      </w:pPr>
    </w:p>
    <w:p w14:paraId="5CD4F25F" w14:textId="77777777" w:rsidR="00175AA2" w:rsidRPr="001E5747" w:rsidRDefault="00175AA2" w:rsidP="00175AA2">
      <w:pPr>
        <w:bidi/>
        <w:rPr>
          <w:lang w:val="en-GB"/>
        </w:rPr>
      </w:pPr>
    </w:p>
    <w:p w14:paraId="70631195" w14:textId="77777777" w:rsidR="00175AA2" w:rsidRPr="001E5747" w:rsidRDefault="00175AA2" w:rsidP="00175AA2">
      <w:pPr>
        <w:bidi/>
        <w:rPr>
          <w:lang w:val="en-GB"/>
        </w:rPr>
      </w:pPr>
    </w:p>
    <w:p w14:paraId="23A670A0" w14:textId="77777777" w:rsidR="00175AA2" w:rsidRPr="001E5747" w:rsidRDefault="00175AA2" w:rsidP="00175AA2">
      <w:pPr>
        <w:bidi/>
        <w:rPr>
          <w:lang w:val="en-GB"/>
        </w:rPr>
      </w:pPr>
    </w:p>
    <w:p w14:paraId="433B6864" w14:textId="77777777" w:rsidR="00175AA2" w:rsidRPr="001E5747" w:rsidRDefault="00175AA2" w:rsidP="00175AA2">
      <w:pPr>
        <w:bidi/>
        <w:rPr>
          <w:lang w:val="en-GB"/>
        </w:rPr>
      </w:pPr>
    </w:p>
    <w:p w14:paraId="59209BFE" w14:textId="77777777" w:rsidR="00175AA2" w:rsidRPr="001E5747" w:rsidRDefault="00175AA2" w:rsidP="00175AA2">
      <w:pPr>
        <w:bidi/>
        <w:rPr>
          <w:lang w:val="en-GB"/>
        </w:rPr>
      </w:pPr>
    </w:p>
    <w:p w14:paraId="530D4D0B" w14:textId="77777777" w:rsidR="00175AA2" w:rsidRPr="001E5747" w:rsidRDefault="00175AA2" w:rsidP="00175AA2">
      <w:pPr>
        <w:bidi/>
        <w:rPr>
          <w:lang w:val="en-GB"/>
        </w:rPr>
      </w:pPr>
    </w:p>
    <w:p w14:paraId="40517CCE" w14:textId="57294938" w:rsidR="00175AA2" w:rsidRPr="001E5747" w:rsidRDefault="00175AA2" w:rsidP="00175AA2">
      <w:pPr>
        <w:bidi/>
        <w:rPr>
          <w:lang w:val="en-GB"/>
        </w:rPr>
      </w:pPr>
    </w:p>
    <w:p w14:paraId="112DD490" w14:textId="77777777" w:rsidR="00175AA2" w:rsidRPr="001E5747" w:rsidRDefault="00175AA2" w:rsidP="00175AA2">
      <w:pPr>
        <w:bidi/>
        <w:rPr>
          <w:lang w:val="en-GB"/>
        </w:rPr>
      </w:pPr>
    </w:p>
    <w:p w14:paraId="2640571B" w14:textId="77777777" w:rsidR="00175AA2" w:rsidRPr="001E5747" w:rsidRDefault="00175AA2" w:rsidP="00175AA2">
      <w:pPr>
        <w:bidi/>
        <w:rPr>
          <w:lang w:val="en-GB"/>
        </w:rPr>
      </w:pPr>
    </w:p>
    <w:p w14:paraId="0D5A6288" w14:textId="77777777" w:rsidR="00175AA2" w:rsidRPr="001E5747" w:rsidRDefault="00175AA2" w:rsidP="00175AA2">
      <w:pPr>
        <w:bidi/>
        <w:rPr>
          <w:lang w:val="en-GB"/>
        </w:rPr>
      </w:pPr>
    </w:p>
    <w:p w14:paraId="5F82A5F7" w14:textId="77777777" w:rsidR="00175AA2" w:rsidRPr="001E5747" w:rsidRDefault="00175AA2" w:rsidP="00175AA2">
      <w:pPr>
        <w:bidi/>
        <w:rPr>
          <w:lang w:val="en-GB"/>
        </w:rPr>
      </w:pPr>
    </w:p>
    <w:p w14:paraId="3225D52A" w14:textId="77777777" w:rsidR="00175AA2" w:rsidRPr="001E5747" w:rsidRDefault="00175AA2" w:rsidP="00175AA2">
      <w:pPr>
        <w:bidi/>
        <w:rPr>
          <w:lang w:val="en-GB"/>
        </w:rPr>
      </w:pPr>
    </w:p>
    <w:p w14:paraId="706F7D54" w14:textId="77777777" w:rsidR="00175AA2" w:rsidRPr="001E5747" w:rsidRDefault="00175AA2" w:rsidP="00175AA2">
      <w:pPr>
        <w:bidi/>
        <w:rPr>
          <w:lang w:val="en-GB"/>
        </w:rPr>
      </w:pPr>
    </w:p>
    <w:p w14:paraId="0027EDE4" w14:textId="77777777" w:rsidR="00175AA2" w:rsidRPr="001E5747" w:rsidRDefault="00175AA2" w:rsidP="00175AA2">
      <w:pPr>
        <w:bidi/>
        <w:rPr>
          <w:lang w:val="en-GB"/>
        </w:rPr>
      </w:pPr>
    </w:p>
    <w:p w14:paraId="16DDE65F" w14:textId="77777777" w:rsidR="00175AA2" w:rsidRPr="001E5747" w:rsidRDefault="00175AA2" w:rsidP="00175AA2">
      <w:pPr>
        <w:bidi/>
        <w:rPr>
          <w:lang w:val="en-GB"/>
        </w:rPr>
      </w:pPr>
    </w:p>
    <w:p w14:paraId="59DB9A3C" w14:textId="77777777" w:rsidR="00175AA2" w:rsidRPr="001E5747" w:rsidRDefault="00175AA2" w:rsidP="00175AA2">
      <w:pPr>
        <w:bidi/>
        <w:rPr>
          <w:lang w:val="en-GB"/>
        </w:rPr>
      </w:pPr>
    </w:p>
    <w:p w14:paraId="58B8E231" w14:textId="77777777" w:rsidR="00175AA2" w:rsidRPr="001E5747" w:rsidRDefault="00175AA2" w:rsidP="00175AA2">
      <w:pPr>
        <w:bidi/>
        <w:rPr>
          <w:lang w:val="en-GB"/>
        </w:rPr>
      </w:pPr>
    </w:p>
    <w:p w14:paraId="47CA6185" w14:textId="77777777" w:rsidR="00175AA2" w:rsidRPr="001E5747" w:rsidRDefault="00175AA2" w:rsidP="00175AA2">
      <w:pPr>
        <w:bidi/>
        <w:rPr>
          <w:lang w:val="en-GB"/>
        </w:rPr>
      </w:pPr>
    </w:p>
    <w:p w14:paraId="3A0BFE7D" w14:textId="77777777" w:rsidR="00175AA2" w:rsidRPr="001E5747" w:rsidRDefault="00175AA2" w:rsidP="00175AA2">
      <w:pPr>
        <w:bidi/>
        <w:rPr>
          <w:lang w:val="en-GB"/>
        </w:rPr>
      </w:pPr>
    </w:p>
    <w:p w14:paraId="792ECCB6" w14:textId="77777777" w:rsidR="00175AA2" w:rsidRPr="001E5747" w:rsidRDefault="00175AA2" w:rsidP="00175AA2">
      <w:pPr>
        <w:bidi/>
        <w:rPr>
          <w:lang w:val="en-GB"/>
        </w:rPr>
      </w:pPr>
    </w:p>
    <w:p w14:paraId="13705104" w14:textId="77777777" w:rsidR="00175AA2" w:rsidRPr="001E5747" w:rsidRDefault="00175AA2" w:rsidP="00175AA2">
      <w:pPr>
        <w:bidi/>
        <w:rPr>
          <w:lang w:val="en-GB"/>
        </w:rPr>
      </w:pPr>
    </w:p>
    <w:p w14:paraId="56E0B356" w14:textId="77777777" w:rsidR="00175AA2" w:rsidRPr="001E5747" w:rsidRDefault="00175AA2" w:rsidP="00175AA2">
      <w:pPr>
        <w:bidi/>
        <w:rPr>
          <w:lang w:val="en-GB"/>
        </w:rPr>
      </w:pPr>
    </w:p>
    <w:p w14:paraId="054CBC84" w14:textId="77777777" w:rsidR="00175AA2" w:rsidRPr="001E5747" w:rsidRDefault="00175AA2" w:rsidP="00175AA2">
      <w:pPr>
        <w:bidi/>
        <w:rPr>
          <w:lang w:val="en-GB"/>
        </w:rPr>
      </w:pPr>
    </w:p>
    <w:p w14:paraId="6BE8D85C" w14:textId="77777777" w:rsidR="00175AA2" w:rsidRPr="001E5747" w:rsidRDefault="00175AA2" w:rsidP="00175AA2">
      <w:pPr>
        <w:bidi/>
        <w:rPr>
          <w:lang w:val="en-GB"/>
        </w:rPr>
      </w:pPr>
    </w:p>
    <w:p w14:paraId="5EC13B67" w14:textId="77777777" w:rsidR="00175AA2" w:rsidRPr="001E5747" w:rsidRDefault="00175AA2" w:rsidP="00175AA2">
      <w:pPr>
        <w:keepNext/>
        <w:shd w:val="clear" w:color="auto" w:fill="D55635"/>
        <w:tabs>
          <w:tab w:val="left" w:pos="540"/>
        </w:tabs>
        <w:outlineLvl w:val="0"/>
        <w:rPr>
          <w:rFonts w:asciiTheme="majorHAnsi" w:hAnsiTheme="majorHAnsi"/>
          <w:b/>
          <w:color w:val="FFFFFF" w:themeColor="background1"/>
          <w:sz w:val="32"/>
          <w:szCs w:val="32"/>
          <w:lang w:val="en-GB"/>
        </w:rPr>
      </w:pPr>
      <w:r w:rsidRPr="001E5747">
        <w:rPr>
          <w:rFonts w:asciiTheme="majorHAnsi" w:hAnsiTheme="majorHAnsi"/>
          <w:b/>
          <w:color w:val="FFFFFF" w:themeColor="background1"/>
          <w:sz w:val="32"/>
          <w:szCs w:val="32"/>
          <w:lang w:val="en-GB"/>
        </w:rPr>
        <w:t xml:space="preserve">Annex </w:t>
      </w:r>
      <w:r w:rsidR="004D6783">
        <w:rPr>
          <w:rFonts w:asciiTheme="majorHAnsi" w:hAnsiTheme="majorHAnsi"/>
          <w:b/>
          <w:color w:val="FFFFFF" w:themeColor="background1"/>
          <w:sz w:val="32"/>
          <w:szCs w:val="32"/>
          <w:lang w:val="en-GB"/>
        </w:rPr>
        <w:t>9</w:t>
      </w:r>
      <w:r w:rsidRPr="001E5747">
        <w:rPr>
          <w:rFonts w:asciiTheme="majorHAnsi" w:hAnsiTheme="majorHAnsi"/>
          <w:b/>
          <w:color w:val="FFFFFF" w:themeColor="background1"/>
          <w:sz w:val="32"/>
          <w:szCs w:val="32"/>
          <w:lang w:val="en-GB"/>
        </w:rPr>
        <w:t>: Contacts</w:t>
      </w:r>
    </w:p>
    <w:p w14:paraId="3610D388" w14:textId="77777777" w:rsidR="00175AA2" w:rsidRPr="001E5747" w:rsidRDefault="00175AA2" w:rsidP="00175AA2">
      <w:pPr>
        <w:rPr>
          <w:rFonts w:ascii="Arial" w:hAnsi="Arial" w:cs="Arial"/>
          <w:b/>
          <w:color w:val="C0504D"/>
          <w:sz w:val="28"/>
          <w:szCs w:val="28"/>
          <w:lang w:val="en-GB"/>
        </w:rPr>
      </w:pPr>
    </w:p>
    <w:bookmarkEnd w:id="84"/>
    <w:p w14:paraId="3E8FDE93" w14:textId="77777777" w:rsidR="00175AA2" w:rsidRPr="001E5747" w:rsidRDefault="00175AA2" w:rsidP="00175AA2">
      <w:pPr>
        <w:rPr>
          <w:rFonts w:ascii="Calibri Light" w:eastAsia="Calibri" w:hAnsi="Calibri Light" w:cs="Calibri Light"/>
          <w:b/>
          <w:sz w:val="22"/>
          <w:szCs w:val="22"/>
          <w:lang w:val="en-GB"/>
        </w:rPr>
      </w:pPr>
      <w:r w:rsidRPr="001E5747">
        <w:rPr>
          <w:rFonts w:ascii="Calibri Light" w:eastAsia="Calibri" w:hAnsi="Calibri Light" w:cs="Calibri Light"/>
          <w:b/>
          <w:sz w:val="22"/>
          <w:szCs w:val="22"/>
          <w:lang w:val="en-GB"/>
        </w:rPr>
        <w:t xml:space="preserve">1. </w:t>
      </w:r>
      <w:r w:rsidR="001F2D2C">
        <w:rPr>
          <w:rFonts w:ascii="Calibri Light" w:eastAsia="Calibri" w:hAnsi="Calibri Light" w:cs="Calibri Light"/>
          <w:b/>
          <w:sz w:val="22"/>
          <w:szCs w:val="22"/>
          <w:lang w:val="en-GB"/>
        </w:rPr>
        <w:t>Venera Çerkini</w:t>
      </w:r>
      <w:r w:rsidRPr="001E5747">
        <w:rPr>
          <w:rFonts w:ascii="Calibri Light" w:eastAsia="Calibri" w:hAnsi="Calibri Light" w:cs="Calibri Light"/>
          <w:b/>
          <w:sz w:val="22"/>
          <w:szCs w:val="22"/>
          <w:lang w:val="en-GB"/>
        </w:rPr>
        <w:t xml:space="preserve"> – Deputy Secretary General of the MLG</w:t>
      </w:r>
      <w:r w:rsidR="00B34556">
        <w:rPr>
          <w:rFonts w:ascii="Calibri Light" w:eastAsia="Calibri" w:hAnsi="Calibri Light" w:cs="Calibri Light"/>
          <w:b/>
          <w:sz w:val="22"/>
          <w:szCs w:val="22"/>
          <w:lang w:val="en-GB"/>
        </w:rPr>
        <w:t>A</w:t>
      </w:r>
    </w:p>
    <w:p w14:paraId="305A82E6" w14:textId="77777777" w:rsidR="00175AA2" w:rsidRPr="000C3EC3" w:rsidRDefault="00175AA2" w:rsidP="00175AA2">
      <w:pPr>
        <w:rPr>
          <w:rFonts w:ascii="Calibri Light" w:hAnsi="Calibri Light"/>
          <w:sz w:val="22"/>
          <w:lang w:val="fr-CH"/>
        </w:rPr>
      </w:pPr>
      <w:r w:rsidRPr="000C3EC3">
        <w:rPr>
          <w:rFonts w:ascii="Calibri Light" w:hAnsi="Calibri Light"/>
          <w:sz w:val="22"/>
          <w:lang w:val="fr-CH"/>
        </w:rPr>
        <w:t>Tel: 038 200 35 577</w:t>
      </w:r>
    </w:p>
    <w:p w14:paraId="1B5C6EB3" w14:textId="77777777" w:rsidR="00B34556" w:rsidRPr="000C3EC3" w:rsidRDefault="00175AA2" w:rsidP="00175AA2">
      <w:pPr>
        <w:rPr>
          <w:rFonts w:ascii="Calibri Light" w:hAnsi="Calibri Light"/>
          <w:sz w:val="22"/>
          <w:lang w:val="fr-CH"/>
        </w:rPr>
      </w:pPr>
      <w:r w:rsidRPr="000C3EC3">
        <w:rPr>
          <w:rFonts w:ascii="Calibri Light" w:hAnsi="Calibri Light"/>
          <w:sz w:val="22"/>
          <w:lang w:val="fr-CH"/>
        </w:rPr>
        <w:t xml:space="preserve">Email: </w:t>
      </w:r>
      <w:hyperlink r:id="rId22" w:history="1">
        <w:r w:rsidR="00C96E3F" w:rsidRPr="000C3EC3">
          <w:rPr>
            <w:rStyle w:val="Hyperlink"/>
            <w:rFonts w:ascii="Calibri Light" w:hAnsi="Calibri Light"/>
            <w:sz w:val="22"/>
            <w:lang w:val="fr-CH"/>
          </w:rPr>
          <w:t>venera.cerkini@rks-gov.net</w:t>
        </w:r>
      </w:hyperlink>
    </w:p>
    <w:p w14:paraId="440F84E5" w14:textId="77777777" w:rsidR="00175AA2" w:rsidRPr="000C3EC3" w:rsidRDefault="00175AA2" w:rsidP="00175AA2">
      <w:pPr>
        <w:rPr>
          <w:rFonts w:ascii="Calibri Light" w:hAnsi="Calibri Light"/>
          <w:sz w:val="22"/>
          <w:lang w:val="fr-CH"/>
        </w:rPr>
      </w:pPr>
    </w:p>
    <w:p w14:paraId="226A240E" w14:textId="77777777" w:rsidR="00175AA2" w:rsidRPr="001E5747" w:rsidRDefault="00175AA2" w:rsidP="00175AA2">
      <w:pPr>
        <w:rPr>
          <w:rFonts w:ascii="Calibri Light" w:eastAsia="Calibri" w:hAnsi="Calibri Light" w:cs="Calibri Light"/>
          <w:b/>
          <w:sz w:val="22"/>
          <w:szCs w:val="22"/>
          <w:lang w:val="en-GB"/>
        </w:rPr>
      </w:pPr>
      <w:r w:rsidRPr="001E5747">
        <w:rPr>
          <w:rFonts w:ascii="Calibri Light" w:eastAsia="Calibri" w:hAnsi="Calibri Light" w:cs="Calibri Light"/>
          <w:b/>
          <w:sz w:val="22"/>
          <w:szCs w:val="22"/>
          <w:lang w:val="en-GB"/>
        </w:rPr>
        <w:t>2. Diellor Gashi - Director of the Department for Municipal Performance and Transparency in MLG</w:t>
      </w:r>
      <w:r w:rsidR="00B34556">
        <w:rPr>
          <w:rFonts w:ascii="Calibri Light" w:eastAsia="Calibri" w:hAnsi="Calibri Light" w:cs="Calibri Light"/>
          <w:b/>
          <w:sz w:val="22"/>
          <w:szCs w:val="22"/>
          <w:lang w:val="en-GB"/>
        </w:rPr>
        <w:t>A</w:t>
      </w:r>
    </w:p>
    <w:p w14:paraId="5CF5DEE9" w14:textId="77777777" w:rsidR="00175AA2" w:rsidRPr="0028141A" w:rsidRDefault="00175AA2" w:rsidP="00175AA2">
      <w:pPr>
        <w:rPr>
          <w:rFonts w:ascii="Calibri Light" w:hAnsi="Calibri Light"/>
          <w:sz w:val="22"/>
          <w:lang w:val="fr-CH"/>
        </w:rPr>
      </w:pPr>
      <w:r w:rsidRPr="0028141A">
        <w:rPr>
          <w:rFonts w:ascii="Calibri Light" w:hAnsi="Calibri Light"/>
          <w:sz w:val="22"/>
          <w:lang w:val="fr-CH"/>
        </w:rPr>
        <w:t>Tel: 038 200 35 551</w:t>
      </w:r>
    </w:p>
    <w:p w14:paraId="5F7588D4" w14:textId="77777777" w:rsidR="00175AA2" w:rsidRPr="0028141A" w:rsidRDefault="00175AA2" w:rsidP="00175AA2">
      <w:pPr>
        <w:rPr>
          <w:rFonts w:ascii="Calibri Light" w:hAnsi="Calibri Light"/>
          <w:b/>
          <w:sz w:val="22"/>
          <w:lang w:val="fr-CH"/>
        </w:rPr>
      </w:pPr>
      <w:r w:rsidRPr="0028141A">
        <w:rPr>
          <w:rFonts w:ascii="Calibri Light" w:hAnsi="Calibri Light"/>
          <w:sz w:val="22"/>
          <w:lang w:val="fr-CH"/>
        </w:rPr>
        <w:t xml:space="preserve">Email: </w:t>
      </w:r>
      <w:hyperlink r:id="rId23" w:history="1">
        <w:r w:rsidRPr="0028141A">
          <w:rPr>
            <w:rStyle w:val="Hyperlink"/>
            <w:rFonts w:ascii="Calibri Light" w:hAnsi="Calibri Light"/>
            <w:sz w:val="22"/>
            <w:lang w:val="fr-CH"/>
          </w:rPr>
          <w:t>diellor.gashi@rks-gov.net</w:t>
        </w:r>
      </w:hyperlink>
    </w:p>
    <w:p w14:paraId="3B0F1458" w14:textId="77777777" w:rsidR="00175AA2" w:rsidRPr="0028141A" w:rsidRDefault="00175AA2" w:rsidP="00175AA2">
      <w:pPr>
        <w:bidi/>
        <w:rPr>
          <w:lang w:val="fr-CH"/>
        </w:rPr>
      </w:pPr>
    </w:p>
    <w:p w14:paraId="4C8C39F4" w14:textId="77777777" w:rsidR="008A1C7F" w:rsidRPr="0028141A" w:rsidRDefault="008A1C7F">
      <w:pPr>
        <w:rPr>
          <w:lang w:val="fr-CH"/>
        </w:rPr>
      </w:pPr>
    </w:p>
    <w:sectPr w:rsidR="008A1C7F" w:rsidRPr="0028141A" w:rsidSect="004A693D">
      <w:footerReference w:type="default" r:id="rId24"/>
      <w:pgSz w:w="11909" w:h="16834" w:code="9"/>
      <w:pgMar w:top="1440" w:right="1800" w:bottom="1440" w:left="1800" w:header="1296" w:footer="10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6CEA5" w14:textId="77777777" w:rsidR="00076143" w:rsidRDefault="00076143">
      <w:r>
        <w:separator/>
      </w:r>
    </w:p>
  </w:endnote>
  <w:endnote w:type="continuationSeparator" w:id="0">
    <w:p w14:paraId="4B71A19F" w14:textId="77777777" w:rsidR="00076143" w:rsidRDefault="00076143">
      <w:r>
        <w:continuationSeparator/>
      </w:r>
    </w:p>
  </w:endnote>
  <w:endnote w:type="continuationNotice" w:id="1">
    <w:p w14:paraId="25EEC200" w14:textId="77777777" w:rsidR="00076143" w:rsidRDefault="000761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Palatino">
    <w:charset w:val="00"/>
    <w:family w:val="roman"/>
    <w:pitch w:val="variable"/>
    <w:sig w:usb0="00000007" w:usb1="00000000" w:usb2="00000000" w:usb3="00000000" w:csb0="00000093"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5A183" w14:textId="513BE2FE" w:rsidR="00CB1E79" w:rsidRPr="00AF7C2C" w:rsidRDefault="00CB1E79" w:rsidP="00CD53A9">
    <w:pPr>
      <w:spacing w:before="120"/>
      <w:jc w:val="right"/>
      <w:rPr>
        <w:rFonts w:ascii="Arial" w:hAnsi="Arial"/>
        <w:bCs/>
        <w:color w:val="FF0000"/>
        <w:lang w:val="en-GB"/>
      </w:rPr>
    </w:pPr>
    <w:r w:rsidRPr="00AF7C2C">
      <w:rPr>
        <w:rFonts w:ascii="Arial" w:hAnsi="Arial" w:cs="Arial"/>
        <w:b/>
        <w:i/>
        <w:iCs/>
        <w:color w:val="808080" w:themeColor="background1" w:themeShade="80"/>
        <w:sz w:val="16"/>
        <w:szCs w:val="16"/>
        <w:lang w:val="en-GB"/>
      </w:rPr>
      <w:t xml:space="preserve">Municipal Performance Grant Rules </w:t>
    </w:r>
    <w:r w:rsidR="00C2637B">
      <w:rPr>
        <w:rFonts w:ascii="Arial" w:hAnsi="Arial" w:cs="Arial"/>
        <w:b/>
        <w:i/>
        <w:iCs/>
        <w:color w:val="808080" w:themeColor="background1" w:themeShade="80"/>
        <w:sz w:val="16"/>
        <w:szCs w:val="16"/>
        <w:lang w:val="en-GB"/>
      </w:rPr>
      <w:t>2023</w:t>
    </w:r>
    <w:r w:rsidRPr="00AF7C2C">
      <w:rPr>
        <w:rFonts w:ascii="Arial" w:hAnsi="Arial" w:cs="Arial"/>
        <w:b/>
        <w:i/>
        <w:iCs/>
        <w:color w:val="808080" w:themeColor="background1" w:themeShade="80"/>
        <w:sz w:val="16"/>
        <w:szCs w:val="16"/>
        <w:lang w:val="en-GB"/>
      </w:rPr>
      <w:t xml:space="preserve">- </w:t>
    </w:r>
    <w:r w:rsidRPr="00AF7C2C">
      <w:rPr>
        <w:rFonts w:ascii="Arial" w:hAnsi="Arial" w:cs="Arial"/>
        <w:iCs/>
        <w:color w:val="000000" w:themeColor="text1"/>
        <w:sz w:val="16"/>
        <w:szCs w:val="16"/>
        <w:highlight w:val="lightGray"/>
        <w:lang w:val="en-GB"/>
      </w:rPr>
      <w:t xml:space="preserve">Page </w:t>
    </w:r>
    <w:r w:rsidRPr="00AF7C2C">
      <w:rPr>
        <w:rFonts w:ascii="Arial" w:hAnsi="Arial" w:cs="Arial"/>
        <w:iCs/>
        <w:color w:val="000000" w:themeColor="text1"/>
        <w:sz w:val="16"/>
        <w:szCs w:val="16"/>
        <w:highlight w:val="lightGray"/>
        <w:lang w:val="en-GB"/>
      </w:rPr>
      <w:fldChar w:fldCharType="begin"/>
    </w:r>
    <w:r w:rsidRPr="00AF7C2C">
      <w:rPr>
        <w:rFonts w:ascii="Arial" w:hAnsi="Arial" w:cs="Arial"/>
        <w:iCs/>
        <w:color w:val="000000" w:themeColor="text1"/>
        <w:sz w:val="16"/>
        <w:szCs w:val="16"/>
        <w:highlight w:val="lightGray"/>
        <w:lang w:val="en-GB"/>
      </w:rPr>
      <w:instrText xml:space="preserve"> PAGE </w:instrText>
    </w:r>
    <w:r w:rsidRPr="00AF7C2C">
      <w:rPr>
        <w:rFonts w:ascii="Arial" w:hAnsi="Arial" w:cs="Arial"/>
        <w:iCs/>
        <w:color w:val="000000" w:themeColor="text1"/>
        <w:sz w:val="16"/>
        <w:szCs w:val="16"/>
        <w:highlight w:val="lightGray"/>
        <w:lang w:val="en-GB"/>
      </w:rPr>
      <w:fldChar w:fldCharType="separate"/>
    </w:r>
    <w:r w:rsidR="0077514F">
      <w:rPr>
        <w:rFonts w:ascii="Arial" w:hAnsi="Arial" w:cs="Arial"/>
        <w:iCs/>
        <w:noProof/>
        <w:color w:val="000000" w:themeColor="text1"/>
        <w:sz w:val="16"/>
        <w:szCs w:val="16"/>
        <w:highlight w:val="lightGray"/>
        <w:lang w:val="en-GB"/>
      </w:rPr>
      <w:t>15</w:t>
    </w:r>
    <w:r w:rsidRPr="00AF7C2C">
      <w:rPr>
        <w:rFonts w:ascii="Arial" w:hAnsi="Arial" w:cs="Arial"/>
        <w:iCs/>
        <w:color w:val="000000" w:themeColor="text1"/>
        <w:sz w:val="16"/>
        <w:szCs w:val="16"/>
        <w:highlight w:val="lightGray"/>
        <w:lang w:val="en-GB"/>
      </w:rPr>
      <w:fldChar w:fldCharType="end"/>
    </w:r>
  </w:p>
  <w:p w14:paraId="69A20038" w14:textId="77777777" w:rsidR="00CB1E79" w:rsidRPr="00AF7C2C" w:rsidRDefault="00CB1E79">
    <w:pPr>
      <w:rPr>
        <w:lang w:val="en-GB"/>
      </w:rPr>
    </w:pPr>
  </w:p>
  <w:p w14:paraId="06EF5830" w14:textId="77777777" w:rsidR="00CB1E79" w:rsidRPr="00AF7C2C" w:rsidRDefault="00CB1E79">
    <w:pP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9AD6" w14:textId="77777777" w:rsidR="00CB1E79" w:rsidRPr="00CD53A9" w:rsidRDefault="00CB1E79" w:rsidP="00CD53A9">
    <w:pPr>
      <w:spacing w:before="120"/>
      <w:jc w:val="right"/>
      <w:rPr>
        <w:rFonts w:ascii="Arial" w:hAnsi="Arial"/>
        <w:bCs/>
        <w:color w:val="FF0000"/>
      </w:rPr>
    </w:pPr>
    <w:r w:rsidRPr="00AF7C2C">
      <w:rPr>
        <w:rFonts w:ascii="Arial" w:hAnsi="Arial" w:cs="Arial"/>
        <w:b/>
        <w:i/>
        <w:iCs/>
        <w:color w:val="808080" w:themeColor="background1" w:themeShade="80"/>
        <w:sz w:val="16"/>
        <w:szCs w:val="16"/>
        <w:lang w:val="en-GB"/>
      </w:rPr>
      <w:t xml:space="preserve">Municipal Performance Grant Rules </w:t>
    </w:r>
    <w:r w:rsidRPr="002A0323">
      <w:rPr>
        <w:rFonts w:ascii="Arial" w:hAnsi="Arial" w:cs="Arial"/>
        <w:b/>
        <w:i/>
        <w:iCs/>
        <w:color w:val="808080" w:themeColor="background1" w:themeShade="80"/>
        <w:sz w:val="16"/>
        <w:szCs w:val="16"/>
      </w:rPr>
      <w:t xml:space="preserve">- </w:t>
    </w:r>
    <w:r>
      <w:rPr>
        <w:rFonts w:ascii="Arial" w:hAnsi="Arial" w:cs="Arial"/>
        <w:iCs/>
        <w:color w:val="000000" w:themeColor="text1"/>
        <w:sz w:val="16"/>
        <w:szCs w:val="16"/>
        <w:highlight w:val="lightGray"/>
      </w:rPr>
      <w:t>Page</w:t>
    </w:r>
    <w:r w:rsidRPr="00E05687">
      <w:rPr>
        <w:rFonts w:ascii="Arial" w:hAnsi="Arial" w:cs="Arial"/>
        <w:iCs/>
        <w:color w:val="000000" w:themeColor="text1"/>
        <w:sz w:val="16"/>
        <w:szCs w:val="16"/>
        <w:highlight w:val="lightGray"/>
      </w:rPr>
      <w:t xml:space="preserve"> </w:t>
    </w:r>
    <w:r w:rsidRPr="00E05687">
      <w:rPr>
        <w:rFonts w:ascii="Arial" w:hAnsi="Arial" w:cs="Arial"/>
        <w:iCs/>
        <w:color w:val="000000" w:themeColor="text1"/>
        <w:sz w:val="16"/>
        <w:szCs w:val="16"/>
        <w:highlight w:val="lightGray"/>
      </w:rPr>
      <w:fldChar w:fldCharType="begin"/>
    </w:r>
    <w:r w:rsidRPr="00E05687">
      <w:rPr>
        <w:rFonts w:ascii="Arial" w:hAnsi="Arial" w:cs="Arial"/>
        <w:iCs/>
        <w:color w:val="000000" w:themeColor="text1"/>
        <w:sz w:val="16"/>
        <w:szCs w:val="16"/>
        <w:highlight w:val="lightGray"/>
      </w:rPr>
      <w:instrText xml:space="preserve"> PAGE </w:instrText>
    </w:r>
    <w:r w:rsidRPr="00E05687">
      <w:rPr>
        <w:rFonts w:ascii="Arial" w:hAnsi="Arial" w:cs="Arial"/>
        <w:iCs/>
        <w:color w:val="000000" w:themeColor="text1"/>
        <w:sz w:val="16"/>
        <w:szCs w:val="16"/>
        <w:highlight w:val="lightGray"/>
      </w:rPr>
      <w:fldChar w:fldCharType="separate"/>
    </w:r>
    <w:r w:rsidR="0077514F">
      <w:rPr>
        <w:rFonts w:ascii="Arial" w:hAnsi="Arial" w:cs="Arial"/>
        <w:iCs/>
        <w:noProof/>
        <w:color w:val="000000" w:themeColor="text1"/>
        <w:sz w:val="16"/>
        <w:szCs w:val="16"/>
        <w:highlight w:val="lightGray"/>
      </w:rPr>
      <w:t>20</w:t>
    </w:r>
    <w:r w:rsidRPr="00E05687">
      <w:rPr>
        <w:rFonts w:ascii="Arial" w:hAnsi="Arial" w:cs="Arial"/>
        <w:iCs/>
        <w:color w:val="000000" w:themeColor="text1"/>
        <w:sz w:val="16"/>
        <w:szCs w:val="16"/>
        <w:highlight w:val="lightGray"/>
      </w:rPr>
      <w:fldChar w:fldCharType="end"/>
    </w:r>
  </w:p>
  <w:p w14:paraId="4E9BE0E1" w14:textId="77777777" w:rsidR="00CB1E79" w:rsidRDefault="00CB1E79"/>
  <w:p w14:paraId="4D0EE91C" w14:textId="77777777" w:rsidR="00CB1E79" w:rsidRDefault="00CB1E7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1C06E" w14:textId="33031965" w:rsidR="00CB1E79" w:rsidRPr="00AF7C2C" w:rsidRDefault="00CB1E79" w:rsidP="005434CB">
    <w:pPr>
      <w:spacing w:before="120"/>
      <w:ind w:right="-1046"/>
      <w:jc w:val="right"/>
      <w:rPr>
        <w:rFonts w:ascii="Arial" w:hAnsi="Arial"/>
        <w:bCs/>
        <w:color w:val="FF0000"/>
        <w:lang w:val="en-GB"/>
      </w:rPr>
    </w:pPr>
    <w:r w:rsidRPr="00AF7C2C">
      <w:rPr>
        <w:rFonts w:ascii="Arial" w:hAnsi="Arial" w:cs="Arial"/>
        <w:b/>
        <w:i/>
        <w:iCs/>
        <w:color w:val="808080" w:themeColor="background1" w:themeShade="80"/>
        <w:sz w:val="16"/>
        <w:szCs w:val="16"/>
        <w:lang w:val="en-GB"/>
      </w:rPr>
      <w:t>Municipal Performance Grant – Rules F</w:t>
    </w:r>
    <w:r>
      <w:rPr>
        <w:rFonts w:ascii="Arial" w:hAnsi="Arial" w:cs="Arial"/>
        <w:b/>
        <w:i/>
        <w:iCs/>
        <w:color w:val="808080" w:themeColor="background1" w:themeShade="80"/>
        <w:sz w:val="16"/>
        <w:szCs w:val="16"/>
        <w:lang w:val="en-GB"/>
      </w:rPr>
      <w:t>Y</w:t>
    </w:r>
    <w:r w:rsidRPr="00AF7C2C">
      <w:rPr>
        <w:rFonts w:ascii="Arial" w:hAnsi="Arial" w:cs="Arial"/>
        <w:b/>
        <w:i/>
        <w:iCs/>
        <w:color w:val="808080" w:themeColor="background1" w:themeShade="80"/>
        <w:sz w:val="16"/>
        <w:szCs w:val="16"/>
        <w:lang w:val="en-GB"/>
      </w:rPr>
      <w:t xml:space="preserve"> </w:t>
    </w:r>
    <w:r w:rsidR="00310D3C" w:rsidRPr="00AF7C2C">
      <w:rPr>
        <w:rFonts w:ascii="Arial" w:hAnsi="Arial" w:cs="Arial"/>
        <w:b/>
        <w:i/>
        <w:iCs/>
        <w:color w:val="808080" w:themeColor="background1" w:themeShade="80"/>
        <w:sz w:val="16"/>
        <w:szCs w:val="16"/>
        <w:lang w:val="en-GB"/>
      </w:rPr>
      <w:t>202</w:t>
    </w:r>
    <w:r w:rsidR="00310D3C">
      <w:rPr>
        <w:rFonts w:ascii="Arial" w:hAnsi="Arial" w:cs="Arial"/>
        <w:b/>
        <w:i/>
        <w:iCs/>
        <w:color w:val="808080" w:themeColor="background1" w:themeShade="80"/>
        <w:sz w:val="16"/>
        <w:szCs w:val="16"/>
        <w:lang w:val="en-GB"/>
      </w:rPr>
      <w:t>3</w:t>
    </w:r>
    <w:r w:rsidR="00310D3C" w:rsidRPr="00AF7C2C">
      <w:rPr>
        <w:rFonts w:ascii="Arial" w:hAnsi="Arial" w:cs="Arial"/>
        <w:b/>
        <w:i/>
        <w:iCs/>
        <w:color w:val="808080" w:themeColor="background1" w:themeShade="80"/>
        <w:sz w:val="16"/>
        <w:szCs w:val="16"/>
        <w:lang w:val="en-GB"/>
      </w:rPr>
      <w:t xml:space="preserve"> </w:t>
    </w:r>
    <w:r w:rsidRPr="00AF7C2C">
      <w:rPr>
        <w:rFonts w:ascii="Arial" w:hAnsi="Arial" w:cs="Arial"/>
        <w:b/>
        <w:i/>
        <w:iCs/>
        <w:color w:val="808080" w:themeColor="background1" w:themeShade="80"/>
        <w:sz w:val="16"/>
        <w:szCs w:val="16"/>
        <w:lang w:val="en-GB"/>
      </w:rPr>
      <w:t xml:space="preserve">- </w:t>
    </w:r>
    <w:r>
      <w:rPr>
        <w:rFonts w:ascii="Arial" w:hAnsi="Arial" w:cs="Arial"/>
        <w:iCs/>
        <w:color w:val="000000" w:themeColor="text1"/>
        <w:sz w:val="16"/>
        <w:szCs w:val="16"/>
        <w:highlight w:val="lightGray"/>
        <w:lang w:val="en-GB"/>
      </w:rPr>
      <w:t>Page</w:t>
    </w:r>
    <w:r w:rsidRPr="00AF7C2C">
      <w:rPr>
        <w:rFonts w:ascii="Arial" w:hAnsi="Arial" w:cs="Arial"/>
        <w:iCs/>
        <w:color w:val="000000" w:themeColor="text1"/>
        <w:sz w:val="16"/>
        <w:szCs w:val="16"/>
        <w:highlight w:val="lightGray"/>
        <w:lang w:val="en-GB"/>
      </w:rPr>
      <w:t xml:space="preserve"> </w:t>
    </w:r>
    <w:r w:rsidRPr="00AF7C2C">
      <w:rPr>
        <w:rFonts w:ascii="Arial" w:hAnsi="Arial" w:cs="Arial"/>
        <w:iCs/>
        <w:color w:val="000000" w:themeColor="text1"/>
        <w:sz w:val="16"/>
        <w:szCs w:val="16"/>
        <w:highlight w:val="lightGray"/>
        <w:lang w:val="en-GB"/>
      </w:rPr>
      <w:fldChar w:fldCharType="begin"/>
    </w:r>
    <w:r w:rsidRPr="00AF7C2C">
      <w:rPr>
        <w:rFonts w:ascii="Arial" w:hAnsi="Arial" w:cs="Arial"/>
        <w:iCs/>
        <w:color w:val="000000" w:themeColor="text1"/>
        <w:sz w:val="16"/>
        <w:szCs w:val="16"/>
        <w:highlight w:val="lightGray"/>
        <w:lang w:val="en-GB"/>
      </w:rPr>
      <w:instrText xml:space="preserve"> PAGE </w:instrText>
    </w:r>
    <w:r w:rsidRPr="00AF7C2C">
      <w:rPr>
        <w:rFonts w:ascii="Arial" w:hAnsi="Arial" w:cs="Arial"/>
        <w:iCs/>
        <w:color w:val="000000" w:themeColor="text1"/>
        <w:sz w:val="16"/>
        <w:szCs w:val="16"/>
        <w:highlight w:val="lightGray"/>
        <w:lang w:val="en-GB"/>
      </w:rPr>
      <w:fldChar w:fldCharType="separate"/>
    </w:r>
    <w:r w:rsidR="0077514F">
      <w:rPr>
        <w:rFonts w:ascii="Arial" w:hAnsi="Arial" w:cs="Arial"/>
        <w:iCs/>
        <w:noProof/>
        <w:color w:val="000000" w:themeColor="text1"/>
        <w:sz w:val="16"/>
        <w:szCs w:val="16"/>
        <w:highlight w:val="lightGray"/>
        <w:lang w:val="en-GB"/>
      </w:rPr>
      <w:t>24</w:t>
    </w:r>
    <w:r w:rsidRPr="00AF7C2C">
      <w:rPr>
        <w:rFonts w:ascii="Arial" w:hAnsi="Arial" w:cs="Arial"/>
        <w:iCs/>
        <w:color w:val="000000" w:themeColor="text1"/>
        <w:sz w:val="16"/>
        <w:szCs w:val="16"/>
        <w:highlight w:val="lightGray"/>
        <w:lang w:val="en-G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B03D3" w14:textId="18F1F373" w:rsidR="00CB1E79" w:rsidRPr="00BB0895" w:rsidRDefault="00CB1E79" w:rsidP="00CD53A9">
    <w:pPr>
      <w:spacing w:before="120"/>
      <w:jc w:val="right"/>
      <w:rPr>
        <w:rFonts w:ascii="Arial" w:hAnsi="Arial"/>
        <w:bCs/>
        <w:color w:val="FF0000"/>
        <w:lang w:val="en-GB"/>
      </w:rPr>
    </w:pPr>
    <w:r w:rsidRPr="00BB0895">
      <w:rPr>
        <w:rFonts w:ascii="Arial" w:hAnsi="Arial" w:cs="Arial"/>
        <w:b/>
        <w:i/>
        <w:iCs/>
        <w:color w:val="808080" w:themeColor="background1" w:themeShade="80"/>
        <w:sz w:val="16"/>
        <w:szCs w:val="16"/>
        <w:lang w:val="en-GB"/>
      </w:rPr>
      <w:t xml:space="preserve">Rules of the Municipal Performance Grant </w:t>
    </w:r>
    <w:r w:rsidR="00310D3C">
      <w:rPr>
        <w:rFonts w:ascii="Arial" w:hAnsi="Arial" w:cs="Arial"/>
        <w:b/>
        <w:i/>
        <w:iCs/>
        <w:color w:val="808080" w:themeColor="background1" w:themeShade="80"/>
        <w:sz w:val="16"/>
        <w:szCs w:val="16"/>
        <w:lang w:val="en-GB"/>
      </w:rPr>
      <w:t>2023</w:t>
    </w:r>
    <w:r w:rsidRPr="00BB0895">
      <w:rPr>
        <w:rFonts w:ascii="Arial" w:hAnsi="Arial" w:cs="Arial"/>
        <w:b/>
        <w:i/>
        <w:iCs/>
        <w:color w:val="808080" w:themeColor="background1" w:themeShade="80"/>
        <w:sz w:val="16"/>
        <w:szCs w:val="16"/>
        <w:lang w:val="en-GB"/>
      </w:rPr>
      <w:t xml:space="preserve">- </w:t>
    </w:r>
    <w:r w:rsidRPr="00BB0895">
      <w:rPr>
        <w:rFonts w:ascii="Arial" w:hAnsi="Arial" w:cs="Arial"/>
        <w:iCs/>
        <w:color w:val="000000" w:themeColor="text1"/>
        <w:sz w:val="16"/>
        <w:szCs w:val="16"/>
        <w:highlight w:val="lightGray"/>
        <w:lang w:val="en-GB"/>
      </w:rPr>
      <w:t xml:space="preserve">Page </w:t>
    </w:r>
    <w:r w:rsidRPr="00BB0895">
      <w:rPr>
        <w:rFonts w:ascii="Arial" w:hAnsi="Arial" w:cs="Arial"/>
        <w:iCs/>
        <w:color w:val="000000" w:themeColor="text1"/>
        <w:sz w:val="16"/>
        <w:szCs w:val="16"/>
        <w:highlight w:val="lightGray"/>
        <w:lang w:val="en-GB"/>
      </w:rPr>
      <w:fldChar w:fldCharType="begin"/>
    </w:r>
    <w:r w:rsidRPr="00BB0895">
      <w:rPr>
        <w:rFonts w:ascii="Arial" w:hAnsi="Arial" w:cs="Arial"/>
        <w:iCs/>
        <w:color w:val="000000" w:themeColor="text1"/>
        <w:sz w:val="16"/>
        <w:szCs w:val="16"/>
        <w:highlight w:val="lightGray"/>
        <w:lang w:val="en-GB"/>
      </w:rPr>
      <w:instrText xml:space="preserve"> PAGE </w:instrText>
    </w:r>
    <w:r w:rsidRPr="00BB0895">
      <w:rPr>
        <w:rFonts w:ascii="Arial" w:hAnsi="Arial" w:cs="Arial"/>
        <w:iCs/>
        <w:color w:val="000000" w:themeColor="text1"/>
        <w:sz w:val="16"/>
        <w:szCs w:val="16"/>
        <w:highlight w:val="lightGray"/>
        <w:lang w:val="en-GB"/>
      </w:rPr>
      <w:fldChar w:fldCharType="separate"/>
    </w:r>
    <w:r w:rsidR="0077514F">
      <w:rPr>
        <w:rFonts w:ascii="Arial" w:hAnsi="Arial" w:cs="Arial"/>
        <w:iCs/>
        <w:noProof/>
        <w:color w:val="000000" w:themeColor="text1"/>
        <w:sz w:val="16"/>
        <w:szCs w:val="16"/>
        <w:highlight w:val="lightGray"/>
        <w:lang w:val="en-GB"/>
      </w:rPr>
      <w:t>44</w:t>
    </w:r>
    <w:r w:rsidRPr="00BB0895">
      <w:rPr>
        <w:rFonts w:ascii="Arial" w:hAnsi="Arial" w:cs="Arial"/>
        <w:iCs/>
        <w:color w:val="000000" w:themeColor="text1"/>
        <w:sz w:val="16"/>
        <w:szCs w:val="16"/>
        <w:highlight w:val="lightGray"/>
        <w:lang w:val="en-GB"/>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C0E51" w14:textId="77777777" w:rsidR="00CB1E79" w:rsidRPr="00B34556" w:rsidRDefault="00CB1E79" w:rsidP="00CD53A9">
    <w:pPr>
      <w:spacing w:before="120"/>
      <w:jc w:val="right"/>
      <w:rPr>
        <w:rFonts w:ascii="Arial" w:hAnsi="Arial" w:cs="Arial"/>
        <w:b/>
        <w:i/>
        <w:iCs/>
        <w:color w:val="808080" w:themeColor="background1" w:themeShade="80"/>
        <w:sz w:val="16"/>
        <w:szCs w:val="16"/>
        <w:lang w:val="en-GB"/>
      </w:rPr>
    </w:pPr>
  </w:p>
  <w:p w14:paraId="24CE362F" w14:textId="6BDEA58D" w:rsidR="00CB1E79" w:rsidRPr="00B34556" w:rsidRDefault="00CB1E79" w:rsidP="00CD53A9">
    <w:pPr>
      <w:spacing w:before="120"/>
      <w:jc w:val="right"/>
      <w:rPr>
        <w:rFonts w:ascii="Arial" w:hAnsi="Arial"/>
        <w:bCs/>
        <w:color w:val="FF0000"/>
        <w:lang w:val="en-GB"/>
      </w:rPr>
    </w:pPr>
    <w:r w:rsidRPr="00B34556">
      <w:rPr>
        <w:rFonts w:ascii="Arial" w:hAnsi="Arial" w:cs="Arial"/>
        <w:b/>
        <w:i/>
        <w:iCs/>
        <w:color w:val="808080" w:themeColor="background1" w:themeShade="80"/>
        <w:sz w:val="16"/>
        <w:szCs w:val="16"/>
        <w:lang w:val="en-GB"/>
      </w:rPr>
      <w:t>Municipal Performance Grant Rules</w:t>
    </w:r>
    <w:r>
      <w:rPr>
        <w:rFonts w:ascii="Arial" w:hAnsi="Arial" w:cs="Arial"/>
        <w:b/>
        <w:i/>
        <w:iCs/>
        <w:color w:val="808080" w:themeColor="background1" w:themeShade="80"/>
        <w:sz w:val="16"/>
        <w:szCs w:val="16"/>
        <w:lang w:val="en-GB"/>
      </w:rPr>
      <w:t xml:space="preserve"> </w:t>
    </w:r>
    <w:r w:rsidR="00310D3C">
      <w:rPr>
        <w:rFonts w:ascii="Arial" w:hAnsi="Arial" w:cs="Arial"/>
        <w:b/>
        <w:i/>
        <w:iCs/>
        <w:color w:val="808080" w:themeColor="background1" w:themeShade="80"/>
        <w:sz w:val="16"/>
        <w:szCs w:val="16"/>
        <w:lang w:val="en-GB"/>
      </w:rPr>
      <w:t>2023</w:t>
    </w:r>
    <w:r w:rsidR="00310D3C" w:rsidRPr="00B34556">
      <w:rPr>
        <w:rFonts w:ascii="Arial" w:hAnsi="Arial" w:cs="Arial"/>
        <w:b/>
        <w:i/>
        <w:iCs/>
        <w:color w:val="808080" w:themeColor="background1" w:themeShade="80"/>
        <w:sz w:val="16"/>
        <w:szCs w:val="16"/>
        <w:lang w:val="en-GB"/>
      </w:rPr>
      <w:t xml:space="preserve"> </w:t>
    </w:r>
    <w:r w:rsidRPr="00B34556">
      <w:rPr>
        <w:rFonts w:ascii="Arial" w:hAnsi="Arial" w:cs="Arial"/>
        <w:b/>
        <w:i/>
        <w:iCs/>
        <w:color w:val="808080" w:themeColor="background1" w:themeShade="80"/>
        <w:sz w:val="16"/>
        <w:szCs w:val="16"/>
        <w:lang w:val="en-GB"/>
      </w:rPr>
      <w:t xml:space="preserve">- </w:t>
    </w:r>
    <w:r w:rsidRPr="00B34556">
      <w:rPr>
        <w:rFonts w:ascii="Arial" w:hAnsi="Arial" w:cs="Arial"/>
        <w:iCs/>
        <w:color w:val="000000" w:themeColor="text1"/>
        <w:sz w:val="16"/>
        <w:szCs w:val="16"/>
        <w:highlight w:val="lightGray"/>
        <w:lang w:val="en-GB"/>
      </w:rPr>
      <w:t xml:space="preserve">Page </w:t>
    </w:r>
    <w:r w:rsidRPr="00B34556">
      <w:rPr>
        <w:rFonts w:ascii="Arial" w:hAnsi="Arial" w:cs="Arial"/>
        <w:iCs/>
        <w:color w:val="000000" w:themeColor="text1"/>
        <w:sz w:val="16"/>
        <w:szCs w:val="16"/>
        <w:highlight w:val="lightGray"/>
        <w:lang w:val="en-GB"/>
      </w:rPr>
      <w:fldChar w:fldCharType="begin"/>
    </w:r>
    <w:r w:rsidRPr="00B34556">
      <w:rPr>
        <w:rFonts w:ascii="Arial" w:hAnsi="Arial" w:cs="Arial"/>
        <w:iCs/>
        <w:color w:val="000000" w:themeColor="text1"/>
        <w:sz w:val="16"/>
        <w:szCs w:val="16"/>
        <w:highlight w:val="lightGray"/>
        <w:lang w:val="en-GB"/>
      </w:rPr>
      <w:instrText xml:space="preserve"> PAGE </w:instrText>
    </w:r>
    <w:r w:rsidRPr="00B34556">
      <w:rPr>
        <w:rFonts w:ascii="Arial" w:hAnsi="Arial" w:cs="Arial"/>
        <w:iCs/>
        <w:color w:val="000000" w:themeColor="text1"/>
        <w:sz w:val="16"/>
        <w:szCs w:val="16"/>
        <w:highlight w:val="lightGray"/>
        <w:lang w:val="en-GB"/>
      </w:rPr>
      <w:fldChar w:fldCharType="separate"/>
    </w:r>
    <w:r w:rsidR="0077514F">
      <w:rPr>
        <w:rFonts w:ascii="Arial" w:hAnsi="Arial" w:cs="Arial"/>
        <w:iCs/>
        <w:noProof/>
        <w:color w:val="000000" w:themeColor="text1"/>
        <w:sz w:val="16"/>
        <w:szCs w:val="16"/>
        <w:highlight w:val="lightGray"/>
        <w:lang w:val="en-GB"/>
      </w:rPr>
      <w:t>50</w:t>
    </w:r>
    <w:r w:rsidRPr="00B34556">
      <w:rPr>
        <w:rFonts w:ascii="Arial" w:hAnsi="Arial" w:cs="Arial"/>
        <w:iCs/>
        <w:color w:val="000000" w:themeColor="text1"/>
        <w:sz w:val="16"/>
        <w:szCs w:val="16"/>
        <w:highlight w:val="lightGray"/>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C4F22" w14:textId="77777777" w:rsidR="00076143" w:rsidRDefault="00076143">
      <w:r>
        <w:separator/>
      </w:r>
    </w:p>
  </w:footnote>
  <w:footnote w:type="continuationSeparator" w:id="0">
    <w:p w14:paraId="6BDBE480" w14:textId="77777777" w:rsidR="00076143" w:rsidRDefault="00076143">
      <w:r>
        <w:continuationSeparator/>
      </w:r>
    </w:p>
  </w:footnote>
  <w:footnote w:type="continuationNotice" w:id="1">
    <w:p w14:paraId="5F13EBA8" w14:textId="77777777" w:rsidR="00076143" w:rsidRDefault="00076143"/>
  </w:footnote>
  <w:footnote w:id="2">
    <w:p w14:paraId="73485CBA" w14:textId="77777777" w:rsidR="00CB1E79" w:rsidRPr="00C06C3E" w:rsidRDefault="00CB1E79" w:rsidP="00B739C3">
      <w:pPr>
        <w:pStyle w:val="FootnoteText"/>
        <w:rPr>
          <w:rFonts w:asciiTheme="majorHAnsi" w:hAnsiTheme="majorHAnsi"/>
          <w:sz w:val="18"/>
          <w:szCs w:val="18"/>
          <w:lang w:val="en-GB"/>
        </w:rPr>
      </w:pPr>
      <w:r w:rsidRPr="00C06C3E">
        <w:rPr>
          <w:rStyle w:val="FootnoteReference"/>
          <w:rFonts w:asciiTheme="majorHAnsi" w:hAnsiTheme="majorHAnsi"/>
          <w:sz w:val="18"/>
          <w:szCs w:val="18"/>
          <w:lang w:val="en-GB"/>
        </w:rPr>
        <w:footnoteRef/>
      </w:r>
      <w:r w:rsidRPr="00C06C3E">
        <w:rPr>
          <w:rFonts w:asciiTheme="majorHAnsi" w:hAnsiTheme="majorHAnsi"/>
          <w:sz w:val="18"/>
          <w:szCs w:val="18"/>
          <w:lang w:val="en-GB"/>
        </w:rPr>
        <w:t xml:space="preserve"> Formula of the general grant allocation is defined in the Law on Local Government Finance (Law no. 03 / L-049)</w:t>
      </w:r>
    </w:p>
  </w:footnote>
  <w:footnote w:id="3">
    <w:p w14:paraId="0A962EAD" w14:textId="4CF01F15" w:rsidR="00311CD5" w:rsidRPr="000C3EC3" w:rsidRDefault="00311CD5">
      <w:pPr>
        <w:pStyle w:val="FootnoteText"/>
        <w:rPr>
          <w:rFonts w:asciiTheme="majorHAnsi" w:hAnsiTheme="majorHAnsi"/>
          <w:sz w:val="18"/>
          <w:szCs w:val="18"/>
          <w:lang w:val="en-GB"/>
        </w:rPr>
      </w:pPr>
      <w:r>
        <w:rPr>
          <w:rStyle w:val="FootnoteReference"/>
        </w:rPr>
        <w:footnoteRef/>
      </w:r>
      <w:r>
        <w:t xml:space="preserve"> </w:t>
      </w:r>
      <w:r w:rsidRPr="000C3EC3">
        <w:rPr>
          <w:rFonts w:asciiTheme="majorHAnsi" w:hAnsiTheme="majorHAnsi"/>
          <w:sz w:val="18"/>
          <w:szCs w:val="18"/>
          <w:lang w:val="en-GB"/>
        </w:rPr>
        <w:t xml:space="preserve">The deadline for reporting of performance data by the municipality is 45 calendar days, from </w:t>
      </w:r>
      <w:r w:rsidR="004C31E9" w:rsidRPr="000C3EC3">
        <w:rPr>
          <w:rFonts w:asciiTheme="majorHAnsi" w:hAnsiTheme="majorHAnsi"/>
          <w:sz w:val="18"/>
          <w:szCs w:val="18"/>
          <w:lang w:val="en-GB"/>
        </w:rPr>
        <w:t xml:space="preserve">the moment of receipt of the request for reporting by the ministry. </w:t>
      </w:r>
    </w:p>
  </w:footnote>
  <w:footnote w:id="4">
    <w:p w14:paraId="3A1A34C5" w14:textId="206870C8" w:rsidR="00CB1E79" w:rsidRPr="0063777D" w:rsidRDefault="00CB1E79" w:rsidP="00603525">
      <w:pPr>
        <w:pStyle w:val="FootnoteText"/>
        <w:rPr>
          <w:rFonts w:asciiTheme="majorHAnsi" w:hAnsiTheme="majorHAnsi"/>
          <w:sz w:val="18"/>
          <w:szCs w:val="18"/>
          <w:lang w:val="en-GB"/>
        </w:rPr>
      </w:pPr>
      <w:r w:rsidRPr="0063777D">
        <w:rPr>
          <w:rStyle w:val="FootnoteReference"/>
          <w:rFonts w:asciiTheme="majorHAnsi" w:hAnsiTheme="majorHAnsi"/>
          <w:sz w:val="18"/>
          <w:szCs w:val="18"/>
          <w:lang w:val="en-GB"/>
        </w:rPr>
        <w:footnoteRef/>
      </w:r>
      <w:r w:rsidRPr="0063777D">
        <w:rPr>
          <w:rFonts w:asciiTheme="majorHAnsi" w:hAnsiTheme="majorHAnsi"/>
          <w:sz w:val="18"/>
          <w:szCs w:val="18"/>
          <w:lang w:val="en-GB"/>
        </w:rPr>
        <w:t xml:space="preserve"> Review for the purposes of the M</w:t>
      </w:r>
      <w:r>
        <w:rPr>
          <w:rFonts w:asciiTheme="majorHAnsi" w:hAnsiTheme="majorHAnsi"/>
          <w:sz w:val="18"/>
          <w:szCs w:val="18"/>
          <w:lang w:val="en-GB"/>
        </w:rPr>
        <w:t>P</w:t>
      </w:r>
      <w:r w:rsidRPr="0063777D">
        <w:rPr>
          <w:rFonts w:asciiTheme="majorHAnsi" w:hAnsiTheme="majorHAnsi"/>
          <w:sz w:val="18"/>
          <w:szCs w:val="18"/>
          <w:lang w:val="en-GB"/>
        </w:rPr>
        <w:t xml:space="preserve">G is a procedural criterion, which implies the obligation of the municipality to review in the Municipal Assembly acts deemed illegal in </w:t>
      </w:r>
      <w:r w:rsidR="00C2637B" w:rsidRPr="0063777D">
        <w:rPr>
          <w:rFonts w:asciiTheme="majorHAnsi" w:hAnsiTheme="majorHAnsi"/>
          <w:sz w:val="18"/>
          <w:szCs w:val="18"/>
          <w:lang w:val="en-GB"/>
        </w:rPr>
        <w:t>20</w:t>
      </w:r>
      <w:r w:rsidR="00C2637B">
        <w:rPr>
          <w:rFonts w:asciiTheme="majorHAnsi" w:hAnsiTheme="majorHAnsi"/>
          <w:sz w:val="18"/>
          <w:szCs w:val="18"/>
          <w:lang w:val="en-GB"/>
        </w:rPr>
        <w:t>21</w:t>
      </w:r>
      <w:r w:rsidR="00C2637B" w:rsidRPr="0063777D">
        <w:rPr>
          <w:rFonts w:asciiTheme="majorHAnsi" w:hAnsiTheme="majorHAnsi"/>
          <w:sz w:val="18"/>
          <w:szCs w:val="18"/>
          <w:lang w:val="en-GB"/>
        </w:rPr>
        <w:t xml:space="preserve"> </w:t>
      </w:r>
      <w:r w:rsidRPr="0063777D">
        <w:rPr>
          <w:rFonts w:asciiTheme="majorHAnsi" w:hAnsiTheme="majorHAnsi"/>
          <w:sz w:val="18"/>
          <w:szCs w:val="18"/>
          <w:lang w:val="en-GB"/>
        </w:rPr>
        <w:t>by the supervisory authority, without presupposing the final content of the reviewed act.</w:t>
      </w:r>
    </w:p>
  </w:footnote>
  <w:footnote w:id="5">
    <w:p w14:paraId="1A67444F" w14:textId="77777777" w:rsidR="00CB1E79" w:rsidRPr="0063777D" w:rsidRDefault="00CB1E79" w:rsidP="00603525">
      <w:pPr>
        <w:pStyle w:val="FootnoteText"/>
        <w:rPr>
          <w:rFonts w:asciiTheme="majorHAnsi" w:hAnsiTheme="majorHAnsi"/>
          <w:sz w:val="18"/>
          <w:szCs w:val="18"/>
          <w:lang w:val="en-GB"/>
        </w:rPr>
      </w:pPr>
      <w:r w:rsidRPr="0063777D">
        <w:rPr>
          <w:rStyle w:val="FootnoteReference"/>
          <w:rFonts w:asciiTheme="majorHAnsi" w:hAnsiTheme="majorHAnsi"/>
          <w:sz w:val="18"/>
          <w:szCs w:val="18"/>
          <w:lang w:val="en-GB"/>
        </w:rPr>
        <w:footnoteRef/>
      </w:r>
      <w:r w:rsidRPr="0063777D">
        <w:rPr>
          <w:rFonts w:asciiTheme="majorHAnsi" w:hAnsiTheme="majorHAnsi"/>
          <w:sz w:val="18"/>
          <w:szCs w:val="18"/>
          <w:lang w:val="en-GB"/>
        </w:rPr>
        <w:t xml:space="preserve"> Supervisory authority means the MLG</w:t>
      </w:r>
      <w:r>
        <w:rPr>
          <w:rFonts w:asciiTheme="majorHAnsi" w:hAnsiTheme="majorHAnsi"/>
          <w:sz w:val="18"/>
          <w:szCs w:val="18"/>
          <w:lang w:val="en-GB"/>
        </w:rPr>
        <w:t>A</w:t>
      </w:r>
      <w:r w:rsidRPr="0063777D">
        <w:rPr>
          <w:rFonts w:asciiTheme="majorHAnsi" w:hAnsiTheme="majorHAnsi"/>
          <w:sz w:val="18"/>
          <w:szCs w:val="18"/>
          <w:lang w:val="en-GB"/>
        </w:rPr>
        <w:t xml:space="preserve"> and line ministries</w:t>
      </w:r>
    </w:p>
  </w:footnote>
  <w:footnote w:id="6">
    <w:p w14:paraId="2361762A" w14:textId="76CAA348" w:rsidR="005E0672" w:rsidRPr="000C3EC3" w:rsidRDefault="005E0672">
      <w:pPr>
        <w:pStyle w:val="FootnoteText"/>
        <w:rPr>
          <w:lang w:val="en-US"/>
        </w:rPr>
      </w:pPr>
      <w:r>
        <w:rPr>
          <w:rStyle w:val="FootnoteReference"/>
        </w:rPr>
        <w:footnoteRef/>
      </w:r>
      <w:r>
        <w:t xml:space="preserve"> </w:t>
      </w:r>
      <w:r w:rsidR="009A4059" w:rsidRPr="00C06C3E">
        <w:rPr>
          <w:rFonts w:asciiTheme="majorHAnsi" w:hAnsiTheme="majorHAnsi"/>
          <w:sz w:val="18"/>
          <w:szCs w:val="18"/>
          <w:lang w:val="en-GB"/>
        </w:rPr>
        <w:t>A more detailed explanation of the topics, indicators and colours can be found in the text and in annex 2.</w:t>
      </w:r>
    </w:p>
  </w:footnote>
  <w:footnote w:id="7">
    <w:p w14:paraId="4512B0DF" w14:textId="61A13F1E" w:rsidR="00AB21AF" w:rsidRPr="00EF13F3" w:rsidRDefault="00AB21AF">
      <w:pPr>
        <w:pStyle w:val="FootnoteText"/>
        <w:rPr>
          <w:lang w:val="en-US"/>
        </w:rPr>
      </w:pPr>
      <w:r>
        <w:rPr>
          <w:rStyle w:val="FootnoteReference"/>
        </w:rPr>
        <w:footnoteRef/>
      </w:r>
      <w:r>
        <w:t xml:space="preserve"> </w:t>
      </w:r>
      <w:r w:rsidRPr="00EF13F3">
        <w:rPr>
          <w:rFonts w:asciiTheme="majorHAnsi" w:hAnsiTheme="majorHAnsi"/>
          <w:sz w:val="18"/>
          <w:szCs w:val="18"/>
          <w:lang w:val="en-GB"/>
        </w:rPr>
        <w:t>This indicator is frozen because the MPMS report</w:t>
      </w:r>
      <w:r w:rsidR="00742794">
        <w:rPr>
          <w:rFonts w:asciiTheme="majorHAnsi" w:hAnsiTheme="majorHAnsi"/>
          <w:sz w:val="18"/>
          <w:szCs w:val="18"/>
          <w:lang w:val="en-GB"/>
        </w:rPr>
        <w:t xml:space="preserve"> for 2020 performance</w:t>
      </w:r>
      <w:r w:rsidRPr="00EF13F3">
        <w:rPr>
          <w:rFonts w:asciiTheme="majorHAnsi" w:hAnsiTheme="majorHAnsi"/>
          <w:sz w:val="18"/>
          <w:szCs w:val="18"/>
          <w:lang w:val="en-GB"/>
        </w:rPr>
        <w:t xml:space="preserve"> was published by MLGA after the deadline for discussion of the municipal performance report by the MA</w:t>
      </w:r>
    </w:p>
  </w:footnote>
  <w:footnote w:id="8">
    <w:p w14:paraId="4C1DECD2" w14:textId="13E9EA93" w:rsidR="000E7915" w:rsidRPr="000C3EC3" w:rsidRDefault="000E7915">
      <w:pPr>
        <w:pStyle w:val="FootnoteText"/>
        <w:rPr>
          <w:lang w:val="en-US"/>
        </w:rPr>
      </w:pPr>
      <w:r>
        <w:rPr>
          <w:rStyle w:val="FootnoteReference"/>
        </w:rPr>
        <w:footnoteRef/>
      </w:r>
      <w:r>
        <w:t xml:space="preserve"> </w:t>
      </w:r>
      <w:r w:rsidRPr="00C06C3E">
        <w:rPr>
          <w:rFonts w:asciiTheme="majorHAnsi" w:hAnsiTheme="majorHAnsi" w:cstheme="majorHAnsi"/>
          <w:sz w:val="18"/>
          <w:szCs w:val="18"/>
          <w:lang w:val="en-GB"/>
        </w:rPr>
        <w:t>This indicator is frozen due to the amendment of the law on public officials and the lack of secondary legislation regarding the civil service recruitment procedures.</w:t>
      </w:r>
    </w:p>
  </w:footnote>
  <w:footnote w:id="9">
    <w:p w14:paraId="48DE4206" w14:textId="61BB7F59" w:rsidR="000E7915" w:rsidRPr="000C3EC3" w:rsidRDefault="000E7915">
      <w:pPr>
        <w:pStyle w:val="FootnoteText"/>
        <w:rPr>
          <w:lang w:val="en-US"/>
        </w:rPr>
      </w:pPr>
      <w:r>
        <w:rPr>
          <w:rStyle w:val="FootnoteReference"/>
        </w:rPr>
        <w:footnoteRef/>
      </w:r>
      <w:r>
        <w:t xml:space="preserve"> </w:t>
      </w:r>
      <w:r w:rsidRPr="00C06C3E">
        <w:rPr>
          <w:rFonts w:asciiTheme="majorHAnsi" w:hAnsiTheme="majorHAnsi" w:cstheme="majorHAnsi"/>
          <w:sz w:val="18"/>
          <w:szCs w:val="18"/>
          <w:lang w:val="en-GB"/>
        </w:rPr>
        <w:t xml:space="preserve">This indicator is frozen in this </w:t>
      </w:r>
      <w:r w:rsidR="00AB21AF">
        <w:rPr>
          <w:rFonts w:asciiTheme="majorHAnsi" w:hAnsiTheme="majorHAnsi" w:cstheme="majorHAnsi"/>
          <w:sz w:val="18"/>
          <w:szCs w:val="18"/>
          <w:lang w:val="en-GB"/>
        </w:rPr>
        <w:t>assessment</w:t>
      </w:r>
      <w:r w:rsidR="00AB21AF" w:rsidRPr="00C06C3E">
        <w:rPr>
          <w:rFonts w:asciiTheme="majorHAnsi" w:hAnsiTheme="majorHAnsi" w:cstheme="majorHAnsi"/>
          <w:sz w:val="18"/>
          <w:szCs w:val="18"/>
          <w:lang w:val="en-GB"/>
        </w:rPr>
        <w:t xml:space="preserve"> </w:t>
      </w:r>
      <w:r w:rsidRPr="00C06C3E">
        <w:rPr>
          <w:rFonts w:asciiTheme="majorHAnsi" w:hAnsiTheme="majorHAnsi" w:cstheme="majorHAnsi"/>
          <w:sz w:val="18"/>
          <w:szCs w:val="18"/>
          <w:lang w:val="en-GB"/>
        </w:rPr>
        <w:t xml:space="preserve">cycle due to lack of data in </w:t>
      </w:r>
      <w:r>
        <w:rPr>
          <w:rFonts w:asciiTheme="majorHAnsi" w:hAnsiTheme="majorHAnsi" w:cstheme="majorHAnsi"/>
          <w:sz w:val="18"/>
          <w:szCs w:val="18"/>
          <w:lang w:val="en-GB"/>
        </w:rPr>
        <w:t>MPMS</w:t>
      </w:r>
      <w:r w:rsidRPr="00C06C3E">
        <w:rPr>
          <w:rFonts w:asciiTheme="majorHAnsi" w:hAnsiTheme="majorHAnsi" w:cstheme="majorHAnsi"/>
          <w:sz w:val="18"/>
          <w:szCs w:val="18"/>
          <w:lang w:val="en-GB"/>
        </w:rPr>
        <w:t>.</w:t>
      </w:r>
    </w:p>
  </w:footnote>
  <w:footnote w:id="10">
    <w:p w14:paraId="7E97771F" w14:textId="7DF2FE46" w:rsidR="00D3558A" w:rsidRPr="00EF13F3" w:rsidRDefault="00D3558A">
      <w:pPr>
        <w:pStyle w:val="FootnoteText"/>
        <w:rPr>
          <w:sz w:val="16"/>
          <w:szCs w:val="16"/>
          <w:lang w:val="en-US"/>
        </w:rPr>
      </w:pPr>
      <w:r w:rsidRPr="00EF13F3">
        <w:rPr>
          <w:rStyle w:val="FootnoteReference"/>
          <w:sz w:val="16"/>
          <w:szCs w:val="16"/>
        </w:rPr>
        <w:footnoteRef/>
      </w:r>
      <w:r w:rsidRPr="00EF13F3">
        <w:rPr>
          <w:sz w:val="16"/>
          <w:szCs w:val="16"/>
        </w:rPr>
        <w:t xml:space="preserve"> </w:t>
      </w:r>
      <w:r w:rsidRPr="00EF13F3">
        <w:rPr>
          <w:sz w:val="16"/>
          <w:szCs w:val="16"/>
          <w:lang w:val="en-US"/>
        </w:rPr>
        <w:t>The donor share of MPG funds can be used during 2023 and 2024.</w:t>
      </w:r>
    </w:p>
  </w:footnote>
  <w:footnote w:id="11">
    <w:p w14:paraId="50AE1F68" w14:textId="77777777" w:rsidR="00CB1E79" w:rsidRPr="00C06C3E" w:rsidRDefault="00CB1E79" w:rsidP="00214972">
      <w:pPr>
        <w:pStyle w:val="FootnoteText"/>
        <w:jc w:val="both"/>
        <w:rPr>
          <w:rFonts w:asciiTheme="majorHAnsi" w:hAnsiTheme="majorHAnsi"/>
          <w:sz w:val="17"/>
          <w:szCs w:val="17"/>
          <w:lang w:val="en-GB"/>
        </w:rPr>
      </w:pPr>
      <w:r w:rsidRPr="00C06C3E">
        <w:rPr>
          <w:rStyle w:val="FootnoteReference"/>
          <w:rFonts w:asciiTheme="majorHAnsi" w:hAnsiTheme="majorHAnsi"/>
          <w:sz w:val="17"/>
          <w:szCs w:val="17"/>
          <w:lang w:val="en-GB"/>
        </w:rPr>
        <w:footnoteRef/>
      </w:r>
      <w:r w:rsidRPr="00C06C3E">
        <w:rPr>
          <w:rFonts w:asciiTheme="majorHAnsi" w:hAnsiTheme="majorHAnsi"/>
          <w:sz w:val="17"/>
          <w:szCs w:val="17"/>
          <w:lang w:val="en-GB"/>
        </w:rPr>
        <w:t xml:space="preserve"> NAO provides several types of opinions:</w:t>
      </w:r>
    </w:p>
    <w:p w14:paraId="42F7A7C1" w14:textId="77777777" w:rsidR="00CB1E79" w:rsidRPr="00C06C3E" w:rsidRDefault="00CB1E79" w:rsidP="00214972">
      <w:pPr>
        <w:pStyle w:val="FootnoteText"/>
        <w:widowControl w:val="0"/>
        <w:jc w:val="both"/>
        <w:rPr>
          <w:rFonts w:asciiTheme="majorHAnsi" w:hAnsiTheme="majorHAnsi"/>
          <w:sz w:val="17"/>
          <w:szCs w:val="17"/>
          <w:u w:val="single"/>
          <w:lang w:val="en-GB"/>
        </w:rPr>
      </w:pPr>
      <w:r w:rsidRPr="00C06C3E">
        <w:rPr>
          <w:rFonts w:asciiTheme="majorHAnsi" w:hAnsiTheme="majorHAnsi"/>
          <w:sz w:val="17"/>
          <w:szCs w:val="17"/>
          <w:u w:val="single"/>
          <w:lang w:val="en-GB"/>
        </w:rPr>
        <w:t>Unmodified opinion:</w:t>
      </w:r>
    </w:p>
    <w:p w14:paraId="31EB8230" w14:textId="77777777" w:rsidR="00CB1E79" w:rsidRPr="00C06C3E" w:rsidRDefault="00CB1E79" w:rsidP="00214972">
      <w:pPr>
        <w:pStyle w:val="FootnoteText"/>
        <w:widowControl w:val="0"/>
        <w:jc w:val="both"/>
        <w:rPr>
          <w:rFonts w:asciiTheme="majorHAnsi" w:hAnsiTheme="majorHAnsi"/>
          <w:sz w:val="17"/>
          <w:szCs w:val="17"/>
          <w:lang w:val="en-GB"/>
        </w:rPr>
      </w:pPr>
      <w:r w:rsidRPr="00C06C3E">
        <w:rPr>
          <w:rFonts w:asciiTheme="majorHAnsi" w:hAnsiTheme="majorHAnsi"/>
          <w:sz w:val="17"/>
          <w:szCs w:val="17"/>
          <w:lang w:val="en-GB"/>
        </w:rPr>
        <w:t>• If it is concluded that the financial statements are prepared, in all material aspects, in accordance with the applicable financial framework</w:t>
      </w:r>
    </w:p>
    <w:p w14:paraId="32EE3492" w14:textId="77777777" w:rsidR="00CB1E79" w:rsidRPr="00C06C3E" w:rsidRDefault="00CB1E79" w:rsidP="00214972">
      <w:pPr>
        <w:pStyle w:val="FootnoteText"/>
        <w:widowControl w:val="0"/>
        <w:jc w:val="both"/>
        <w:rPr>
          <w:rFonts w:asciiTheme="majorHAnsi" w:hAnsiTheme="majorHAnsi"/>
          <w:sz w:val="17"/>
          <w:szCs w:val="17"/>
          <w:u w:val="single"/>
          <w:lang w:val="en-GB"/>
        </w:rPr>
      </w:pPr>
      <w:r w:rsidRPr="00C06C3E">
        <w:rPr>
          <w:rFonts w:asciiTheme="majorHAnsi" w:hAnsiTheme="majorHAnsi"/>
          <w:sz w:val="17"/>
          <w:szCs w:val="17"/>
          <w:u w:val="single"/>
          <w:lang w:val="en-GB"/>
        </w:rPr>
        <w:t xml:space="preserve">Qualified opinion: </w:t>
      </w:r>
    </w:p>
    <w:p w14:paraId="7763834D" w14:textId="77777777" w:rsidR="00CB1E79" w:rsidRPr="00C06C3E" w:rsidRDefault="00CB1E79" w:rsidP="00214972">
      <w:pPr>
        <w:pStyle w:val="FootnoteText"/>
        <w:widowControl w:val="0"/>
        <w:numPr>
          <w:ilvl w:val="0"/>
          <w:numId w:val="10"/>
        </w:numPr>
        <w:ind w:left="180" w:hanging="180"/>
        <w:jc w:val="both"/>
        <w:rPr>
          <w:rFonts w:asciiTheme="majorHAnsi" w:hAnsiTheme="majorHAnsi"/>
          <w:sz w:val="17"/>
          <w:szCs w:val="17"/>
          <w:lang w:val="en-GB"/>
        </w:rPr>
      </w:pPr>
      <w:r w:rsidRPr="00C06C3E">
        <w:rPr>
          <w:rFonts w:asciiTheme="majorHAnsi" w:hAnsiTheme="majorHAnsi"/>
          <w:sz w:val="17"/>
          <w:szCs w:val="17"/>
          <w:lang w:val="en-GB"/>
        </w:rPr>
        <w:t xml:space="preserve">If having obtained sufficient appropriate audit evidence, the auditor concludes that misstatements, individually or in the aggregate, are material, but not pervasive, to the financial statements; or </w:t>
      </w:r>
    </w:p>
    <w:p w14:paraId="3FB11F01" w14:textId="77777777" w:rsidR="00CB1E79" w:rsidRPr="00C06C3E" w:rsidRDefault="00CB1E79" w:rsidP="00214972">
      <w:pPr>
        <w:pStyle w:val="FootnoteText"/>
        <w:widowControl w:val="0"/>
        <w:numPr>
          <w:ilvl w:val="0"/>
          <w:numId w:val="10"/>
        </w:numPr>
        <w:ind w:left="180" w:hanging="180"/>
        <w:jc w:val="both"/>
        <w:rPr>
          <w:rFonts w:asciiTheme="majorHAnsi" w:hAnsiTheme="majorHAnsi"/>
          <w:sz w:val="17"/>
          <w:szCs w:val="17"/>
          <w:lang w:val="en-GB"/>
        </w:rPr>
      </w:pPr>
      <w:r w:rsidRPr="00C06C3E">
        <w:rPr>
          <w:rFonts w:asciiTheme="majorHAnsi" w:hAnsiTheme="majorHAnsi"/>
          <w:sz w:val="17"/>
          <w:szCs w:val="17"/>
          <w:lang w:val="en-GB"/>
        </w:rPr>
        <w:t>If the auditor was unable to obtain sufficient appropriate audit evidence on which to base an opinion, but concludes that the effects on the financial statements of any undetected misstatements could be material but not pervasive</w:t>
      </w:r>
    </w:p>
    <w:p w14:paraId="08FF30EC" w14:textId="77777777" w:rsidR="00CB1E79" w:rsidRPr="00C06C3E" w:rsidRDefault="00CB1E79" w:rsidP="00214972">
      <w:pPr>
        <w:pStyle w:val="FootnoteText"/>
        <w:widowControl w:val="0"/>
        <w:jc w:val="both"/>
        <w:rPr>
          <w:rFonts w:asciiTheme="majorHAnsi" w:hAnsiTheme="majorHAnsi"/>
          <w:sz w:val="17"/>
          <w:szCs w:val="17"/>
          <w:u w:val="single"/>
          <w:lang w:val="en-GB"/>
        </w:rPr>
      </w:pPr>
      <w:r w:rsidRPr="00C06C3E">
        <w:rPr>
          <w:rFonts w:asciiTheme="majorHAnsi" w:hAnsiTheme="majorHAnsi"/>
          <w:sz w:val="17"/>
          <w:szCs w:val="17"/>
          <w:u w:val="single"/>
          <w:lang w:val="en-GB"/>
        </w:rPr>
        <w:t>Adverse opinion:</w:t>
      </w:r>
    </w:p>
    <w:p w14:paraId="4104931E" w14:textId="77777777" w:rsidR="00CB1E79" w:rsidRPr="00C06C3E" w:rsidRDefault="00CB1E79" w:rsidP="00214972">
      <w:pPr>
        <w:pStyle w:val="FootnoteText"/>
        <w:widowControl w:val="0"/>
        <w:numPr>
          <w:ilvl w:val="0"/>
          <w:numId w:val="11"/>
        </w:numPr>
        <w:ind w:left="180" w:hanging="180"/>
        <w:jc w:val="both"/>
        <w:rPr>
          <w:rFonts w:asciiTheme="majorHAnsi" w:hAnsiTheme="majorHAnsi"/>
          <w:sz w:val="17"/>
          <w:szCs w:val="17"/>
          <w:u w:val="single"/>
          <w:lang w:val="en-GB"/>
        </w:rPr>
      </w:pPr>
      <w:r w:rsidRPr="00C06C3E">
        <w:rPr>
          <w:rFonts w:asciiTheme="majorHAnsi" w:hAnsiTheme="majorHAnsi"/>
          <w:sz w:val="17"/>
          <w:szCs w:val="17"/>
          <w:lang w:val="en-GB"/>
        </w:rPr>
        <w:t>If having obtained sufficient appropriate audit evidence, the auditor concludes that misstatements, individually or in the aggregate, are both material and pervasive to the financial statements</w:t>
      </w:r>
      <w:r w:rsidRPr="00C06C3E">
        <w:rPr>
          <w:rFonts w:asciiTheme="majorHAnsi" w:hAnsiTheme="majorHAnsi"/>
          <w:sz w:val="17"/>
          <w:szCs w:val="17"/>
          <w:u w:val="single"/>
          <w:lang w:val="en-GB"/>
        </w:rPr>
        <w:t xml:space="preserve"> </w:t>
      </w:r>
    </w:p>
    <w:p w14:paraId="678CC761" w14:textId="77777777" w:rsidR="00CB1E79" w:rsidRPr="00C06C3E" w:rsidRDefault="00CB1E79" w:rsidP="00214972">
      <w:pPr>
        <w:pStyle w:val="FootnoteText"/>
        <w:widowControl w:val="0"/>
        <w:jc w:val="both"/>
        <w:rPr>
          <w:rFonts w:asciiTheme="majorHAnsi" w:hAnsiTheme="majorHAnsi"/>
          <w:sz w:val="17"/>
          <w:szCs w:val="17"/>
          <w:u w:val="single"/>
          <w:lang w:val="en-GB"/>
        </w:rPr>
      </w:pPr>
      <w:r w:rsidRPr="00C06C3E">
        <w:rPr>
          <w:rFonts w:asciiTheme="majorHAnsi" w:hAnsiTheme="majorHAnsi"/>
          <w:sz w:val="17"/>
          <w:szCs w:val="17"/>
          <w:u w:val="single"/>
          <w:lang w:val="en-GB"/>
        </w:rPr>
        <w:t>Disclaim an opinion:</w:t>
      </w:r>
    </w:p>
    <w:p w14:paraId="1EC9BA25" w14:textId="77777777" w:rsidR="00CB1E79" w:rsidRPr="00C06C3E" w:rsidRDefault="00CB1E79" w:rsidP="00214972">
      <w:pPr>
        <w:pStyle w:val="FootnoteText"/>
        <w:widowControl w:val="0"/>
        <w:numPr>
          <w:ilvl w:val="0"/>
          <w:numId w:val="11"/>
        </w:numPr>
        <w:ind w:left="180" w:hanging="180"/>
        <w:jc w:val="both"/>
        <w:rPr>
          <w:rFonts w:asciiTheme="majorHAnsi" w:hAnsiTheme="majorHAnsi"/>
          <w:sz w:val="17"/>
          <w:szCs w:val="17"/>
          <w:lang w:val="en-GB"/>
        </w:rPr>
      </w:pPr>
      <w:r w:rsidRPr="00C06C3E">
        <w:rPr>
          <w:rFonts w:asciiTheme="majorHAnsi" w:hAnsiTheme="majorHAnsi"/>
          <w:sz w:val="17"/>
          <w:szCs w:val="17"/>
          <w:lang w:val="en-GB"/>
        </w:rPr>
        <w:t>If having been unable to obtain sufficient appropriate audit evidence on which to base the opinion, the auditor concludes that the effects on the financial statements of any undetected misstatements could be both material and pervasive. If, after accepting the engagement, the auditor becomes aware that management has imposed a limitation on the audit scope that the auditor considers likely to result in the need to express a qualified opinion or to disclaim an opinion on the financial statements, the auditor should request that management remove the limitation.</w:t>
      </w:r>
    </w:p>
    <w:p w14:paraId="3BF6D21E" w14:textId="77777777" w:rsidR="00CB1E79" w:rsidRPr="00C06C3E" w:rsidRDefault="00CB1E79" w:rsidP="00214972">
      <w:pPr>
        <w:pStyle w:val="FootnoteText"/>
        <w:widowControl w:val="0"/>
        <w:jc w:val="both"/>
        <w:rPr>
          <w:rFonts w:asciiTheme="majorHAnsi" w:hAnsiTheme="majorHAnsi"/>
          <w:sz w:val="17"/>
          <w:szCs w:val="17"/>
          <w:u w:val="single"/>
          <w:lang w:val="en-GB"/>
        </w:rPr>
      </w:pPr>
      <w:r w:rsidRPr="00C06C3E">
        <w:rPr>
          <w:rFonts w:asciiTheme="majorHAnsi" w:hAnsiTheme="majorHAnsi"/>
          <w:sz w:val="17"/>
          <w:szCs w:val="17"/>
          <w:u w:val="single"/>
          <w:lang w:val="en-GB"/>
        </w:rPr>
        <w:t>Emphasis of the matter:</w:t>
      </w:r>
    </w:p>
    <w:p w14:paraId="06E796FA" w14:textId="77777777" w:rsidR="00CB1E79" w:rsidRPr="00C06C3E" w:rsidRDefault="00CB1E79" w:rsidP="00214972">
      <w:pPr>
        <w:pStyle w:val="FootnoteText"/>
        <w:widowControl w:val="0"/>
        <w:numPr>
          <w:ilvl w:val="0"/>
          <w:numId w:val="11"/>
        </w:numPr>
        <w:ind w:left="180" w:hanging="180"/>
        <w:jc w:val="both"/>
        <w:rPr>
          <w:rFonts w:asciiTheme="majorHAnsi" w:hAnsiTheme="majorHAnsi"/>
          <w:sz w:val="17"/>
          <w:szCs w:val="17"/>
          <w:lang w:val="en-GB"/>
        </w:rPr>
      </w:pPr>
      <w:r w:rsidRPr="00C06C3E">
        <w:rPr>
          <w:rFonts w:asciiTheme="majorHAnsi" w:hAnsiTheme="majorHAnsi"/>
          <w:sz w:val="17"/>
          <w:szCs w:val="17"/>
          <w:lang w:val="en-GB"/>
        </w:rPr>
        <w:t>If the auditor considers it necessary to draw the user’s attention to a matter presented or disclosed in the financial statements that is of such importance that it is fundamental to their understanding of the financial statements, but there is sufficient appropriate evidence that the matter is not materially misstated in the financial statements, the auditor should include an Emphasis of Matter paragraph in the auditor’s report. Emphasis of Matter paragraphs should only refer to information presented or disclosed in the financial statements.</w:t>
      </w:r>
    </w:p>
  </w:footnote>
  <w:footnote w:id="12">
    <w:p w14:paraId="0A39FEEC" w14:textId="3D1C4BCE" w:rsidR="00DD3393" w:rsidRPr="000C3EC3" w:rsidRDefault="00DD3393">
      <w:pPr>
        <w:pStyle w:val="FootnoteText"/>
        <w:rPr>
          <w:lang w:val="en-US"/>
        </w:rPr>
      </w:pPr>
      <w:r>
        <w:rPr>
          <w:rStyle w:val="FootnoteReference"/>
        </w:rPr>
        <w:footnoteRef/>
      </w:r>
      <w:r>
        <w:t xml:space="preserve"> </w:t>
      </w:r>
      <w:r w:rsidRPr="00C06C3E">
        <w:rPr>
          <w:rFonts w:asciiTheme="majorHAnsi" w:hAnsiTheme="majorHAnsi"/>
          <w:sz w:val="18"/>
          <w:szCs w:val="18"/>
          <w:lang w:val="en-GB"/>
        </w:rPr>
        <w:t xml:space="preserve">As can be seen, given the assumptions, </w:t>
      </w:r>
      <w:r w:rsidRPr="00C06C3E">
        <w:rPr>
          <w:rFonts w:asciiTheme="majorHAnsi" w:hAnsiTheme="majorHAnsi"/>
          <w:color w:val="000000" w:themeColor="text1"/>
          <w:sz w:val="18"/>
          <w:szCs w:val="18"/>
          <w:lang w:val="en-GB"/>
        </w:rPr>
        <w:t xml:space="preserve">the calculations show an equal relative increase of the general grant for all municipalities as all have the </w:t>
      </w:r>
      <w:r w:rsidRPr="0071124B">
        <w:rPr>
          <w:rFonts w:asciiTheme="majorHAnsi" w:hAnsiTheme="majorHAnsi"/>
          <w:color w:val="000000" w:themeColor="text1"/>
          <w:sz w:val="18"/>
          <w:szCs w:val="18"/>
          <w:lang w:val="en-GB"/>
        </w:rPr>
        <w:t>same score. 3.</w:t>
      </w:r>
      <w:r w:rsidR="0071124B" w:rsidRPr="0071124B">
        <w:rPr>
          <w:rFonts w:asciiTheme="majorHAnsi" w:hAnsiTheme="majorHAnsi"/>
          <w:color w:val="000000" w:themeColor="text1"/>
          <w:sz w:val="18"/>
          <w:szCs w:val="18"/>
          <w:lang w:val="en-GB"/>
        </w:rPr>
        <w:t>05</w:t>
      </w:r>
      <w:r w:rsidRPr="0071124B">
        <w:rPr>
          <w:rFonts w:asciiTheme="majorHAnsi" w:hAnsiTheme="majorHAnsi"/>
          <w:color w:val="000000" w:themeColor="text1"/>
          <w:sz w:val="18"/>
          <w:szCs w:val="18"/>
          <w:lang w:val="en-GB"/>
        </w:rPr>
        <w:t>% is precisely the performance grant amount as share of the general grant (7,</w:t>
      </w:r>
      <w:r w:rsidR="0071124B" w:rsidRPr="0071124B">
        <w:rPr>
          <w:rFonts w:asciiTheme="majorHAnsi" w:hAnsiTheme="majorHAnsi"/>
          <w:color w:val="000000" w:themeColor="text1"/>
          <w:sz w:val="18"/>
          <w:szCs w:val="18"/>
          <w:lang w:val="en-GB"/>
        </w:rPr>
        <w:t>77</w:t>
      </w:r>
      <w:r w:rsidRPr="0071124B">
        <w:rPr>
          <w:rFonts w:asciiTheme="majorHAnsi" w:hAnsiTheme="majorHAnsi"/>
          <w:color w:val="000000" w:themeColor="text1"/>
          <w:sz w:val="18"/>
          <w:szCs w:val="18"/>
          <w:lang w:val="en-GB"/>
        </w:rPr>
        <w:t>1,500/2</w:t>
      </w:r>
      <w:r w:rsidR="00EC2593" w:rsidRPr="0071124B">
        <w:rPr>
          <w:rFonts w:asciiTheme="majorHAnsi" w:hAnsiTheme="majorHAnsi"/>
          <w:color w:val="000000" w:themeColor="text1"/>
          <w:sz w:val="18"/>
          <w:szCs w:val="18"/>
          <w:lang w:val="en-GB"/>
        </w:rPr>
        <w:t>55</w:t>
      </w:r>
      <w:r w:rsidRPr="0071124B">
        <w:rPr>
          <w:rFonts w:asciiTheme="majorHAnsi" w:hAnsiTheme="majorHAnsi"/>
          <w:color w:val="000000" w:themeColor="text1"/>
          <w:sz w:val="18"/>
          <w:szCs w:val="18"/>
          <w:lang w:val="en-GB"/>
        </w:rPr>
        <w:t>,</w:t>
      </w:r>
      <w:r w:rsidR="00EC2593" w:rsidRPr="0071124B">
        <w:rPr>
          <w:rFonts w:asciiTheme="majorHAnsi" w:hAnsiTheme="majorHAnsi"/>
          <w:color w:val="000000" w:themeColor="text1"/>
          <w:sz w:val="18"/>
          <w:szCs w:val="18"/>
          <w:lang w:val="en-GB"/>
        </w:rPr>
        <w:t>210</w:t>
      </w:r>
      <w:r w:rsidRPr="0071124B">
        <w:rPr>
          <w:rFonts w:asciiTheme="majorHAnsi" w:hAnsiTheme="majorHAnsi"/>
          <w:color w:val="000000" w:themeColor="text1"/>
          <w:sz w:val="18"/>
          <w:szCs w:val="18"/>
          <w:lang w:val="en-GB"/>
        </w:rPr>
        <w:t>,</w:t>
      </w:r>
      <w:r w:rsidR="00EC2593" w:rsidRPr="0071124B">
        <w:rPr>
          <w:rFonts w:asciiTheme="majorHAnsi" w:hAnsiTheme="majorHAnsi"/>
          <w:color w:val="000000" w:themeColor="text1"/>
          <w:sz w:val="18"/>
          <w:szCs w:val="18"/>
          <w:lang w:val="en-GB"/>
        </w:rPr>
        <w:t>000</w:t>
      </w:r>
      <w:r w:rsidRPr="0071124B">
        <w:rPr>
          <w:rFonts w:asciiTheme="majorHAnsi" w:hAnsiTheme="majorHAnsi"/>
          <w:color w:val="000000" w:themeColor="text1"/>
          <w:sz w:val="18"/>
          <w:szCs w:val="18"/>
          <w:lang w:val="en-GB"/>
        </w:rPr>
        <w:t>). In fact, because</w:t>
      </w:r>
      <w:r w:rsidRPr="00C06C3E">
        <w:rPr>
          <w:rFonts w:asciiTheme="majorHAnsi" w:hAnsiTheme="majorHAnsi"/>
          <w:color w:val="000000" w:themeColor="text1"/>
          <w:sz w:val="18"/>
          <w:szCs w:val="18"/>
          <w:lang w:val="en-GB"/>
        </w:rPr>
        <w:t xml:space="preserve"> some municipalities will not meet the MCs, while also the scores differ</w:t>
      </w:r>
      <w:r w:rsidRPr="00C06C3E">
        <w:rPr>
          <w:rFonts w:asciiTheme="majorHAnsi" w:hAnsiTheme="majorHAnsi"/>
          <w:sz w:val="18"/>
          <w:szCs w:val="18"/>
          <w:lang w:val="en-GB"/>
        </w:rPr>
        <w:t>, the relative increase will be (much) higher depending on the relative performance. In fact, the actual allocation a municipality gets depends on its relative score and on the Municipalities that have (or notably those that have not met) the minimum conditions.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84BD4" w14:textId="45343F63" w:rsidR="00CB1E79" w:rsidRDefault="00386254" w:rsidP="0059366F">
    <w:pPr>
      <w:jc w:val="center"/>
    </w:pPr>
    <w:r w:rsidRPr="00AF27F0">
      <w:rPr>
        <w:rFonts w:asciiTheme="majorHAnsi" w:hAnsiTheme="majorHAnsi"/>
        <w:b/>
        <w:noProof/>
        <w:sz w:val="16"/>
        <w:szCs w:val="16"/>
        <w:lang w:val="en-US"/>
      </w:rPr>
      <w:drawing>
        <wp:anchor distT="0" distB="0" distL="114300" distR="114300" simplePos="0" relativeHeight="251660288" behindDoc="0" locked="0" layoutInCell="1" allowOverlap="1" wp14:anchorId="155879BA" wp14:editId="7E42984D">
          <wp:simplePos x="0" y="0"/>
          <wp:positionH relativeFrom="page">
            <wp:posOffset>3411855</wp:posOffset>
          </wp:positionH>
          <wp:positionV relativeFrom="paragraph">
            <wp:posOffset>6350</wp:posOffset>
          </wp:positionV>
          <wp:extent cx="895350" cy="859790"/>
          <wp:effectExtent l="0" t="0" r="0" b="0"/>
          <wp:wrapSquare wrapText="bothSides"/>
          <wp:docPr id="24" name="Picture 24" descr="logo Gov Koso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1" name="Picture 2" descr="logo Gov Kosovo.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59790"/>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CB1E79">
      <w:t xml:space="preserve">                                                           </w:t>
    </w:r>
  </w:p>
  <w:p w14:paraId="3081E75F" w14:textId="77777777" w:rsidR="00CB1E79" w:rsidRDefault="00CB1E79" w:rsidP="0059366F">
    <w:pPr>
      <w:jc w:val="center"/>
    </w:pPr>
  </w:p>
  <w:p w14:paraId="0295FBCF" w14:textId="77777777" w:rsidR="00CB1E79" w:rsidRPr="008F1687" w:rsidRDefault="00CB1E79" w:rsidP="0059366F">
    <w:pPr>
      <w:jc w:val="center"/>
      <w:rPr>
        <w:sz w:val="22"/>
        <w:szCs w:val="22"/>
      </w:rPr>
    </w:pPr>
  </w:p>
  <w:p w14:paraId="4EE9F4F0" w14:textId="77777777" w:rsidR="00CB1E79" w:rsidRDefault="00CB1E79" w:rsidP="0059366F">
    <w:pPr>
      <w:jc w:val="center"/>
      <w:rPr>
        <w:b/>
        <w:bCs/>
        <w:sz w:val="32"/>
        <w:szCs w:val="32"/>
      </w:rPr>
    </w:pPr>
  </w:p>
  <w:p w14:paraId="006672A3" w14:textId="77777777" w:rsidR="00CB1E79" w:rsidRDefault="00CB1E79" w:rsidP="0059366F">
    <w:pPr>
      <w:jc w:val="center"/>
      <w:rPr>
        <w:b/>
        <w:bCs/>
        <w:sz w:val="32"/>
        <w:szCs w:val="32"/>
      </w:rPr>
    </w:pPr>
  </w:p>
  <w:p w14:paraId="75487A5A" w14:textId="77777777" w:rsidR="00CB1E79" w:rsidRPr="00A6322C" w:rsidRDefault="00CB1E79" w:rsidP="0059366F">
    <w:pPr>
      <w:jc w:val="center"/>
      <w:rPr>
        <w:b/>
        <w:bCs/>
        <w:sz w:val="32"/>
        <w:szCs w:val="32"/>
      </w:rPr>
    </w:pPr>
    <w:r w:rsidRPr="00A6322C">
      <w:rPr>
        <w:b/>
        <w:bCs/>
        <w:sz w:val="32"/>
        <w:szCs w:val="32"/>
      </w:rPr>
      <w:t>Republika e Kosovës</w:t>
    </w:r>
  </w:p>
  <w:p w14:paraId="788AD62A" w14:textId="77777777" w:rsidR="00CB1E79" w:rsidRPr="00A6322C" w:rsidRDefault="00CB1E79" w:rsidP="0059366F">
    <w:pPr>
      <w:jc w:val="center"/>
      <w:rPr>
        <w:b/>
        <w:bCs/>
        <w:sz w:val="28"/>
        <w:szCs w:val="28"/>
      </w:rPr>
    </w:pPr>
    <w:r w:rsidRPr="00A6322C">
      <w:rPr>
        <w:b/>
        <w:bCs/>
        <w:sz w:val="28"/>
        <w:szCs w:val="28"/>
      </w:rPr>
      <w:t>Republika Kosova - Republic of Kosovo</w:t>
    </w:r>
  </w:p>
  <w:p w14:paraId="01470113" w14:textId="77777777" w:rsidR="00CB1E79" w:rsidRPr="00A6322C" w:rsidRDefault="00CB1E79" w:rsidP="0059366F">
    <w:pPr>
      <w:jc w:val="center"/>
      <w:rPr>
        <w:b/>
        <w:bCs/>
        <w:i/>
      </w:rPr>
    </w:pPr>
    <w:r w:rsidRPr="00A6322C">
      <w:rPr>
        <w:b/>
        <w:bCs/>
        <w:i/>
      </w:rPr>
      <w:t>Qeveria - Vlada - Government</w:t>
    </w:r>
  </w:p>
  <w:p w14:paraId="1C00D41A" w14:textId="77777777" w:rsidR="00CB1E79" w:rsidRPr="008F1687" w:rsidRDefault="00CB1E79" w:rsidP="0059366F">
    <w:pPr>
      <w:tabs>
        <w:tab w:val="left" w:pos="4995"/>
      </w:tabs>
      <w:rPr>
        <w:sz w:val="22"/>
        <w:szCs w:val="22"/>
      </w:rPr>
    </w:pPr>
    <w:r w:rsidRPr="008F1687">
      <w:rPr>
        <w:sz w:val="22"/>
        <w:szCs w:val="22"/>
      </w:rPr>
      <w:tab/>
    </w:r>
  </w:p>
  <w:p w14:paraId="66D5A4A3" w14:textId="77777777" w:rsidR="00CB1E79" w:rsidRPr="00810FA2" w:rsidRDefault="00CB1E79" w:rsidP="00810FA2">
    <w:pPr>
      <w:pStyle w:val="Header"/>
      <w:jc w:val="center"/>
      <w:rPr>
        <w:i/>
        <w:sz w:val="22"/>
        <w:szCs w:val="22"/>
      </w:rPr>
    </w:pPr>
    <w:r w:rsidRPr="00810FA2">
      <w:rPr>
        <w:i/>
        <w:sz w:val="22"/>
        <w:szCs w:val="22"/>
      </w:rPr>
      <w:t>Ministria e Administrimit të Pushtetit Lokal</w:t>
    </w:r>
  </w:p>
  <w:p w14:paraId="2D19F997" w14:textId="77777777" w:rsidR="00CB1E79" w:rsidRPr="00810FA2" w:rsidRDefault="00CB1E79" w:rsidP="00810FA2">
    <w:pPr>
      <w:pStyle w:val="Header"/>
      <w:jc w:val="center"/>
      <w:rPr>
        <w:i/>
        <w:sz w:val="22"/>
        <w:szCs w:val="22"/>
      </w:rPr>
    </w:pPr>
    <w:r w:rsidRPr="00810FA2">
      <w:rPr>
        <w:i/>
        <w:sz w:val="22"/>
        <w:szCs w:val="22"/>
      </w:rPr>
      <w:t>Ministarstvo Administracije Lokalne Samouprave</w:t>
    </w:r>
  </w:p>
  <w:p w14:paraId="5888D518" w14:textId="77777777" w:rsidR="00CB1E79" w:rsidRPr="0059366F" w:rsidRDefault="00CB1E79" w:rsidP="00810FA2">
    <w:pPr>
      <w:pStyle w:val="Header"/>
      <w:jc w:val="center"/>
    </w:pPr>
    <w:r w:rsidRPr="00810FA2">
      <w:rPr>
        <w:i/>
        <w:sz w:val="22"/>
        <w:szCs w:val="22"/>
      </w:rPr>
      <w:t>Ministry of Local Government Administration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F23AA" w14:textId="77777777" w:rsidR="00CB1E79" w:rsidRDefault="00CB1E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B6A50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351A7"/>
    <w:multiLevelType w:val="hybridMultilevel"/>
    <w:tmpl w:val="73366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F15464"/>
    <w:multiLevelType w:val="hybridMultilevel"/>
    <w:tmpl w:val="9618B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274888"/>
    <w:multiLevelType w:val="multilevel"/>
    <w:tmpl w:val="981CD17A"/>
    <w:lvl w:ilvl="0">
      <w:start w:val="1"/>
      <w:numFmt w:val="decimal"/>
      <w:lvlText w:val="%1"/>
      <w:lvlJc w:val="left"/>
      <w:pPr>
        <w:ind w:left="380" w:hanging="380"/>
      </w:pPr>
      <w:rPr>
        <w:rFonts w:hint="default"/>
      </w:rPr>
    </w:lvl>
    <w:lvl w:ilvl="1">
      <w:start w:val="1"/>
      <w:numFmt w:val="decimal"/>
      <w:lvlText w:val="%1.%2"/>
      <w:lvlJc w:val="left"/>
      <w:pPr>
        <w:ind w:left="2160" w:hanging="720"/>
      </w:pPr>
      <w:rPr>
        <w:rFonts w:hint="default"/>
        <w:color w:val="C0504D" w:themeColor="accent2"/>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 w15:restartNumberingAfterBreak="0">
    <w:nsid w:val="058146D4"/>
    <w:multiLevelType w:val="hybridMultilevel"/>
    <w:tmpl w:val="E440F47A"/>
    <w:lvl w:ilvl="0" w:tplc="CEAEA770">
      <w:numFmt w:val="bullet"/>
      <w:lvlText w:val="•"/>
      <w:lvlJc w:val="left"/>
      <w:pPr>
        <w:ind w:left="724" w:hanging="44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E34DB5"/>
    <w:multiLevelType w:val="multilevel"/>
    <w:tmpl w:val="F684E8AC"/>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pStyle w:val="Prodoctext"/>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DB1024E"/>
    <w:multiLevelType w:val="hybridMultilevel"/>
    <w:tmpl w:val="43A8052C"/>
    <w:lvl w:ilvl="0" w:tplc="08090005">
      <w:start w:val="1"/>
      <w:numFmt w:val="bullet"/>
      <w:lvlText w:val=""/>
      <w:lvlJc w:val="left"/>
      <w:pPr>
        <w:tabs>
          <w:tab w:val="num" w:pos="921"/>
        </w:tabs>
        <w:ind w:left="921" w:hanging="360"/>
      </w:pPr>
      <w:rPr>
        <w:rFonts w:ascii="Wingdings" w:hAnsi="Wingdings" w:hint="default"/>
      </w:rPr>
    </w:lvl>
    <w:lvl w:ilvl="1" w:tplc="08090005">
      <w:start w:val="1"/>
      <w:numFmt w:val="bullet"/>
      <w:lvlText w:val=""/>
      <w:lvlJc w:val="left"/>
      <w:pPr>
        <w:tabs>
          <w:tab w:val="num" w:pos="1641"/>
        </w:tabs>
        <w:ind w:left="1641" w:hanging="360"/>
      </w:pPr>
      <w:rPr>
        <w:rFonts w:ascii="Wingdings" w:hAnsi="Wingdings" w:hint="default"/>
      </w:rPr>
    </w:lvl>
    <w:lvl w:ilvl="2" w:tplc="30BE5ECA" w:tentative="1">
      <w:start w:val="1"/>
      <w:numFmt w:val="bullet"/>
      <w:lvlText w:val="o"/>
      <w:lvlJc w:val="left"/>
      <w:pPr>
        <w:tabs>
          <w:tab w:val="num" w:pos="2361"/>
        </w:tabs>
        <w:ind w:left="2361" w:hanging="360"/>
      </w:pPr>
      <w:rPr>
        <w:rFonts w:ascii="Courier New" w:hAnsi="Courier New" w:hint="default"/>
      </w:rPr>
    </w:lvl>
    <w:lvl w:ilvl="3" w:tplc="F4DE7CD2" w:tentative="1">
      <w:start w:val="1"/>
      <w:numFmt w:val="bullet"/>
      <w:lvlText w:val="o"/>
      <w:lvlJc w:val="left"/>
      <w:pPr>
        <w:tabs>
          <w:tab w:val="num" w:pos="3081"/>
        </w:tabs>
        <w:ind w:left="3081" w:hanging="360"/>
      </w:pPr>
      <w:rPr>
        <w:rFonts w:ascii="Courier New" w:hAnsi="Courier New" w:hint="default"/>
      </w:rPr>
    </w:lvl>
    <w:lvl w:ilvl="4" w:tplc="EFFC1EEE" w:tentative="1">
      <w:start w:val="1"/>
      <w:numFmt w:val="bullet"/>
      <w:lvlText w:val="o"/>
      <w:lvlJc w:val="left"/>
      <w:pPr>
        <w:tabs>
          <w:tab w:val="num" w:pos="3801"/>
        </w:tabs>
        <w:ind w:left="3801" w:hanging="360"/>
      </w:pPr>
      <w:rPr>
        <w:rFonts w:ascii="Courier New" w:hAnsi="Courier New" w:hint="default"/>
      </w:rPr>
    </w:lvl>
    <w:lvl w:ilvl="5" w:tplc="0E36AC22" w:tentative="1">
      <w:start w:val="1"/>
      <w:numFmt w:val="bullet"/>
      <w:lvlText w:val="o"/>
      <w:lvlJc w:val="left"/>
      <w:pPr>
        <w:tabs>
          <w:tab w:val="num" w:pos="4521"/>
        </w:tabs>
        <w:ind w:left="4521" w:hanging="360"/>
      </w:pPr>
      <w:rPr>
        <w:rFonts w:ascii="Courier New" w:hAnsi="Courier New" w:hint="default"/>
      </w:rPr>
    </w:lvl>
    <w:lvl w:ilvl="6" w:tplc="0E065620" w:tentative="1">
      <w:start w:val="1"/>
      <w:numFmt w:val="bullet"/>
      <w:lvlText w:val="o"/>
      <w:lvlJc w:val="left"/>
      <w:pPr>
        <w:tabs>
          <w:tab w:val="num" w:pos="5241"/>
        </w:tabs>
        <w:ind w:left="5241" w:hanging="360"/>
      </w:pPr>
      <w:rPr>
        <w:rFonts w:ascii="Courier New" w:hAnsi="Courier New" w:hint="default"/>
      </w:rPr>
    </w:lvl>
    <w:lvl w:ilvl="7" w:tplc="602E18D4" w:tentative="1">
      <w:start w:val="1"/>
      <w:numFmt w:val="bullet"/>
      <w:lvlText w:val="o"/>
      <w:lvlJc w:val="left"/>
      <w:pPr>
        <w:tabs>
          <w:tab w:val="num" w:pos="5961"/>
        </w:tabs>
        <w:ind w:left="5961" w:hanging="360"/>
      </w:pPr>
      <w:rPr>
        <w:rFonts w:ascii="Courier New" w:hAnsi="Courier New" w:hint="default"/>
      </w:rPr>
    </w:lvl>
    <w:lvl w:ilvl="8" w:tplc="E536E546" w:tentative="1">
      <w:start w:val="1"/>
      <w:numFmt w:val="bullet"/>
      <w:lvlText w:val="o"/>
      <w:lvlJc w:val="left"/>
      <w:pPr>
        <w:tabs>
          <w:tab w:val="num" w:pos="6681"/>
        </w:tabs>
        <w:ind w:left="6681" w:hanging="360"/>
      </w:pPr>
      <w:rPr>
        <w:rFonts w:ascii="Courier New" w:hAnsi="Courier New" w:hint="default"/>
      </w:rPr>
    </w:lvl>
  </w:abstractNum>
  <w:abstractNum w:abstractNumId="7" w15:restartNumberingAfterBreak="0">
    <w:nsid w:val="100D7EEB"/>
    <w:multiLevelType w:val="hybridMultilevel"/>
    <w:tmpl w:val="76180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C7891"/>
    <w:multiLevelType w:val="multilevel"/>
    <w:tmpl w:val="50565406"/>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12032C33"/>
    <w:multiLevelType w:val="hybridMultilevel"/>
    <w:tmpl w:val="A3686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5469F0"/>
    <w:multiLevelType w:val="hybridMultilevel"/>
    <w:tmpl w:val="CAD02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8759C3"/>
    <w:multiLevelType w:val="hybridMultilevel"/>
    <w:tmpl w:val="8E12C772"/>
    <w:lvl w:ilvl="0" w:tplc="83A48E8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BA1FD0"/>
    <w:multiLevelType w:val="multilevel"/>
    <w:tmpl w:val="A642C266"/>
    <w:lvl w:ilvl="0">
      <w:start w:val="3"/>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903968"/>
    <w:multiLevelType w:val="hybridMultilevel"/>
    <w:tmpl w:val="F0F480E0"/>
    <w:lvl w:ilvl="0" w:tplc="08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4F6EB0"/>
    <w:multiLevelType w:val="multilevel"/>
    <w:tmpl w:val="FD9E1CF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color w:val="C0504D"/>
        <w:sz w:val="28"/>
        <w:szCs w:val="28"/>
      </w:rPr>
    </w:lvl>
    <w:lvl w:ilvl="2">
      <w:start w:val="1"/>
      <w:numFmt w:val="decimal"/>
      <w:lvlText w:val="%1.%2.%3"/>
      <w:lvlJc w:val="left"/>
      <w:pPr>
        <w:ind w:left="3600" w:hanging="720"/>
      </w:pPr>
      <w:rPr>
        <w:rFonts w:hint="default"/>
        <w:sz w:val="24"/>
        <w:szCs w:val="24"/>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23F47E3E"/>
    <w:multiLevelType w:val="hybridMultilevel"/>
    <w:tmpl w:val="A44A321C"/>
    <w:lvl w:ilvl="0" w:tplc="04090001">
      <w:start w:val="1"/>
      <w:numFmt w:val="bullet"/>
      <w:lvlText w:val=""/>
      <w:lvlJc w:val="left"/>
      <w:pPr>
        <w:ind w:left="666" w:hanging="360"/>
      </w:pPr>
      <w:rPr>
        <w:rFonts w:ascii="Symbol" w:hAnsi="Symbol" w:hint="default"/>
      </w:rPr>
    </w:lvl>
    <w:lvl w:ilvl="1" w:tplc="04090003" w:tentative="1">
      <w:start w:val="1"/>
      <w:numFmt w:val="bullet"/>
      <w:lvlText w:val="o"/>
      <w:lvlJc w:val="left"/>
      <w:pPr>
        <w:ind w:left="1386" w:hanging="360"/>
      </w:pPr>
      <w:rPr>
        <w:rFonts w:ascii="Courier New" w:hAnsi="Courier New" w:cs="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abstractNum w:abstractNumId="16" w15:restartNumberingAfterBreak="0">
    <w:nsid w:val="28092CCF"/>
    <w:multiLevelType w:val="hybridMultilevel"/>
    <w:tmpl w:val="96D87908"/>
    <w:lvl w:ilvl="0" w:tplc="A600CC30">
      <w:start w:val="1"/>
      <w:numFmt w:val="bullet"/>
      <w:lvlText w:val=""/>
      <w:lvlJc w:val="left"/>
      <w:pPr>
        <w:tabs>
          <w:tab w:val="num" w:pos="920"/>
        </w:tabs>
        <w:ind w:left="920" w:hanging="360"/>
      </w:pPr>
      <w:rPr>
        <w:rFonts w:ascii="Wingdings" w:hAnsi="Wingdings" w:hint="default"/>
      </w:rPr>
    </w:lvl>
    <w:lvl w:ilvl="1" w:tplc="F2567562">
      <w:start w:val="1"/>
      <w:numFmt w:val="bullet"/>
      <w:lvlText w:val=""/>
      <w:lvlJc w:val="left"/>
      <w:pPr>
        <w:tabs>
          <w:tab w:val="num" w:pos="1640"/>
        </w:tabs>
        <w:ind w:left="1640" w:hanging="360"/>
      </w:pPr>
      <w:rPr>
        <w:rFonts w:ascii="Wingdings" w:hAnsi="Wingdings" w:hint="default"/>
      </w:rPr>
    </w:lvl>
    <w:lvl w:ilvl="2" w:tplc="C534DF58">
      <w:start w:val="1"/>
      <w:numFmt w:val="bullet"/>
      <w:lvlText w:val=""/>
      <w:lvlJc w:val="left"/>
      <w:pPr>
        <w:tabs>
          <w:tab w:val="num" w:pos="2360"/>
        </w:tabs>
        <w:ind w:left="2360" w:hanging="360"/>
      </w:pPr>
      <w:rPr>
        <w:rFonts w:ascii="Wingdings" w:hAnsi="Wingdings" w:hint="default"/>
      </w:rPr>
    </w:lvl>
    <w:lvl w:ilvl="3" w:tplc="C7B03008" w:tentative="1">
      <w:start w:val="1"/>
      <w:numFmt w:val="bullet"/>
      <w:lvlText w:val=""/>
      <w:lvlJc w:val="left"/>
      <w:pPr>
        <w:tabs>
          <w:tab w:val="num" w:pos="3080"/>
        </w:tabs>
        <w:ind w:left="3080" w:hanging="360"/>
      </w:pPr>
      <w:rPr>
        <w:rFonts w:ascii="Wingdings" w:hAnsi="Wingdings" w:hint="default"/>
      </w:rPr>
    </w:lvl>
    <w:lvl w:ilvl="4" w:tplc="2A16EA78" w:tentative="1">
      <w:start w:val="1"/>
      <w:numFmt w:val="bullet"/>
      <w:lvlText w:val=""/>
      <w:lvlJc w:val="left"/>
      <w:pPr>
        <w:tabs>
          <w:tab w:val="num" w:pos="3800"/>
        </w:tabs>
        <w:ind w:left="3800" w:hanging="360"/>
      </w:pPr>
      <w:rPr>
        <w:rFonts w:ascii="Wingdings" w:hAnsi="Wingdings" w:hint="default"/>
      </w:rPr>
    </w:lvl>
    <w:lvl w:ilvl="5" w:tplc="93361E36" w:tentative="1">
      <w:start w:val="1"/>
      <w:numFmt w:val="bullet"/>
      <w:lvlText w:val=""/>
      <w:lvlJc w:val="left"/>
      <w:pPr>
        <w:tabs>
          <w:tab w:val="num" w:pos="4520"/>
        </w:tabs>
        <w:ind w:left="4520" w:hanging="360"/>
      </w:pPr>
      <w:rPr>
        <w:rFonts w:ascii="Wingdings" w:hAnsi="Wingdings" w:hint="default"/>
      </w:rPr>
    </w:lvl>
    <w:lvl w:ilvl="6" w:tplc="74AAFD0E" w:tentative="1">
      <w:start w:val="1"/>
      <w:numFmt w:val="bullet"/>
      <w:lvlText w:val=""/>
      <w:lvlJc w:val="left"/>
      <w:pPr>
        <w:tabs>
          <w:tab w:val="num" w:pos="5240"/>
        </w:tabs>
        <w:ind w:left="5240" w:hanging="360"/>
      </w:pPr>
      <w:rPr>
        <w:rFonts w:ascii="Wingdings" w:hAnsi="Wingdings" w:hint="default"/>
      </w:rPr>
    </w:lvl>
    <w:lvl w:ilvl="7" w:tplc="B3DA2DEC" w:tentative="1">
      <w:start w:val="1"/>
      <w:numFmt w:val="bullet"/>
      <w:lvlText w:val=""/>
      <w:lvlJc w:val="left"/>
      <w:pPr>
        <w:tabs>
          <w:tab w:val="num" w:pos="5960"/>
        </w:tabs>
        <w:ind w:left="5960" w:hanging="360"/>
      </w:pPr>
      <w:rPr>
        <w:rFonts w:ascii="Wingdings" w:hAnsi="Wingdings" w:hint="default"/>
      </w:rPr>
    </w:lvl>
    <w:lvl w:ilvl="8" w:tplc="446C453C" w:tentative="1">
      <w:start w:val="1"/>
      <w:numFmt w:val="bullet"/>
      <w:lvlText w:val=""/>
      <w:lvlJc w:val="left"/>
      <w:pPr>
        <w:tabs>
          <w:tab w:val="num" w:pos="6680"/>
        </w:tabs>
        <w:ind w:left="6680" w:hanging="360"/>
      </w:pPr>
      <w:rPr>
        <w:rFonts w:ascii="Wingdings" w:hAnsi="Wingdings" w:hint="default"/>
      </w:rPr>
    </w:lvl>
  </w:abstractNum>
  <w:abstractNum w:abstractNumId="17" w15:restartNumberingAfterBreak="0">
    <w:nsid w:val="2D30401A"/>
    <w:multiLevelType w:val="hybridMultilevel"/>
    <w:tmpl w:val="2D2A2774"/>
    <w:lvl w:ilvl="0" w:tplc="08EE05D0">
      <w:start w:val="1"/>
      <w:numFmt w:val="decimal"/>
      <w:lvlText w:val="%1."/>
      <w:lvlJc w:val="left"/>
      <w:pPr>
        <w:tabs>
          <w:tab w:val="num" w:pos="900"/>
        </w:tabs>
        <w:ind w:left="900" w:hanging="540"/>
      </w:pPr>
      <w:rPr>
        <w:rFonts w:asciiTheme="majorHAnsi" w:hAnsiTheme="majorHAnsi" w:hint="default"/>
        <w:color w:val="FFFFFF" w:themeColor="background1"/>
        <w:sz w:val="32"/>
        <w:szCs w:val="32"/>
      </w:rPr>
    </w:lvl>
    <w:lvl w:ilvl="1" w:tplc="04090017">
      <w:start w:val="1"/>
      <w:numFmt w:val="lowerLetter"/>
      <w:lvlText w:val="%2)"/>
      <w:lvlJc w:val="left"/>
      <w:pPr>
        <w:ind w:left="1440" w:hanging="360"/>
      </w:pPr>
    </w:lvl>
    <w:lvl w:ilvl="2" w:tplc="001B0409">
      <w:start w:val="1"/>
      <w:numFmt w:val="lowerRoman"/>
      <w:lvlText w:val="(%3)"/>
      <w:lvlJc w:val="left"/>
      <w:pPr>
        <w:tabs>
          <w:tab w:val="num" w:pos="2700"/>
        </w:tabs>
        <w:ind w:left="2700" w:hanging="72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2FBC068C"/>
    <w:multiLevelType w:val="hybridMultilevel"/>
    <w:tmpl w:val="AEA21122"/>
    <w:lvl w:ilvl="0" w:tplc="04090001">
      <w:start w:val="1"/>
      <w:numFmt w:val="bullet"/>
      <w:lvlText w:val=""/>
      <w:lvlJc w:val="left"/>
      <w:pPr>
        <w:ind w:left="1670" w:hanging="360"/>
      </w:pPr>
      <w:rPr>
        <w:rFonts w:ascii="Symbol" w:hAnsi="Symbol" w:hint="default"/>
      </w:rPr>
    </w:lvl>
    <w:lvl w:ilvl="1" w:tplc="04090003" w:tentative="1">
      <w:start w:val="1"/>
      <w:numFmt w:val="bullet"/>
      <w:lvlText w:val="o"/>
      <w:lvlJc w:val="left"/>
      <w:pPr>
        <w:ind w:left="1746" w:hanging="360"/>
      </w:pPr>
      <w:rPr>
        <w:rFonts w:ascii="Courier New" w:hAnsi="Courier New" w:cs="Courier New" w:hint="default"/>
      </w:rPr>
    </w:lvl>
    <w:lvl w:ilvl="2" w:tplc="04090005" w:tentative="1">
      <w:start w:val="1"/>
      <w:numFmt w:val="bullet"/>
      <w:lvlText w:val=""/>
      <w:lvlJc w:val="left"/>
      <w:pPr>
        <w:ind w:left="2466" w:hanging="360"/>
      </w:pPr>
      <w:rPr>
        <w:rFonts w:ascii="Wingdings" w:hAnsi="Wingdings" w:hint="default"/>
      </w:rPr>
    </w:lvl>
    <w:lvl w:ilvl="3" w:tplc="04090001" w:tentative="1">
      <w:start w:val="1"/>
      <w:numFmt w:val="bullet"/>
      <w:lvlText w:val=""/>
      <w:lvlJc w:val="left"/>
      <w:pPr>
        <w:ind w:left="3186" w:hanging="360"/>
      </w:pPr>
      <w:rPr>
        <w:rFonts w:ascii="Symbol" w:hAnsi="Symbol" w:hint="default"/>
      </w:rPr>
    </w:lvl>
    <w:lvl w:ilvl="4" w:tplc="04090003" w:tentative="1">
      <w:start w:val="1"/>
      <w:numFmt w:val="bullet"/>
      <w:lvlText w:val="o"/>
      <w:lvlJc w:val="left"/>
      <w:pPr>
        <w:ind w:left="3906" w:hanging="360"/>
      </w:pPr>
      <w:rPr>
        <w:rFonts w:ascii="Courier New" w:hAnsi="Courier New" w:cs="Courier New" w:hint="default"/>
      </w:rPr>
    </w:lvl>
    <w:lvl w:ilvl="5" w:tplc="04090005" w:tentative="1">
      <w:start w:val="1"/>
      <w:numFmt w:val="bullet"/>
      <w:lvlText w:val=""/>
      <w:lvlJc w:val="left"/>
      <w:pPr>
        <w:ind w:left="4626" w:hanging="360"/>
      </w:pPr>
      <w:rPr>
        <w:rFonts w:ascii="Wingdings" w:hAnsi="Wingdings" w:hint="default"/>
      </w:rPr>
    </w:lvl>
    <w:lvl w:ilvl="6" w:tplc="04090001" w:tentative="1">
      <w:start w:val="1"/>
      <w:numFmt w:val="bullet"/>
      <w:lvlText w:val=""/>
      <w:lvlJc w:val="left"/>
      <w:pPr>
        <w:ind w:left="5346" w:hanging="360"/>
      </w:pPr>
      <w:rPr>
        <w:rFonts w:ascii="Symbol" w:hAnsi="Symbol" w:hint="default"/>
      </w:rPr>
    </w:lvl>
    <w:lvl w:ilvl="7" w:tplc="04090003" w:tentative="1">
      <w:start w:val="1"/>
      <w:numFmt w:val="bullet"/>
      <w:lvlText w:val="o"/>
      <w:lvlJc w:val="left"/>
      <w:pPr>
        <w:ind w:left="6066" w:hanging="360"/>
      </w:pPr>
      <w:rPr>
        <w:rFonts w:ascii="Courier New" w:hAnsi="Courier New" w:cs="Courier New" w:hint="default"/>
      </w:rPr>
    </w:lvl>
    <w:lvl w:ilvl="8" w:tplc="04090005" w:tentative="1">
      <w:start w:val="1"/>
      <w:numFmt w:val="bullet"/>
      <w:lvlText w:val=""/>
      <w:lvlJc w:val="left"/>
      <w:pPr>
        <w:ind w:left="6786" w:hanging="360"/>
      </w:pPr>
      <w:rPr>
        <w:rFonts w:ascii="Wingdings" w:hAnsi="Wingdings" w:hint="default"/>
      </w:rPr>
    </w:lvl>
  </w:abstractNum>
  <w:abstractNum w:abstractNumId="19" w15:restartNumberingAfterBreak="0">
    <w:nsid w:val="32C022C3"/>
    <w:multiLevelType w:val="hybridMultilevel"/>
    <w:tmpl w:val="AB6E2C6A"/>
    <w:lvl w:ilvl="0" w:tplc="08090005">
      <w:start w:val="1"/>
      <w:numFmt w:val="bullet"/>
      <w:lvlText w:val=""/>
      <w:lvlJc w:val="left"/>
      <w:pPr>
        <w:tabs>
          <w:tab w:val="num" w:pos="879"/>
        </w:tabs>
        <w:ind w:left="879" w:hanging="360"/>
      </w:pPr>
      <w:rPr>
        <w:rFonts w:ascii="Wingdings" w:hAnsi="Wingdings" w:hint="default"/>
      </w:rPr>
    </w:lvl>
    <w:lvl w:ilvl="1" w:tplc="04090003" w:tentative="1">
      <w:start w:val="1"/>
      <w:numFmt w:val="bullet"/>
      <w:lvlText w:val="o"/>
      <w:lvlJc w:val="left"/>
      <w:pPr>
        <w:ind w:left="1599" w:hanging="360"/>
      </w:pPr>
      <w:rPr>
        <w:rFonts w:ascii="Courier New" w:hAnsi="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20" w15:restartNumberingAfterBreak="0">
    <w:nsid w:val="356B12EC"/>
    <w:multiLevelType w:val="hybridMultilevel"/>
    <w:tmpl w:val="CEC02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951D06"/>
    <w:multiLevelType w:val="hybridMultilevel"/>
    <w:tmpl w:val="4AE21962"/>
    <w:lvl w:ilvl="0" w:tplc="04090003">
      <w:start w:val="1"/>
      <w:numFmt w:val="bullet"/>
      <w:lvlText w:val="o"/>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839131F"/>
    <w:multiLevelType w:val="hybridMultilevel"/>
    <w:tmpl w:val="B7364B76"/>
    <w:lvl w:ilvl="0" w:tplc="42FE9750">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F9114C"/>
    <w:multiLevelType w:val="hybridMultilevel"/>
    <w:tmpl w:val="7F402CBE"/>
    <w:lvl w:ilvl="0" w:tplc="04090005">
      <w:start w:val="1"/>
      <w:numFmt w:val="bullet"/>
      <w:lvlText w:val=""/>
      <w:lvlJc w:val="left"/>
      <w:pPr>
        <w:ind w:left="-54" w:hanging="360"/>
      </w:pPr>
      <w:rPr>
        <w:rFonts w:ascii="Wingdings" w:hAnsi="Wingdings" w:hint="default"/>
      </w:rPr>
    </w:lvl>
    <w:lvl w:ilvl="1" w:tplc="04090001">
      <w:start w:val="1"/>
      <w:numFmt w:val="bullet"/>
      <w:lvlText w:val=""/>
      <w:lvlJc w:val="left"/>
      <w:pPr>
        <w:ind w:left="666" w:hanging="360"/>
      </w:pPr>
      <w:rPr>
        <w:rFonts w:ascii="Symbol" w:hAnsi="Symbol" w:hint="default"/>
      </w:rPr>
    </w:lvl>
    <w:lvl w:ilvl="2" w:tplc="04090005">
      <w:start w:val="1"/>
      <w:numFmt w:val="bullet"/>
      <w:lvlText w:val=""/>
      <w:lvlJc w:val="left"/>
      <w:pPr>
        <w:ind w:left="1386" w:hanging="360"/>
      </w:pPr>
      <w:rPr>
        <w:rFonts w:ascii="Wingdings" w:hAnsi="Wingdings" w:hint="default"/>
      </w:rPr>
    </w:lvl>
    <w:lvl w:ilvl="3" w:tplc="04090001" w:tentative="1">
      <w:start w:val="1"/>
      <w:numFmt w:val="bullet"/>
      <w:lvlText w:val=""/>
      <w:lvlJc w:val="left"/>
      <w:pPr>
        <w:ind w:left="2106" w:hanging="360"/>
      </w:pPr>
      <w:rPr>
        <w:rFonts w:ascii="Symbol" w:hAnsi="Symbol" w:hint="default"/>
      </w:rPr>
    </w:lvl>
    <w:lvl w:ilvl="4" w:tplc="04090003" w:tentative="1">
      <w:start w:val="1"/>
      <w:numFmt w:val="bullet"/>
      <w:lvlText w:val="o"/>
      <w:lvlJc w:val="left"/>
      <w:pPr>
        <w:ind w:left="2826" w:hanging="360"/>
      </w:pPr>
      <w:rPr>
        <w:rFonts w:ascii="Courier New" w:hAnsi="Courier New" w:hint="default"/>
      </w:rPr>
    </w:lvl>
    <w:lvl w:ilvl="5" w:tplc="04090005" w:tentative="1">
      <w:start w:val="1"/>
      <w:numFmt w:val="bullet"/>
      <w:lvlText w:val=""/>
      <w:lvlJc w:val="left"/>
      <w:pPr>
        <w:ind w:left="3546" w:hanging="360"/>
      </w:pPr>
      <w:rPr>
        <w:rFonts w:ascii="Wingdings" w:hAnsi="Wingdings" w:hint="default"/>
      </w:rPr>
    </w:lvl>
    <w:lvl w:ilvl="6" w:tplc="04090001" w:tentative="1">
      <w:start w:val="1"/>
      <w:numFmt w:val="bullet"/>
      <w:lvlText w:val=""/>
      <w:lvlJc w:val="left"/>
      <w:pPr>
        <w:ind w:left="4266" w:hanging="360"/>
      </w:pPr>
      <w:rPr>
        <w:rFonts w:ascii="Symbol" w:hAnsi="Symbol" w:hint="default"/>
      </w:rPr>
    </w:lvl>
    <w:lvl w:ilvl="7" w:tplc="04090003" w:tentative="1">
      <w:start w:val="1"/>
      <w:numFmt w:val="bullet"/>
      <w:lvlText w:val="o"/>
      <w:lvlJc w:val="left"/>
      <w:pPr>
        <w:ind w:left="4986" w:hanging="360"/>
      </w:pPr>
      <w:rPr>
        <w:rFonts w:ascii="Courier New" w:hAnsi="Courier New" w:hint="default"/>
      </w:rPr>
    </w:lvl>
    <w:lvl w:ilvl="8" w:tplc="04090005" w:tentative="1">
      <w:start w:val="1"/>
      <w:numFmt w:val="bullet"/>
      <w:lvlText w:val=""/>
      <w:lvlJc w:val="left"/>
      <w:pPr>
        <w:ind w:left="5706" w:hanging="360"/>
      </w:pPr>
      <w:rPr>
        <w:rFonts w:ascii="Wingdings" w:hAnsi="Wingdings" w:hint="default"/>
      </w:rPr>
    </w:lvl>
  </w:abstractNum>
  <w:abstractNum w:abstractNumId="24" w15:restartNumberingAfterBreak="0">
    <w:nsid w:val="42E62875"/>
    <w:multiLevelType w:val="hybridMultilevel"/>
    <w:tmpl w:val="99608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7A3715"/>
    <w:multiLevelType w:val="hybridMultilevel"/>
    <w:tmpl w:val="1320E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6F3215"/>
    <w:multiLevelType w:val="hybridMultilevel"/>
    <w:tmpl w:val="3D5EBDD4"/>
    <w:lvl w:ilvl="0" w:tplc="CEAEA770">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F830E75"/>
    <w:multiLevelType w:val="hybridMultilevel"/>
    <w:tmpl w:val="8F5E6D48"/>
    <w:lvl w:ilvl="0" w:tplc="CEAEA770">
      <w:numFmt w:val="bullet"/>
      <w:lvlText w:val="•"/>
      <w:lvlJc w:val="left"/>
      <w:pPr>
        <w:ind w:left="724" w:hanging="44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5872D0"/>
    <w:multiLevelType w:val="hybridMultilevel"/>
    <w:tmpl w:val="E16C6ED8"/>
    <w:lvl w:ilvl="0" w:tplc="04090005">
      <w:start w:val="1"/>
      <w:numFmt w:val="bullet"/>
      <w:lvlText w:val=""/>
      <w:lvlJc w:val="left"/>
      <w:pPr>
        <w:ind w:left="-54" w:hanging="360"/>
      </w:pPr>
      <w:rPr>
        <w:rFonts w:ascii="Wingdings" w:hAnsi="Wingdings" w:hint="default"/>
      </w:rPr>
    </w:lvl>
    <w:lvl w:ilvl="1" w:tplc="04090003">
      <w:start w:val="1"/>
      <w:numFmt w:val="bullet"/>
      <w:lvlText w:val="o"/>
      <w:lvlJc w:val="left"/>
      <w:pPr>
        <w:ind w:left="666" w:hanging="360"/>
      </w:pPr>
      <w:rPr>
        <w:rFonts w:ascii="Courier New" w:hAnsi="Courier New" w:cs="Courier New" w:hint="default"/>
      </w:rPr>
    </w:lvl>
    <w:lvl w:ilvl="2" w:tplc="04090005">
      <w:start w:val="1"/>
      <w:numFmt w:val="bullet"/>
      <w:lvlText w:val=""/>
      <w:lvlJc w:val="left"/>
      <w:pPr>
        <w:ind w:left="1386" w:hanging="360"/>
      </w:pPr>
      <w:rPr>
        <w:rFonts w:ascii="Wingdings" w:hAnsi="Wingdings" w:hint="default"/>
      </w:rPr>
    </w:lvl>
    <w:lvl w:ilvl="3" w:tplc="04090001" w:tentative="1">
      <w:start w:val="1"/>
      <w:numFmt w:val="bullet"/>
      <w:lvlText w:val=""/>
      <w:lvlJc w:val="left"/>
      <w:pPr>
        <w:ind w:left="2106" w:hanging="360"/>
      </w:pPr>
      <w:rPr>
        <w:rFonts w:ascii="Symbol" w:hAnsi="Symbol" w:hint="default"/>
      </w:rPr>
    </w:lvl>
    <w:lvl w:ilvl="4" w:tplc="04090003" w:tentative="1">
      <w:start w:val="1"/>
      <w:numFmt w:val="bullet"/>
      <w:lvlText w:val="o"/>
      <w:lvlJc w:val="left"/>
      <w:pPr>
        <w:ind w:left="2826" w:hanging="360"/>
      </w:pPr>
      <w:rPr>
        <w:rFonts w:ascii="Courier New" w:hAnsi="Courier New" w:hint="default"/>
      </w:rPr>
    </w:lvl>
    <w:lvl w:ilvl="5" w:tplc="04090005" w:tentative="1">
      <w:start w:val="1"/>
      <w:numFmt w:val="bullet"/>
      <w:lvlText w:val=""/>
      <w:lvlJc w:val="left"/>
      <w:pPr>
        <w:ind w:left="3546" w:hanging="360"/>
      </w:pPr>
      <w:rPr>
        <w:rFonts w:ascii="Wingdings" w:hAnsi="Wingdings" w:hint="default"/>
      </w:rPr>
    </w:lvl>
    <w:lvl w:ilvl="6" w:tplc="04090001" w:tentative="1">
      <w:start w:val="1"/>
      <w:numFmt w:val="bullet"/>
      <w:lvlText w:val=""/>
      <w:lvlJc w:val="left"/>
      <w:pPr>
        <w:ind w:left="4266" w:hanging="360"/>
      </w:pPr>
      <w:rPr>
        <w:rFonts w:ascii="Symbol" w:hAnsi="Symbol" w:hint="default"/>
      </w:rPr>
    </w:lvl>
    <w:lvl w:ilvl="7" w:tplc="04090003" w:tentative="1">
      <w:start w:val="1"/>
      <w:numFmt w:val="bullet"/>
      <w:lvlText w:val="o"/>
      <w:lvlJc w:val="left"/>
      <w:pPr>
        <w:ind w:left="4986" w:hanging="360"/>
      </w:pPr>
      <w:rPr>
        <w:rFonts w:ascii="Courier New" w:hAnsi="Courier New" w:hint="default"/>
      </w:rPr>
    </w:lvl>
    <w:lvl w:ilvl="8" w:tplc="04090005" w:tentative="1">
      <w:start w:val="1"/>
      <w:numFmt w:val="bullet"/>
      <w:lvlText w:val=""/>
      <w:lvlJc w:val="left"/>
      <w:pPr>
        <w:ind w:left="5706" w:hanging="360"/>
      </w:pPr>
      <w:rPr>
        <w:rFonts w:ascii="Wingdings" w:hAnsi="Wingdings" w:hint="default"/>
      </w:rPr>
    </w:lvl>
  </w:abstractNum>
  <w:abstractNum w:abstractNumId="29" w15:restartNumberingAfterBreak="0">
    <w:nsid w:val="5268299F"/>
    <w:multiLevelType w:val="hybridMultilevel"/>
    <w:tmpl w:val="CC765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39C4A00"/>
    <w:multiLevelType w:val="hybridMultilevel"/>
    <w:tmpl w:val="721C0E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6774CEB"/>
    <w:multiLevelType w:val="hybridMultilevel"/>
    <w:tmpl w:val="431CFF06"/>
    <w:lvl w:ilvl="0" w:tplc="04090005">
      <w:start w:val="1"/>
      <w:numFmt w:val="bullet"/>
      <w:lvlText w:val=""/>
      <w:lvlJc w:val="left"/>
      <w:pPr>
        <w:ind w:left="-54" w:hanging="360"/>
      </w:pPr>
      <w:rPr>
        <w:rFonts w:ascii="Wingdings" w:hAnsi="Wingdings" w:hint="default"/>
      </w:rPr>
    </w:lvl>
    <w:lvl w:ilvl="1" w:tplc="04090001">
      <w:start w:val="1"/>
      <w:numFmt w:val="bullet"/>
      <w:lvlText w:val=""/>
      <w:lvlJc w:val="left"/>
      <w:pPr>
        <w:ind w:left="666" w:hanging="360"/>
      </w:pPr>
      <w:rPr>
        <w:rFonts w:ascii="Symbol" w:hAnsi="Symbol" w:hint="default"/>
      </w:rPr>
    </w:lvl>
    <w:lvl w:ilvl="2" w:tplc="04090005">
      <w:start w:val="1"/>
      <w:numFmt w:val="bullet"/>
      <w:lvlText w:val=""/>
      <w:lvlJc w:val="left"/>
      <w:pPr>
        <w:ind w:left="1386" w:hanging="360"/>
      </w:pPr>
      <w:rPr>
        <w:rFonts w:ascii="Wingdings" w:hAnsi="Wingdings" w:hint="default"/>
      </w:rPr>
    </w:lvl>
    <w:lvl w:ilvl="3" w:tplc="04090001" w:tentative="1">
      <w:start w:val="1"/>
      <w:numFmt w:val="bullet"/>
      <w:lvlText w:val=""/>
      <w:lvlJc w:val="left"/>
      <w:pPr>
        <w:ind w:left="2106" w:hanging="360"/>
      </w:pPr>
      <w:rPr>
        <w:rFonts w:ascii="Symbol" w:hAnsi="Symbol" w:hint="default"/>
      </w:rPr>
    </w:lvl>
    <w:lvl w:ilvl="4" w:tplc="04090003" w:tentative="1">
      <w:start w:val="1"/>
      <w:numFmt w:val="bullet"/>
      <w:lvlText w:val="o"/>
      <w:lvlJc w:val="left"/>
      <w:pPr>
        <w:ind w:left="2826" w:hanging="360"/>
      </w:pPr>
      <w:rPr>
        <w:rFonts w:ascii="Courier New" w:hAnsi="Courier New" w:hint="default"/>
      </w:rPr>
    </w:lvl>
    <w:lvl w:ilvl="5" w:tplc="04090005" w:tentative="1">
      <w:start w:val="1"/>
      <w:numFmt w:val="bullet"/>
      <w:lvlText w:val=""/>
      <w:lvlJc w:val="left"/>
      <w:pPr>
        <w:ind w:left="3546" w:hanging="360"/>
      </w:pPr>
      <w:rPr>
        <w:rFonts w:ascii="Wingdings" w:hAnsi="Wingdings" w:hint="default"/>
      </w:rPr>
    </w:lvl>
    <w:lvl w:ilvl="6" w:tplc="04090001" w:tentative="1">
      <w:start w:val="1"/>
      <w:numFmt w:val="bullet"/>
      <w:lvlText w:val=""/>
      <w:lvlJc w:val="left"/>
      <w:pPr>
        <w:ind w:left="4266" w:hanging="360"/>
      </w:pPr>
      <w:rPr>
        <w:rFonts w:ascii="Symbol" w:hAnsi="Symbol" w:hint="default"/>
      </w:rPr>
    </w:lvl>
    <w:lvl w:ilvl="7" w:tplc="04090003" w:tentative="1">
      <w:start w:val="1"/>
      <w:numFmt w:val="bullet"/>
      <w:lvlText w:val="o"/>
      <w:lvlJc w:val="left"/>
      <w:pPr>
        <w:ind w:left="4986" w:hanging="360"/>
      </w:pPr>
      <w:rPr>
        <w:rFonts w:ascii="Courier New" w:hAnsi="Courier New" w:hint="default"/>
      </w:rPr>
    </w:lvl>
    <w:lvl w:ilvl="8" w:tplc="04090005" w:tentative="1">
      <w:start w:val="1"/>
      <w:numFmt w:val="bullet"/>
      <w:lvlText w:val=""/>
      <w:lvlJc w:val="left"/>
      <w:pPr>
        <w:ind w:left="5706" w:hanging="360"/>
      </w:pPr>
      <w:rPr>
        <w:rFonts w:ascii="Wingdings" w:hAnsi="Wingdings" w:hint="default"/>
      </w:rPr>
    </w:lvl>
  </w:abstractNum>
  <w:abstractNum w:abstractNumId="32" w15:restartNumberingAfterBreak="0">
    <w:nsid w:val="61E422DD"/>
    <w:multiLevelType w:val="hybridMultilevel"/>
    <w:tmpl w:val="50984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F9115F"/>
    <w:multiLevelType w:val="hybridMultilevel"/>
    <w:tmpl w:val="4F1E8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BDB7159"/>
    <w:multiLevelType w:val="hybridMultilevel"/>
    <w:tmpl w:val="D59A20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A13C80"/>
    <w:multiLevelType w:val="hybridMultilevel"/>
    <w:tmpl w:val="88442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A14780"/>
    <w:multiLevelType w:val="hybridMultilevel"/>
    <w:tmpl w:val="8304A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30559E"/>
    <w:multiLevelType w:val="hybridMultilevel"/>
    <w:tmpl w:val="9CEA3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825D70"/>
    <w:multiLevelType w:val="hybridMultilevel"/>
    <w:tmpl w:val="DA56D358"/>
    <w:lvl w:ilvl="0" w:tplc="F9B8CDEE">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080"/>
        </w:tabs>
        <w:ind w:left="1080" w:hanging="360"/>
      </w:pPr>
    </w:lvl>
    <w:lvl w:ilvl="2" w:tplc="35B83F68" w:tentative="1">
      <w:start w:val="1"/>
      <w:numFmt w:val="bullet"/>
      <w:lvlText w:val=""/>
      <w:lvlJc w:val="left"/>
      <w:pPr>
        <w:tabs>
          <w:tab w:val="num" w:pos="2160"/>
        </w:tabs>
        <w:ind w:left="2160" w:hanging="360"/>
      </w:pPr>
      <w:rPr>
        <w:rFonts w:ascii="Wingdings" w:hAnsi="Wingdings" w:hint="default"/>
      </w:rPr>
    </w:lvl>
    <w:lvl w:ilvl="3" w:tplc="C946FE32" w:tentative="1">
      <w:start w:val="1"/>
      <w:numFmt w:val="bullet"/>
      <w:lvlText w:val=""/>
      <w:lvlJc w:val="left"/>
      <w:pPr>
        <w:tabs>
          <w:tab w:val="num" w:pos="2880"/>
        </w:tabs>
        <w:ind w:left="2880" w:hanging="360"/>
      </w:pPr>
      <w:rPr>
        <w:rFonts w:ascii="Wingdings" w:hAnsi="Wingdings" w:hint="default"/>
      </w:rPr>
    </w:lvl>
    <w:lvl w:ilvl="4" w:tplc="7794D5FE" w:tentative="1">
      <w:start w:val="1"/>
      <w:numFmt w:val="bullet"/>
      <w:lvlText w:val=""/>
      <w:lvlJc w:val="left"/>
      <w:pPr>
        <w:tabs>
          <w:tab w:val="num" w:pos="3600"/>
        </w:tabs>
        <w:ind w:left="3600" w:hanging="360"/>
      </w:pPr>
      <w:rPr>
        <w:rFonts w:ascii="Wingdings" w:hAnsi="Wingdings" w:hint="default"/>
      </w:rPr>
    </w:lvl>
    <w:lvl w:ilvl="5" w:tplc="003AF9AA" w:tentative="1">
      <w:start w:val="1"/>
      <w:numFmt w:val="bullet"/>
      <w:lvlText w:val=""/>
      <w:lvlJc w:val="left"/>
      <w:pPr>
        <w:tabs>
          <w:tab w:val="num" w:pos="4320"/>
        </w:tabs>
        <w:ind w:left="4320" w:hanging="360"/>
      </w:pPr>
      <w:rPr>
        <w:rFonts w:ascii="Wingdings" w:hAnsi="Wingdings" w:hint="default"/>
      </w:rPr>
    </w:lvl>
    <w:lvl w:ilvl="6" w:tplc="8AAA1646" w:tentative="1">
      <w:start w:val="1"/>
      <w:numFmt w:val="bullet"/>
      <w:lvlText w:val=""/>
      <w:lvlJc w:val="left"/>
      <w:pPr>
        <w:tabs>
          <w:tab w:val="num" w:pos="5040"/>
        </w:tabs>
        <w:ind w:left="5040" w:hanging="360"/>
      </w:pPr>
      <w:rPr>
        <w:rFonts w:ascii="Wingdings" w:hAnsi="Wingdings" w:hint="default"/>
      </w:rPr>
    </w:lvl>
    <w:lvl w:ilvl="7" w:tplc="C9509AE2" w:tentative="1">
      <w:start w:val="1"/>
      <w:numFmt w:val="bullet"/>
      <w:lvlText w:val=""/>
      <w:lvlJc w:val="left"/>
      <w:pPr>
        <w:tabs>
          <w:tab w:val="num" w:pos="5760"/>
        </w:tabs>
        <w:ind w:left="5760" w:hanging="360"/>
      </w:pPr>
      <w:rPr>
        <w:rFonts w:ascii="Wingdings" w:hAnsi="Wingdings" w:hint="default"/>
      </w:rPr>
    </w:lvl>
    <w:lvl w:ilvl="8" w:tplc="4670B8D0"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D666D8"/>
    <w:multiLevelType w:val="hybridMultilevel"/>
    <w:tmpl w:val="4FCE13A8"/>
    <w:lvl w:ilvl="0" w:tplc="04090001">
      <w:start w:val="1"/>
      <w:numFmt w:val="bullet"/>
      <w:lvlText w:val=""/>
      <w:lvlJc w:val="left"/>
      <w:pPr>
        <w:ind w:left="1333" w:hanging="360"/>
      </w:pPr>
      <w:rPr>
        <w:rFonts w:ascii="Symbol" w:hAnsi="Symbol" w:hint="default"/>
      </w:rPr>
    </w:lvl>
    <w:lvl w:ilvl="1" w:tplc="04090003" w:tentative="1">
      <w:start w:val="1"/>
      <w:numFmt w:val="bullet"/>
      <w:lvlText w:val="o"/>
      <w:lvlJc w:val="left"/>
      <w:pPr>
        <w:ind w:left="2053" w:hanging="360"/>
      </w:pPr>
      <w:rPr>
        <w:rFonts w:ascii="Courier New" w:hAnsi="Courier New" w:hint="default"/>
      </w:rPr>
    </w:lvl>
    <w:lvl w:ilvl="2" w:tplc="04090005" w:tentative="1">
      <w:start w:val="1"/>
      <w:numFmt w:val="bullet"/>
      <w:lvlText w:val=""/>
      <w:lvlJc w:val="left"/>
      <w:pPr>
        <w:ind w:left="2773" w:hanging="360"/>
      </w:pPr>
      <w:rPr>
        <w:rFonts w:ascii="Wingdings" w:hAnsi="Wingdings" w:hint="default"/>
      </w:rPr>
    </w:lvl>
    <w:lvl w:ilvl="3" w:tplc="04090001" w:tentative="1">
      <w:start w:val="1"/>
      <w:numFmt w:val="bullet"/>
      <w:lvlText w:val=""/>
      <w:lvlJc w:val="left"/>
      <w:pPr>
        <w:ind w:left="3493" w:hanging="360"/>
      </w:pPr>
      <w:rPr>
        <w:rFonts w:ascii="Symbol" w:hAnsi="Symbol" w:hint="default"/>
      </w:rPr>
    </w:lvl>
    <w:lvl w:ilvl="4" w:tplc="04090003" w:tentative="1">
      <w:start w:val="1"/>
      <w:numFmt w:val="bullet"/>
      <w:lvlText w:val="o"/>
      <w:lvlJc w:val="left"/>
      <w:pPr>
        <w:ind w:left="4213" w:hanging="360"/>
      </w:pPr>
      <w:rPr>
        <w:rFonts w:ascii="Courier New" w:hAnsi="Courier New" w:hint="default"/>
      </w:rPr>
    </w:lvl>
    <w:lvl w:ilvl="5" w:tplc="04090005" w:tentative="1">
      <w:start w:val="1"/>
      <w:numFmt w:val="bullet"/>
      <w:lvlText w:val=""/>
      <w:lvlJc w:val="left"/>
      <w:pPr>
        <w:ind w:left="4933" w:hanging="360"/>
      </w:pPr>
      <w:rPr>
        <w:rFonts w:ascii="Wingdings" w:hAnsi="Wingdings" w:hint="default"/>
      </w:rPr>
    </w:lvl>
    <w:lvl w:ilvl="6" w:tplc="04090001" w:tentative="1">
      <w:start w:val="1"/>
      <w:numFmt w:val="bullet"/>
      <w:lvlText w:val=""/>
      <w:lvlJc w:val="left"/>
      <w:pPr>
        <w:ind w:left="5653" w:hanging="360"/>
      </w:pPr>
      <w:rPr>
        <w:rFonts w:ascii="Symbol" w:hAnsi="Symbol" w:hint="default"/>
      </w:rPr>
    </w:lvl>
    <w:lvl w:ilvl="7" w:tplc="04090003" w:tentative="1">
      <w:start w:val="1"/>
      <w:numFmt w:val="bullet"/>
      <w:lvlText w:val="o"/>
      <w:lvlJc w:val="left"/>
      <w:pPr>
        <w:ind w:left="6373" w:hanging="360"/>
      </w:pPr>
      <w:rPr>
        <w:rFonts w:ascii="Courier New" w:hAnsi="Courier New" w:hint="default"/>
      </w:rPr>
    </w:lvl>
    <w:lvl w:ilvl="8" w:tplc="04090005" w:tentative="1">
      <w:start w:val="1"/>
      <w:numFmt w:val="bullet"/>
      <w:lvlText w:val=""/>
      <w:lvlJc w:val="left"/>
      <w:pPr>
        <w:ind w:left="7093" w:hanging="360"/>
      </w:pPr>
      <w:rPr>
        <w:rFonts w:ascii="Wingdings" w:hAnsi="Wingdings" w:hint="default"/>
      </w:rPr>
    </w:lvl>
  </w:abstractNum>
  <w:abstractNum w:abstractNumId="40" w15:restartNumberingAfterBreak="0">
    <w:nsid w:val="7E4A416E"/>
    <w:multiLevelType w:val="hybridMultilevel"/>
    <w:tmpl w:val="1AC663AA"/>
    <w:lvl w:ilvl="0" w:tplc="CEAEA770">
      <w:numFmt w:val="bullet"/>
      <w:lvlText w:val="•"/>
      <w:lvlJc w:val="left"/>
      <w:pPr>
        <w:ind w:left="724" w:hanging="440"/>
      </w:pPr>
      <w:rPr>
        <w:rFonts w:ascii="Calibri" w:eastAsiaTheme="minorEastAsia"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306663714">
    <w:abstractNumId w:val="0"/>
  </w:num>
  <w:num w:numId="2" w16cid:durableId="180438932">
    <w:abstractNumId w:val="17"/>
  </w:num>
  <w:num w:numId="3" w16cid:durableId="158816541">
    <w:abstractNumId w:val="3"/>
  </w:num>
  <w:num w:numId="4" w16cid:durableId="93402229">
    <w:abstractNumId w:val="5"/>
  </w:num>
  <w:num w:numId="5" w16cid:durableId="55015470">
    <w:abstractNumId w:val="16"/>
  </w:num>
  <w:num w:numId="6" w16cid:durableId="403995133">
    <w:abstractNumId w:val="14"/>
  </w:num>
  <w:num w:numId="7" w16cid:durableId="86735809">
    <w:abstractNumId w:val="8"/>
  </w:num>
  <w:num w:numId="8" w16cid:durableId="1078012976">
    <w:abstractNumId w:val="39"/>
  </w:num>
  <w:num w:numId="9" w16cid:durableId="1311597319">
    <w:abstractNumId w:val="28"/>
  </w:num>
  <w:num w:numId="10" w16cid:durableId="1996906901">
    <w:abstractNumId w:val="25"/>
  </w:num>
  <w:num w:numId="11" w16cid:durableId="459349013">
    <w:abstractNumId w:val="10"/>
  </w:num>
  <w:num w:numId="12" w16cid:durableId="1611476401">
    <w:abstractNumId w:val="20"/>
  </w:num>
  <w:num w:numId="13" w16cid:durableId="2040812706">
    <w:abstractNumId w:val="7"/>
  </w:num>
  <w:num w:numId="14" w16cid:durableId="1741171701">
    <w:abstractNumId w:val="22"/>
  </w:num>
  <w:num w:numId="15" w16cid:durableId="1423065426">
    <w:abstractNumId w:val="19"/>
  </w:num>
  <w:num w:numId="16" w16cid:durableId="1398892555">
    <w:abstractNumId w:val="13"/>
  </w:num>
  <w:num w:numId="17" w16cid:durableId="99112273">
    <w:abstractNumId w:val="6"/>
  </w:num>
  <w:num w:numId="18" w16cid:durableId="378211574">
    <w:abstractNumId w:val="1"/>
  </w:num>
  <w:num w:numId="19" w16cid:durableId="1837376798">
    <w:abstractNumId w:val="21"/>
  </w:num>
  <w:num w:numId="20" w16cid:durableId="1222211082">
    <w:abstractNumId w:val="29"/>
  </w:num>
  <w:num w:numId="21" w16cid:durableId="2102529891">
    <w:abstractNumId w:val="33"/>
  </w:num>
  <w:num w:numId="22" w16cid:durableId="1181509094">
    <w:abstractNumId w:val="30"/>
  </w:num>
  <w:num w:numId="23" w16cid:durableId="1519732497">
    <w:abstractNumId w:val="37"/>
  </w:num>
  <w:num w:numId="24" w16cid:durableId="1558587170">
    <w:abstractNumId w:val="35"/>
  </w:num>
  <w:num w:numId="25" w16cid:durableId="400567222">
    <w:abstractNumId w:val="32"/>
  </w:num>
  <w:num w:numId="26" w16cid:durableId="426272344">
    <w:abstractNumId w:val="9"/>
  </w:num>
  <w:num w:numId="27" w16cid:durableId="1158109066">
    <w:abstractNumId w:val="24"/>
  </w:num>
  <w:num w:numId="28" w16cid:durableId="1514807424">
    <w:abstractNumId w:val="34"/>
  </w:num>
  <w:num w:numId="29" w16cid:durableId="1284654183">
    <w:abstractNumId w:val="12"/>
  </w:num>
  <w:num w:numId="30" w16cid:durableId="1056398783">
    <w:abstractNumId w:val="40"/>
  </w:num>
  <w:num w:numId="31" w16cid:durableId="530344764">
    <w:abstractNumId w:val="38"/>
  </w:num>
  <w:num w:numId="32" w16cid:durableId="1283030612">
    <w:abstractNumId w:val="31"/>
  </w:num>
  <w:num w:numId="33" w16cid:durableId="1576745976">
    <w:abstractNumId w:val="18"/>
  </w:num>
  <w:num w:numId="34" w16cid:durableId="927272245">
    <w:abstractNumId w:val="23"/>
  </w:num>
  <w:num w:numId="35" w16cid:durableId="582641634">
    <w:abstractNumId w:val="15"/>
  </w:num>
  <w:num w:numId="36" w16cid:durableId="1890803002">
    <w:abstractNumId w:val="2"/>
  </w:num>
  <w:num w:numId="37" w16cid:durableId="2054306334">
    <w:abstractNumId w:val="36"/>
  </w:num>
  <w:num w:numId="38" w16cid:durableId="1150290570">
    <w:abstractNumId w:val="27"/>
  </w:num>
  <w:num w:numId="39" w16cid:durableId="142506232">
    <w:abstractNumId w:val="4"/>
  </w:num>
  <w:num w:numId="40" w16cid:durableId="1087308704">
    <w:abstractNumId w:val="26"/>
  </w:num>
  <w:num w:numId="41" w16cid:durableId="11832039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618758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9150730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14111025">
    <w:abstractNumId w:val="38"/>
    <w:lvlOverride w:ilvl="0"/>
    <w:lvlOverride w:ilvl="1">
      <w:startOverride w:val="1"/>
    </w:lvlOverride>
    <w:lvlOverride w:ilvl="2"/>
    <w:lvlOverride w:ilvl="3"/>
    <w:lvlOverride w:ilvl="4"/>
    <w:lvlOverride w:ilvl="5"/>
    <w:lvlOverride w:ilvl="6"/>
    <w:lvlOverride w:ilvl="7"/>
    <w:lvlOverride w:ilvl="8"/>
  </w:num>
  <w:num w:numId="45" w16cid:durableId="304823949">
    <w:abstractNumId w:val="1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embedSystemFonts/>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fr-FR" w:vendorID="64" w:dllVersion="6" w:nlCheck="1" w:checkStyle="0"/>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6" w:nlCheck="1" w:checkStyle="0"/>
  <w:activeWritingStyle w:appName="MSWord" w:lang="de-CH" w:vendorID="64" w:dllVersion="6" w:nlCheck="1" w:checkStyle="1"/>
  <w:activeWritingStyle w:appName="MSWord" w:lang="en-I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activeWritingStyle w:appName="MSWord" w:lang="it-CH" w:vendorID="64" w:dllVersion="6" w:nlCheck="1" w:checkStyle="0"/>
  <w:activeWritingStyle w:appName="MSWord" w:lang="fr-CH" w:vendorID="64" w:dllVersion="6" w:nlCheck="1" w:checkStyle="1"/>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sv-SE" w:vendorID="64" w:dllVersion="0" w:nlCheck="1" w:checkStyle="0"/>
  <w:activeWritingStyle w:appName="MSWord" w:lang="en-GB" w:vendorID="6" w:dllVersion="2" w:checkStyle="1"/>
  <w:activeWritingStyle w:appName="MSWord" w:lang="fr-CA" w:vendorID="65" w:dllVersion="514"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cDisableGlyphATSUI" w:val="0"/>
  </w:docVars>
  <w:rsids>
    <w:rsidRoot w:val="0088279F"/>
    <w:rsid w:val="000004FF"/>
    <w:rsid w:val="00000613"/>
    <w:rsid w:val="00000B0F"/>
    <w:rsid w:val="00000DD8"/>
    <w:rsid w:val="000010D2"/>
    <w:rsid w:val="000011E3"/>
    <w:rsid w:val="000014B4"/>
    <w:rsid w:val="000037ED"/>
    <w:rsid w:val="00004271"/>
    <w:rsid w:val="00005886"/>
    <w:rsid w:val="000061B9"/>
    <w:rsid w:val="000067A1"/>
    <w:rsid w:val="00007044"/>
    <w:rsid w:val="00007884"/>
    <w:rsid w:val="0000796B"/>
    <w:rsid w:val="00007970"/>
    <w:rsid w:val="000079E8"/>
    <w:rsid w:val="0001063F"/>
    <w:rsid w:val="00010D72"/>
    <w:rsid w:val="000112BB"/>
    <w:rsid w:val="0001155D"/>
    <w:rsid w:val="000118A6"/>
    <w:rsid w:val="000121DD"/>
    <w:rsid w:val="000128C5"/>
    <w:rsid w:val="00012D69"/>
    <w:rsid w:val="000133CB"/>
    <w:rsid w:val="00013E1F"/>
    <w:rsid w:val="00014069"/>
    <w:rsid w:val="0001419A"/>
    <w:rsid w:val="00016F84"/>
    <w:rsid w:val="0002010D"/>
    <w:rsid w:val="00020751"/>
    <w:rsid w:val="0002092F"/>
    <w:rsid w:val="00020D27"/>
    <w:rsid w:val="00021DA8"/>
    <w:rsid w:val="00021F57"/>
    <w:rsid w:val="000226ED"/>
    <w:rsid w:val="00023496"/>
    <w:rsid w:val="00023499"/>
    <w:rsid w:val="0002362A"/>
    <w:rsid w:val="00024763"/>
    <w:rsid w:val="00025A4B"/>
    <w:rsid w:val="0002610E"/>
    <w:rsid w:val="00027107"/>
    <w:rsid w:val="000278B5"/>
    <w:rsid w:val="00031175"/>
    <w:rsid w:val="0003140A"/>
    <w:rsid w:val="00031CB7"/>
    <w:rsid w:val="00032308"/>
    <w:rsid w:val="00034BFC"/>
    <w:rsid w:val="00035366"/>
    <w:rsid w:val="000362C9"/>
    <w:rsid w:val="00036DAB"/>
    <w:rsid w:val="00037436"/>
    <w:rsid w:val="00041D07"/>
    <w:rsid w:val="00041F79"/>
    <w:rsid w:val="00042A17"/>
    <w:rsid w:val="00042A31"/>
    <w:rsid w:val="00042B50"/>
    <w:rsid w:val="00042D86"/>
    <w:rsid w:val="0004337D"/>
    <w:rsid w:val="00043792"/>
    <w:rsid w:val="0004381C"/>
    <w:rsid w:val="00044C30"/>
    <w:rsid w:val="00045083"/>
    <w:rsid w:val="000455C0"/>
    <w:rsid w:val="000473D8"/>
    <w:rsid w:val="00047CA9"/>
    <w:rsid w:val="00050DE7"/>
    <w:rsid w:val="00050F6F"/>
    <w:rsid w:val="00051517"/>
    <w:rsid w:val="00051852"/>
    <w:rsid w:val="0005187F"/>
    <w:rsid w:val="00051C7B"/>
    <w:rsid w:val="00052703"/>
    <w:rsid w:val="00054449"/>
    <w:rsid w:val="00055520"/>
    <w:rsid w:val="00062146"/>
    <w:rsid w:val="00062CC5"/>
    <w:rsid w:val="000635B7"/>
    <w:rsid w:val="00064997"/>
    <w:rsid w:val="00064C67"/>
    <w:rsid w:val="000653D2"/>
    <w:rsid w:val="0006673F"/>
    <w:rsid w:val="00067658"/>
    <w:rsid w:val="0007098F"/>
    <w:rsid w:val="000712B4"/>
    <w:rsid w:val="000726F8"/>
    <w:rsid w:val="000728B6"/>
    <w:rsid w:val="00072D44"/>
    <w:rsid w:val="0007347E"/>
    <w:rsid w:val="00074496"/>
    <w:rsid w:val="000746B2"/>
    <w:rsid w:val="00074839"/>
    <w:rsid w:val="00074A0C"/>
    <w:rsid w:val="00074D5B"/>
    <w:rsid w:val="00074E14"/>
    <w:rsid w:val="000750B3"/>
    <w:rsid w:val="000751B2"/>
    <w:rsid w:val="00075382"/>
    <w:rsid w:val="00076001"/>
    <w:rsid w:val="0007613B"/>
    <w:rsid w:val="00076143"/>
    <w:rsid w:val="000763BD"/>
    <w:rsid w:val="000777AA"/>
    <w:rsid w:val="000807C3"/>
    <w:rsid w:val="00080A1E"/>
    <w:rsid w:val="00080D04"/>
    <w:rsid w:val="00080FDF"/>
    <w:rsid w:val="000816C8"/>
    <w:rsid w:val="00081FF8"/>
    <w:rsid w:val="0008290C"/>
    <w:rsid w:val="000830C1"/>
    <w:rsid w:val="00083332"/>
    <w:rsid w:val="00084256"/>
    <w:rsid w:val="0008450B"/>
    <w:rsid w:val="00084D09"/>
    <w:rsid w:val="00087079"/>
    <w:rsid w:val="000870BD"/>
    <w:rsid w:val="00087164"/>
    <w:rsid w:val="00090937"/>
    <w:rsid w:val="00091150"/>
    <w:rsid w:val="00091212"/>
    <w:rsid w:val="0009123B"/>
    <w:rsid w:val="0009148F"/>
    <w:rsid w:val="00091613"/>
    <w:rsid w:val="00092069"/>
    <w:rsid w:val="00092D17"/>
    <w:rsid w:val="000932A4"/>
    <w:rsid w:val="000939B6"/>
    <w:rsid w:val="000944F5"/>
    <w:rsid w:val="00096281"/>
    <w:rsid w:val="00096574"/>
    <w:rsid w:val="00097156"/>
    <w:rsid w:val="000973F7"/>
    <w:rsid w:val="000A06DB"/>
    <w:rsid w:val="000A06F7"/>
    <w:rsid w:val="000A16F2"/>
    <w:rsid w:val="000A176A"/>
    <w:rsid w:val="000A196B"/>
    <w:rsid w:val="000A1E9F"/>
    <w:rsid w:val="000A27BE"/>
    <w:rsid w:val="000A2DC4"/>
    <w:rsid w:val="000A3299"/>
    <w:rsid w:val="000A47C9"/>
    <w:rsid w:val="000A5717"/>
    <w:rsid w:val="000A5E7B"/>
    <w:rsid w:val="000A6010"/>
    <w:rsid w:val="000A675F"/>
    <w:rsid w:val="000A72A0"/>
    <w:rsid w:val="000B0391"/>
    <w:rsid w:val="000B1A37"/>
    <w:rsid w:val="000B2751"/>
    <w:rsid w:val="000B2EBE"/>
    <w:rsid w:val="000B3C8B"/>
    <w:rsid w:val="000B4A17"/>
    <w:rsid w:val="000B4FC2"/>
    <w:rsid w:val="000B5C59"/>
    <w:rsid w:val="000B663C"/>
    <w:rsid w:val="000B7471"/>
    <w:rsid w:val="000B7777"/>
    <w:rsid w:val="000B7D56"/>
    <w:rsid w:val="000C06C2"/>
    <w:rsid w:val="000C0ADB"/>
    <w:rsid w:val="000C148F"/>
    <w:rsid w:val="000C1DA7"/>
    <w:rsid w:val="000C1E66"/>
    <w:rsid w:val="000C24D4"/>
    <w:rsid w:val="000C3A47"/>
    <w:rsid w:val="000C3EC3"/>
    <w:rsid w:val="000C4317"/>
    <w:rsid w:val="000C47CA"/>
    <w:rsid w:val="000C4EB2"/>
    <w:rsid w:val="000C4F23"/>
    <w:rsid w:val="000C4FFE"/>
    <w:rsid w:val="000C5274"/>
    <w:rsid w:val="000C537C"/>
    <w:rsid w:val="000C56A2"/>
    <w:rsid w:val="000C73D0"/>
    <w:rsid w:val="000C751B"/>
    <w:rsid w:val="000C77DC"/>
    <w:rsid w:val="000D0694"/>
    <w:rsid w:val="000D0F51"/>
    <w:rsid w:val="000D10E9"/>
    <w:rsid w:val="000D175F"/>
    <w:rsid w:val="000D1B02"/>
    <w:rsid w:val="000D20E2"/>
    <w:rsid w:val="000D2BC8"/>
    <w:rsid w:val="000D30C2"/>
    <w:rsid w:val="000D3796"/>
    <w:rsid w:val="000D3EAF"/>
    <w:rsid w:val="000D3F84"/>
    <w:rsid w:val="000D47BE"/>
    <w:rsid w:val="000D4D91"/>
    <w:rsid w:val="000D509F"/>
    <w:rsid w:val="000D50B3"/>
    <w:rsid w:val="000D56BF"/>
    <w:rsid w:val="000D56C3"/>
    <w:rsid w:val="000D61D9"/>
    <w:rsid w:val="000D63F8"/>
    <w:rsid w:val="000D6428"/>
    <w:rsid w:val="000D6CE5"/>
    <w:rsid w:val="000D6D0D"/>
    <w:rsid w:val="000D6F29"/>
    <w:rsid w:val="000D7663"/>
    <w:rsid w:val="000E07DE"/>
    <w:rsid w:val="000E0D64"/>
    <w:rsid w:val="000E132B"/>
    <w:rsid w:val="000E16C0"/>
    <w:rsid w:val="000E1B80"/>
    <w:rsid w:val="000E1B8A"/>
    <w:rsid w:val="000E2884"/>
    <w:rsid w:val="000E3857"/>
    <w:rsid w:val="000E418F"/>
    <w:rsid w:val="000E4478"/>
    <w:rsid w:val="000E4B09"/>
    <w:rsid w:val="000E563B"/>
    <w:rsid w:val="000E6073"/>
    <w:rsid w:val="000E6263"/>
    <w:rsid w:val="000E66FE"/>
    <w:rsid w:val="000E7915"/>
    <w:rsid w:val="000F014F"/>
    <w:rsid w:val="000F1776"/>
    <w:rsid w:val="000F1990"/>
    <w:rsid w:val="000F22C5"/>
    <w:rsid w:val="000F2562"/>
    <w:rsid w:val="000F27BA"/>
    <w:rsid w:val="000F2CD7"/>
    <w:rsid w:val="000F32CA"/>
    <w:rsid w:val="000F40F4"/>
    <w:rsid w:val="000F4BC5"/>
    <w:rsid w:val="000F5D44"/>
    <w:rsid w:val="000F699F"/>
    <w:rsid w:val="000F7087"/>
    <w:rsid w:val="00100768"/>
    <w:rsid w:val="00101E07"/>
    <w:rsid w:val="0010212D"/>
    <w:rsid w:val="00102E83"/>
    <w:rsid w:val="001035DA"/>
    <w:rsid w:val="001039CC"/>
    <w:rsid w:val="00104617"/>
    <w:rsid w:val="0010556E"/>
    <w:rsid w:val="00105BE2"/>
    <w:rsid w:val="001064AD"/>
    <w:rsid w:val="00106523"/>
    <w:rsid w:val="00106842"/>
    <w:rsid w:val="0011099A"/>
    <w:rsid w:val="00110D1D"/>
    <w:rsid w:val="0011136B"/>
    <w:rsid w:val="001118E0"/>
    <w:rsid w:val="00111DC9"/>
    <w:rsid w:val="0011276A"/>
    <w:rsid w:val="001128D2"/>
    <w:rsid w:val="00112D92"/>
    <w:rsid w:val="00113337"/>
    <w:rsid w:val="001137FE"/>
    <w:rsid w:val="00114AC4"/>
    <w:rsid w:val="00115064"/>
    <w:rsid w:val="0011570D"/>
    <w:rsid w:val="0011638A"/>
    <w:rsid w:val="00116BE1"/>
    <w:rsid w:val="001178DC"/>
    <w:rsid w:val="00117DC4"/>
    <w:rsid w:val="00120AAC"/>
    <w:rsid w:val="00121D8F"/>
    <w:rsid w:val="00121DAA"/>
    <w:rsid w:val="00122030"/>
    <w:rsid w:val="0012262A"/>
    <w:rsid w:val="00122C48"/>
    <w:rsid w:val="00122E20"/>
    <w:rsid w:val="00123035"/>
    <w:rsid w:val="00123E23"/>
    <w:rsid w:val="00124F5D"/>
    <w:rsid w:val="0012516D"/>
    <w:rsid w:val="00125298"/>
    <w:rsid w:val="00125D31"/>
    <w:rsid w:val="0012779A"/>
    <w:rsid w:val="001302F1"/>
    <w:rsid w:val="0013076D"/>
    <w:rsid w:val="00130B52"/>
    <w:rsid w:val="00130E66"/>
    <w:rsid w:val="00130EA6"/>
    <w:rsid w:val="00131290"/>
    <w:rsid w:val="00132072"/>
    <w:rsid w:val="001324E9"/>
    <w:rsid w:val="001358BA"/>
    <w:rsid w:val="00135936"/>
    <w:rsid w:val="00135D9C"/>
    <w:rsid w:val="001360C4"/>
    <w:rsid w:val="00136983"/>
    <w:rsid w:val="0014043A"/>
    <w:rsid w:val="001408E9"/>
    <w:rsid w:val="00140C9B"/>
    <w:rsid w:val="00141251"/>
    <w:rsid w:val="00141254"/>
    <w:rsid w:val="00141469"/>
    <w:rsid w:val="00142742"/>
    <w:rsid w:val="00143B46"/>
    <w:rsid w:val="001441FF"/>
    <w:rsid w:val="0014486F"/>
    <w:rsid w:val="00144FB3"/>
    <w:rsid w:val="0014693B"/>
    <w:rsid w:val="00146BA3"/>
    <w:rsid w:val="00146D08"/>
    <w:rsid w:val="001474D9"/>
    <w:rsid w:val="00150254"/>
    <w:rsid w:val="00150762"/>
    <w:rsid w:val="0015163A"/>
    <w:rsid w:val="001517B2"/>
    <w:rsid w:val="00151ADF"/>
    <w:rsid w:val="00151D46"/>
    <w:rsid w:val="00151EDF"/>
    <w:rsid w:val="00151FE7"/>
    <w:rsid w:val="00152904"/>
    <w:rsid w:val="00153137"/>
    <w:rsid w:val="00153A14"/>
    <w:rsid w:val="00154EA6"/>
    <w:rsid w:val="0015551F"/>
    <w:rsid w:val="00155758"/>
    <w:rsid w:val="00155DA1"/>
    <w:rsid w:val="00156C19"/>
    <w:rsid w:val="00157557"/>
    <w:rsid w:val="0015790F"/>
    <w:rsid w:val="00157C48"/>
    <w:rsid w:val="00157EAA"/>
    <w:rsid w:val="0016014D"/>
    <w:rsid w:val="00160F17"/>
    <w:rsid w:val="00161F76"/>
    <w:rsid w:val="00162590"/>
    <w:rsid w:val="001630ED"/>
    <w:rsid w:val="001632C2"/>
    <w:rsid w:val="001637FD"/>
    <w:rsid w:val="00163CF9"/>
    <w:rsid w:val="00164C7A"/>
    <w:rsid w:val="0016501C"/>
    <w:rsid w:val="0016567A"/>
    <w:rsid w:val="001657D0"/>
    <w:rsid w:val="00165AF3"/>
    <w:rsid w:val="00166192"/>
    <w:rsid w:val="00167905"/>
    <w:rsid w:val="0016794C"/>
    <w:rsid w:val="00170428"/>
    <w:rsid w:val="001707D9"/>
    <w:rsid w:val="00170E2A"/>
    <w:rsid w:val="001722C3"/>
    <w:rsid w:val="00172D0A"/>
    <w:rsid w:val="0017315B"/>
    <w:rsid w:val="00173246"/>
    <w:rsid w:val="001736D8"/>
    <w:rsid w:val="001753A4"/>
    <w:rsid w:val="00175AA2"/>
    <w:rsid w:val="00175F2B"/>
    <w:rsid w:val="001761C7"/>
    <w:rsid w:val="001775CA"/>
    <w:rsid w:val="001779DA"/>
    <w:rsid w:val="00177E49"/>
    <w:rsid w:val="00181365"/>
    <w:rsid w:val="00181F92"/>
    <w:rsid w:val="0018309B"/>
    <w:rsid w:val="00184600"/>
    <w:rsid w:val="001854A0"/>
    <w:rsid w:val="001857FC"/>
    <w:rsid w:val="00185D5F"/>
    <w:rsid w:val="00185E50"/>
    <w:rsid w:val="00186295"/>
    <w:rsid w:val="00186E80"/>
    <w:rsid w:val="00187A12"/>
    <w:rsid w:val="00187E90"/>
    <w:rsid w:val="001909CA"/>
    <w:rsid w:val="001922DE"/>
    <w:rsid w:val="001926AB"/>
    <w:rsid w:val="0019274A"/>
    <w:rsid w:val="00192FCA"/>
    <w:rsid w:val="00193B86"/>
    <w:rsid w:val="001950C3"/>
    <w:rsid w:val="001955B5"/>
    <w:rsid w:val="00196040"/>
    <w:rsid w:val="0019729C"/>
    <w:rsid w:val="001974F9"/>
    <w:rsid w:val="00197B5F"/>
    <w:rsid w:val="001A011C"/>
    <w:rsid w:val="001A0169"/>
    <w:rsid w:val="001A1348"/>
    <w:rsid w:val="001A1CD1"/>
    <w:rsid w:val="001A229F"/>
    <w:rsid w:val="001A25AB"/>
    <w:rsid w:val="001A2AE8"/>
    <w:rsid w:val="001A2E76"/>
    <w:rsid w:val="001A3EA2"/>
    <w:rsid w:val="001A496A"/>
    <w:rsid w:val="001A61E4"/>
    <w:rsid w:val="001A6A92"/>
    <w:rsid w:val="001A7025"/>
    <w:rsid w:val="001A72B6"/>
    <w:rsid w:val="001A750E"/>
    <w:rsid w:val="001A7C68"/>
    <w:rsid w:val="001A7CEE"/>
    <w:rsid w:val="001B014B"/>
    <w:rsid w:val="001B0DC8"/>
    <w:rsid w:val="001B0E63"/>
    <w:rsid w:val="001B1163"/>
    <w:rsid w:val="001B2084"/>
    <w:rsid w:val="001B21A6"/>
    <w:rsid w:val="001B33AA"/>
    <w:rsid w:val="001B33D1"/>
    <w:rsid w:val="001B3AE0"/>
    <w:rsid w:val="001B4E08"/>
    <w:rsid w:val="001B4E4E"/>
    <w:rsid w:val="001B4EDA"/>
    <w:rsid w:val="001B5402"/>
    <w:rsid w:val="001B585A"/>
    <w:rsid w:val="001B5C40"/>
    <w:rsid w:val="001B5DCA"/>
    <w:rsid w:val="001B6D7F"/>
    <w:rsid w:val="001C056F"/>
    <w:rsid w:val="001C0FBC"/>
    <w:rsid w:val="001C153A"/>
    <w:rsid w:val="001C162B"/>
    <w:rsid w:val="001C174B"/>
    <w:rsid w:val="001C1CDD"/>
    <w:rsid w:val="001C26EE"/>
    <w:rsid w:val="001C3856"/>
    <w:rsid w:val="001C397B"/>
    <w:rsid w:val="001C44C4"/>
    <w:rsid w:val="001C48D4"/>
    <w:rsid w:val="001C524B"/>
    <w:rsid w:val="001C5447"/>
    <w:rsid w:val="001C5524"/>
    <w:rsid w:val="001D0647"/>
    <w:rsid w:val="001D11BE"/>
    <w:rsid w:val="001D1BB3"/>
    <w:rsid w:val="001D1FDB"/>
    <w:rsid w:val="001D245D"/>
    <w:rsid w:val="001D2575"/>
    <w:rsid w:val="001D27DB"/>
    <w:rsid w:val="001D418B"/>
    <w:rsid w:val="001D52D0"/>
    <w:rsid w:val="001D5766"/>
    <w:rsid w:val="001D5CFE"/>
    <w:rsid w:val="001D60BB"/>
    <w:rsid w:val="001D687E"/>
    <w:rsid w:val="001D6FCA"/>
    <w:rsid w:val="001E0899"/>
    <w:rsid w:val="001E29F7"/>
    <w:rsid w:val="001E36E3"/>
    <w:rsid w:val="001E5747"/>
    <w:rsid w:val="001E58CB"/>
    <w:rsid w:val="001E6E17"/>
    <w:rsid w:val="001E743F"/>
    <w:rsid w:val="001E75EC"/>
    <w:rsid w:val="001F0194"/>
    <w:rsid w:val="001F2772"/>
    <w:rsid w:val="001F2D2C"/>
    <w:rsid w:val="001F2F1C"/>
    <w:rsid w:val="001F3872"/>
    <w:rsid w:val="001F389E"/>
    <w:rsid w:val="001F41B0"/>
    <w:rsid w:val="001F4AA9"/>
    <w:rsid w:val="001F50F3"/>
    <w:rsid w:val="001F5272"/>
    <w:rsid w:val="001F5617"/>
    <w:rsid w:val="001F59BA"/>
    <w:rsid w:val="001F6050"/>
    <w:rsid w:val="001F6D21"/>
    <w:rsid w:val="001F75BF"/>
    <w:rsid w:val="001F7AF9"/>
    <w:rsid w:val="001F7CE5"/>
    <w:rsid w:val="001F7F43"/>
    <w:rsid w:val="0020035C"/>
    <w:rsid w:val="0020062C"/>
    <w:rsid w:val="002008D4"/>
    <w:rsid w:val="00201E60"/>
    <w:rsid w:val="00201EE7"/>
    <w:rsid w:val="00202620"/>
    <w:rsid w:val="00202844"/>
    <w:rsid w:val="00202AB3"/>
    <w:rsid w:val="00203481"/>
    <w:rsid w:val="002052DC"/>
    <w:rsid w:val="00205946"/>
    <w:rsid w:val="00205A2D"/>
    <w:rsid w:val="00205E85"/>
    <w:rsid w:val="0020664C"/>
    <w:rsid w:val="00207934"/>
    <w:rsid w:val="00207AD7"/>
    <w:rsid w:val="00207E5C"/>
    <w:rsid w:val="00210D4C"/>
    <w:rsid w:val="0021218F"/>
    <w:rsid w:val="00212676"/>
    <w:rsid w:val="00214972"/>
    <w:rsid w:val="00215A4E"/>
    <w:rsid w:val="00217F2C"/>
    <w:rsid w:val="002208C2"/>
    <w:rsid w:val="00220EB6"/>
    <w:rsid w:val="002227EE"/>
    <w:rsid w:val="00223A6F"/>
    <w:rsid w:val="00223E82"/>
    <w:rsid w:val="00224121"/>
    <w:rsid w:val="0022443B"/>
    <w:rsid w:val="002245AE"/>
    <w:rsid w:val="00224849"/>
    <w:rsid w:val="00224FCC"/>
    <w:rsid w:val="002253BA"/>
    <w:rsid w:val="00225C80"/>
    <w:rsid w:val="0022614C"/>
    <w:rsid w:val="00226BF1"/>
    <w:rsid w:val="00227815"/>
    <w:rsid w:val="0023019F"/>
    <w:rsid w:val="002301B3"/>
    <w:rsid w:val="00230219"/>
    <w:rsid w:val="002312A1"/>
    <w:rsid w:val="002316B4"/>
    <w:rsid w:val="00233801"/>
    <w:rsid w:val="00234225"/>
    <w:rsid w:val="00234BF8"/>
    <w:rsid w:val="00236420"/>
    <w:rsid w:val="00236C0D"/>
    <w:rsid w:val="0024031B"/>
    <w:rsid w:val="00240A2C"/>
    <w:rsid w:val="00241185"/>
    <w:rsid w:val="00243746"/>
    <w:rsid w:val="00243863"/>
    <w:rsid w:val="002446A2"/>
    <w:rsid w:val="002453F5"/>
    <w:rsid w:val="00245EF9"/>
    <w:rsid w:val="002475F7"/>
    <w:rsid w:val="0024786B"/>
    <w:rsid w:val="002505FD"/>
    <w:rsid w:val="0025063A"/>
    <w:rsid w:val="0025086F"/>
    <w:rsid w:val="002518ED"/>
    <w:rsid w:val="00251B99"/>
    <w:rsid w:val="0025238E"/>
    <w:rsid w:val="00253523"/>
    <w:rsid w:val="00253AF5"/>
    <w:rsid w:val="0025422F"/>
    <w:rsid w:val="00254829"/>
    <w:rsid w:val="0025586C"/>
    <w:rsid w:val="00256335"/>
    <w:rsid w:val="00257B8F"/>
    <w:rsid w:val="00261312"/>
    <w:rsid w:val="00261550"/>
    <w:rsid w:val="00261BFF"/>
    <w:rsid w:val="00262A55"/>
    <w:rsid w:val="00262E21"/>
    <w:rsid w:val="0026326F"/>
    <w:rsid w:val="00263AA4"/>
    <w:rsid w:val="002645FB"/>
    <w:rsid w:val="00264BA4"/>
    <w:rsid w:val="00264D14"/>
    <w:rsid w:val="0026596D"/>
    <w:rsid w:val="0026646B"/>
    <w:rsid w:val="00270054"/>
    <w:rsid w:val="0027056F"/>
    <w:rsid w:val="002716A1"/>
    <w:rsid w:val="00271F1D"/>
    <w:rsid w:val="00272860"/>
    <w:rsid w:val="00272A0C"/>
    <w:rsid w:val="00274663"/>
    <w:rsid w:val="0027588A"/>
    <w:rsid w:val="00276736"/>
    <w:rsid w:val="002767BA"/>
    <w:rsid w:val="00276847"/>
    <w:rsid w:val="002770AC"/>
    <w:rsid w:val="00280003"/>
    <w:rsid w:val="0028141A"/>
    <w:rsid w:val="002817BE"/>
    <w:rsid w:val="00281B9E"/>
    <w:rsid w:val="00281BE9"/>
    <w:rsid w:val="00281F04"/>
    <w:rsid w:val="0028202A"/>
    <w:rsid w:val="00282A0F"/>
    <w:rsid w:val="002840A5"/>
    <w:rsid w:val="00286C20"/>
    <w:rsid w:val="00287A61"/>
    <w:rsid w:val="00287BFE"/>
    <w:rsid w:val="00292237"/>
    <w:rsid w:val="00292864"/>
    <w:rsid w:val="002933D5"/>
    <w:rsid w:val="00294497"/>
    <w:rsid w:val="00294FF0"/>
    <w:rsid w:val="002956FD"/>
    <w:rsid w:val="0029647E"/>
    <w:rsid w:val="00296F49"/>
    <w:rsid w:val="00296FE0"/>
    <w:rsid w:val="0029738C"/>
    <w:rsid w:val="002A0323"/>
    <w:rsid w:val="002A053F"/>
    <w:rsid w:val="002A0B26"/>
    <w:rsid w:val="002A0CF2"/>
    <w:rsid w:val="002A153B"/>
    <w:rsid w:val="002A18DB"/>
    <w:rsid w:val="002A1D77"/>
    <w:rsid w:val="002A2AAE"/>
    <w:rsid w:val="002A2FBD"/>
    <w:rsid w:val="002A32DA"/>
    <w:rsid w:val="002A3D6C"/>
    <w:rsid w:val="002A4764"/>
    <w:rsid w:val="002A4C0A"/>
    <w:rsid w:val="002A60FA"/>
    <w:rsid w:val="002A692C"/>
    <w:rsid w:val="002A6F47"/>
    <w:rsid w:val="002A749A"/>
    <w:rsid w:val="002A77CA"/>
    <w:rsid w:val="002A78FE"/>
    <w:rsid w:val="002A7B92"/>
    <w:rsid w:val="002A7E23"/>
    <w:rsid w:val="002B0636"/>
    <w:rsid w:val="002B14EB"/>
    <w:rsid w:val="002B2212"/>
    <w:rsid w:val="002B2218"/>
    <w:rsid w:val="002B25B0"/>
    <w:rsid w:val="002B3379"/>
    <w:rsid w:val="002B3682"/>
    <w:rsid w:val="002B3933"/>
    <w:rsid w:val="002B3B6C"/>
    <w:rsid w:val="002B4A8D"/>
    <w:rsid w:val="002B4CE4"/>
    <w:rsid w:val="002B4DB1"/>
    <w:rsid w:val="002B4DF4"/>
    <w:rsid w:val="002B4FB2"/>
    <w:rsid w:val="002B5001"/>
    <w:rsid w:val="002B5337"/>
    <w:rsid w:val="002B5526"/>
    <w:rsid w:val="002B57F4"/>
    <w:rsid w:val="002B58F5"/>
    <w:rsid w:val="002B5DFD"/>
    <w:rsid w:val="002B6D2B"/>
    <w:rsid w:val="002B7305"/>
    <w:rsid w:val="002B7343"/>
    <w:rsid w:val="002B7981"/>
    <w:rsid w:val="002B7A1C"/>
    <w:rsid w:val="002C0757"/>
    <w:rsid w:val="002C175E"/>
    <w:rsid w:val="002C1E09"/>
    <w:rsid w:val="002C20B2"/>
    <w:rsid w:val="002C254C"/>
    <w:rsid w:val="002C2BD4"/>
    <w:rsid w:val="002C30F2"/>
    <w:rsid w:val="002C3235"/>
    <w:rsid w:val="002C3855"/>
    <w:rsid w:val="002C4B59"/>
    <w:rsid w:val="002C4DBD"/>
    <w:rsid w:val="002C5553"/>
    <w:rsid w:val="002C6565"/>
    <w:rsid w:val="002C7DE6"/>
    <w:rsid w:val="002D07D3"/>
    <w:rsid w:val="002D0989"/>
    <w:rsid w:val="002D10B1"/>
    <w:rsid w:val="002D10DA"/>
    <w:rsid w:val="002D1597"/>
    <w:rsid w:val="002D1C00"/>
    <w:rsid w:val="002D1F9C"/>
    <w:rsid w:val="002D23D3"/>
    <w:rsid w:val="002D273A"/>
    <w:rsid w:val="002D3B46"/>
    <w:rsid w:val="002D43B6"/>
    <w:rsid w:val="002D4B35"/>
    <w:rsid w:val="002D4BA5"/>
    <w:rsid w:val="002D6189"/>
    <w:rsid w:val="002E0369"/>
    <w:rsid w:val="002E08B9"/>
    <w:rsid w:val="002E0DBA"/>
    <w:rsid w:val="002E1653"/>
    <w:rsid w:val="002E2040"/>
    <w:rsid w:val="002E27CE"/>
    <w:rsid w:val="002E2BC1"/>
    <w:rsid w:val="002E2C2F"/>
    <w:rsid w:val="002E31FD"/>
    <w:rsid w:val="002E34BB"/>
    <w:rsid w:val="002E3612"/>
    <w:rsid w:val="002E41BD"/>
    <w:rsid w:val="002E478D"/>
    <w:rsid w:val="002E4AF1"/>
    <w:rsid w:val="002E51C6"/>
    <w:rsid w:val="002E573A"/>
    <w:rsid w:val="002E573C"/>
    <w:rsid w:val="002E5887"/>
    <w:rsid w:val="002E58D6"/>
    <w:rsid w:val="002E66CA"/>
    <w:rsid w:val="002E6BFD"/>
    <w:rsid w:val="002E7273"/>
    <w:rsid w:val="002F0E9D"/>
    <w:rsid w:val="002F129E"/>
    <w:rsid w:val="002F12F7"/>
    <w:rsid w:val="002F23D6"/>
    <w:rsid w:val="002F2A59"/>
    <w:rsid w:val="002F2AB4"/>
    <w:rsid w:val="002F3172"/>
    <w:rsid w:val="002F33E4"/>
    <w:rsid w:val="002F4EF6"/>
    <w:rsid w:val="002F4F4A"/>
    <w:rsid w:val="002F6957"/>
    <w:rsid w:val="0030027D"/>
    <w:rsid w:val="00301B65"/>
    <w:rsid w:val="00301D8A"/>
    <w:rsid w:val="003021DB"/>
    <w:rsid w:val="003025DC"/>
    <w:rsid w:val="0030325A"/>
    <w:rsid w:val="0030419C"/>
    <w:rsid w:val="003055B8"/>
    <w:rsid w:val="00305ADF"/>
    <w:rsid w:val="003061DA"/>
    <w:rsid w:val="00307244"/>
    <w:rsid w:val="0030775D"/>
    <w:rsid w:val="00307AA3"/>
    <w:rsid w:val="00310D3C"/>
    <w:rsid w:val="00311B6D"/>
    <w:rsid w:val="00311CD5"/>
    <w:rsid w:val="00311F2C"/>
    <w:rsid w:val="00312520"/>
    <w:rsid w:val="00312F20"/>
    <w:rsid w:val="00314373"/>
    <w:rsid w:val="003143AA"/>
    <w:rsid w:val="0031454F"/>
    <w:rsid w:val="00314567"/>
    <w:rsid w:val="003151E1"/>
    <w:rsid w:val="00315850"/>
    <w:rsid w:val="003162EE"/>
    <w:rsid w:val="003168FC"/>
    <w:rsid w:val="00316B29"/>
    <w:rsid w:val="00317334"/>
    <w:rsid w:val="003173F5"/>
    <w:rsid w:val="00317AE7"/>
    <w:rsid w:val="00317B93"/>
    <w:rsid w:val="00317C09"/>
    <w:rsid w:val="00321259"/>
    <w:rsid w:val="003218D0"/>
    <w:rsid w:val="00321A74"/>
    <w:rsid w:val="00321E48"/>
    <w:rsid w:val="00322558"/>
    <w:rsid w:val="00322FF3"/>
    <w:rsid w:val="0032333E"/>
    <w:rsid w:val="00323D65"/>
    <w:rsid w:val="00325189"/>
    <w:rsid w:val="00325665"/>
    <w:rsid w:val="00326C52"/>
    <w:rsid w:val="00327143"/>
    <w:rsid w:val="0032714A"/>
    <w:rsid w:val="00327C86"/>
    <w:rsid w:val="00330A04"/>
    <w:rsid w:val="00331753"/>
    <w:rsid w:val="00332AFD"/>
    <w:rsid w:val="00332C43"/>
    <w:rsid w:val="003340EC"/>
    <w:rsid w:val="00334CF1"/>
    <w:rsid w:val="00334EC2"/>
    <w:rsid w:val="00336E90"/>
    <w:rsid w:val="00337FFB"/>
    <w:rsid w:val="00340208"/>
    <w:rsid w:val="00340B56"/>
    <w:rsid w:val="003410E9"/>
    <w:rsid w:val="00341FF1"/>
    <w:rsid w:val="003429B8"/>
    <w:rsid w:val="003435CE"/>
    <w:rsid w:val="003448B1"/>
    <w:rsid w:val="00345320"/>
    <w:rsid w:val="00345D99"/>
    <w:rsid w:val="00346972"/>
    <w:rsid w:val="00347238"/>
    <w:rsid w:val="00347AA9"/>
    <w:rsid w:val="00347E18"/>
    <w:rsid w:val="00347E19"/>
    <w:rsid w:val="00347E22"/>
    <w:rsid w:val="003501EB"/>
    <w:rsid w:val="00350B65"/>
    <w:rsid w:val="003510C8"/>
    <w:rsid w:val="00351823"/>
    <w:rsid w:val="0035228A"/>
    <w:rsid w:val="00352C4A"/>
    <w:rsid w:val="00352DC4"/>
    <w:rsid w:val="00352EB0"/>
    <w:rsid w:val="00353350"/>
    <w:rsid w:val="00353685"/>
    <w:rsid w:val="00353FC1"/>
    <w:rsid w:val="00354A49"/>
    <w:rsid w:val="0035594A"/>
    <w:rsid w:val="00356A98"/>
    <w:rsid w:val="00357092"/>
    <w:rsid w:val="003570AB"/>
    <w:rsid w:val="00357876"/>
    <w:rsid w:val="00357BFE"/>
    <w:rsid w:val="00361402"/>
    <w:rsid w:val="003616B0"/>
    <w:rsid w:val="00361715"/>
    <w:rsid w:val="00361E4C"/>
    <w:rsid w:val="00362188"/>
    <w:rsid w:val="00362F7C"/>
    <w:rsid w:val="00363711"/>
    <w:rsid w:val="003641DF"/>
    <w:rsid w:val="003648F4"/>
    <w:rsid w:val="0036717C"/>
    <w:rsid w:val="0037157F"/>
    <w:rsid w:val="003716E4"/>
    <w:rsid w:val="00372767"/>
    <w:rsid w:val="00372F3A"/>
    <w:rsid w:val="003735F7"/>
    <w:rsid w:val="00374A87"/>
    <w:rsid w:val="0037572F"/>
    <w:rsid w:val="00376D75"/>
    <w:rsid w:val="00376DC3"/>
    <w:rsid w:val="003804B4"/>
    <w:rsid w:val="00380597"/>
    <w:rsid w:val="00380D79"/>
    <w:rsid w:val="003812B0"/>
    <w:rsid w:val="003813C8"/>
    <w:rsid w:val="00381818"/>
    <w:rsid w:val="003819D1"/>
    <w:rsid w:val="00381B5C"/>
    <w:rsid w:val="003834D7"/>
    <w:rsid w:val="00383547"/>
    <w:rsid w:val="00383955"/>
    <w:rsid w:val="00385957"/>
    <w:rsid w:val="00386254"/>
    <w:rsid w:val="00386797"/>
    <w:rsid w:val="00387225"/>
    <w:rsid w:val="003902C6"/>
    <w:rsid w:val="00390401"/>
    <w:rsid w:val="00391126"/>
    <w:rsid w:val="0039145E"/>
    <w:rsid w:val="00392FB7"/>
    <w:rsid w:val="00394893"/>
    <w:rsid w:val="00394E7C"/>
    <w:rsid w:val="00394F21"/>
    <w:rsid w:val="003954C4"/>
    <w:rsid w:val="0039560B"/>
    <w:rsid w:val="00395B00"/>
    <w:rsid w:val="00395CC9"/>
    <w:rsid w:val="00396037"/>
    <w:rsid w:val="00396415"/>
    <w:rsid w:val="00396427"/>
    <w:rsid w:val="003A00A2"/>
    <w:rsid w:val="003A020B"/>
    <w:rsid w:val="003A06C9"/>
    <w:rsid w:val="003A0A42"/>
    <w:rsid w:val="003A0C4F"/>
    <w:rsid w:val="003A10C4"/>
    <w:rsid w:val="003A1466"/>
    <w:rsid w:val="003A2519"/>
    <w:rsid w:val="003A2F13"/>
    <w:rsid w:val="003A3249"/>
    <w:rsid w:val="003A3E05"/>
    <w:rsid w:val="003A3E89"/>
    <w:rsid w:val="003A422D"/>
    <w:rsid w:val="003A4D71"/>
    <w:rsid w:val="003A4F9A"/>
    <w:rsid w:val="003A4FAA"/>
    <w:rsid w:val="003A5210"/>
    <w:rsid w:val="003A56B1"/>
    <w:rsid w:val="003A58E3"/>
    <w:rsid w:val="003A5A21"/>
    <w:rsid w:val="003A6402"/>
    <w:rsid w:val="003A643D"/>
    <w:rsid w:val="003A6658"/>
    <w:rsid w:val="003A7251"/>
    <w:rsid w:val="003A7341"/>
    <w:rsid w:val="003B053F"/>
    <w:rsid w:val="003B076A"/>
    <w:rsid w:val="003B086C"/>
    <w:rsid w:val="003B16C4"/>
    <w:rsid w:val="003B18D2"/>
    <w:rsid w:val="003B1BD0"/>
    <w:rsid w:val="003B27A2"/>
    <w:rsid w:val="003B2EEE"/>
    <w:rsid w:val="003B4509"/>
    <w:rsid w:val="003B5973"/>
    <w:rsid w:val="003B726A"/>
    <w:rsid w:val="003B7390"/>
    <w:rsid w:val="003B77A8"/>
    <w:rsid w:val="003B7803"/>
    <w:rsid w:val="003B784D"/>
    <w:rsid w:val="003C0D2D"/>
    <w:rsid w:val="003C11C4"/>
    <w:rsid w:val="003C356A"/>
    <w:rsid w:val="003C3E54"/>
    <w:rsid w:val="003C47C9"/>
    <w:rsid w:val="003C4B79"/>
    <w:rsid w:val="003C4D58"/>
    <w:rsid w:val="003C4F97"/>
    <w:rsid w:val="003C6344"/>
    <w:rsid w:val="003C6F3D"/>
    <w:rsid w:val="003C75F5"/>
    <w:rsid w:val="003C772E"/>
    <w:rsid w:val="003C7ED2"/>
    <w:rsid w:val="003C7EF6"/>
    <w:rsid w:val="003D042D"/>
    <w:rsid w:val="003D1CCD"/>
    <w:rsid w:val="003D1F2A"/>
    <w:rsid w:val="003D2472"/>
    <w:rsid w:val="003D259D"/>
    <w:rsid w:val="003D2863"/>
    <w:rsid w:val="003D29C1"/>
    <w:rsid w:val="003D2AC8"/>
    <w:rsid w:val="003D2B94"/>
    <w:rsid w:val="003D3091"/>
    <w:rsid w:val="003D309A"/>
    <w:rsid w:val="003D32D3"/>
    <w:rsid w:val="003D4F05"/>
    <w:rsid w:val="003D52B9"/>
    <w:rsid w:val="003D5997"/>
    <w:rsid w:val="003D5DB4"/>
    <w:rsid w:val="003D6A24"/>
    <w:rsid w:val="003D6C58"/>
    <w:rsid w:val="003D76DD"/>
    <w:rsid w:val="003E0CB5"/>
    <w:rsid w:val="003E1067"/>
    <w:rsid w:val="003E1239"/>
    <w:rsid w:val="003E1605"/>
    <w:rsid w:val="003E18F6"/>
    <w:rsid w:val="003E1CA1"/>
    <w:rsid w:val="003E1D59"/>
    <w:rsid w:val="003E303E"/>
    <w:rsid w:val="003E329C"/>
    <w:rsid w:val="003E3B74"/>
    <w:rsid w:val="003E3DD7"/>
    <w:rsid w:val="003E4020"/>
    <w:rsid w:val="003E544D"/>
    <w:rsid w:val="003E61FF"/>
    <w:rsid w:val="003E66DB"/>
    <w:rsid w:val="003E7353"/>
    <w:rsid w:val="003E7414"/>
    <w:rsid w:val="003F2379"/>
    <w:rsid w:val="003F299D"/>
    <w:rsid w:val="003F35C0"/>
    <w:rsid w:val="003F4529"/>
    <w:rsid w:val="003F4888"/>
    <w:rsid w:val="003F4EFD"/>
    <w:rsid w:val="003F5170"/>
    <w:rsid w:val="003F5FB3"/>
    <w:rsid w:val="003F6CF4"/>
    <w:rsid w:val="003F74AB"/>
    <w:rsid w:val="003F78CF"/>
    <w:rsid w:val="003F7D6E"/>
    <w:rsid w:val="00400250"/>
    <w:rsid w:val="004002AD"/>
    <w:rsid w:val="00401B4E"/>
    <w:rsid w:val="0040237F"/>
    <w:rsid w:val="00402804"/>
    <w:rsid w:val="0040288B"/>
    <w:rsid w:val="00402AEA"/>
    <w:rsid w:val="004030DB"/>
    <w:rsid w:val="0040348C"/>
    <w:rsid w:val="004035B7"/>
    <w:rsid w:val="00403957"/>
    <w:rsid w:val="00404A50"/>
    <w:rsid w:val="00406E29"/>
    <w:rsid w:val="00406E5F"/>
    <w:rsid w:val="00406F98"/>
    <w:rsid w:val="00411A08"/>
    <w:rsid w:val="00411C99"/>
    <w:rsid w:val="0041304B"/>
    <w:rsid w:val="00413073"/>
    <w:rsid w:val="00413944"/>
    <w:rsid w:val="00415700"/>
    <w:rsid w:val="0041594B"/>
    <w:rsid w:val="00416239"/>
    <w:rsid w:val="0041742E"/>
    <w:rsid w:val="004177FE"/>
    <w:rsid w:val="00417A0D"/>
    <w:rsid w:val="00420335"/>
    <w:rsid w:val="00420619"/>
    <w:rsid w:val="004208D5"/>
    <w:rsid w:val="00421E5A"/>
    <w:rsid w:val="00422B62"/>
    <w:rsid w:val="00423054"/>
    <w:rsid w:val="004238A9"/>
    <w:rsid w:val="00423BB3"/>
    <w:rsid w:val="004241AD"/>
    <w:rsid w:val="00424AE6"/>
    <w:rsid w:val="00424FE8"/>
    <w:rsid w:val="00425132"/>
    <w:rsid w:val="0042651A"/>
    <w:rsid w:val="004267A3"/>
    <w:rsid w:val="00427090"/>
    <w:rsid w:val="00430240"/>
    <w:rsid w:val="00430353"/>
    <w:rsid w:val="00430724"/>
    <w:rsid w:val="0043074D"/>
    <w:rsid w:val="004310D7"/>
    <w:rsid w:val="00431551"/>
    <w:rsid w:val="004316EB"/>
    <w:rsid w:val="0043186D"/>
    <w:rsid w:val="004320B2"/>
    <w:rsid w:val="00432273"/>
    <w:rsid w:val="00432289"/>
    <w:rsid w:val="00432713"/>
    <w:rsid w:val="0043284A"/>
    <w:rsid w:val="0043364A"/>
    <w:rsid w:val="00434294"/>
    <w:rsid w:val="0043542A"/>
    <w:rsid w:val="0043713A"/>
    <w:rsid w:val="00437199"/>
    <w:rsid w:val="004372A5"/>
    <w:rsid w:val="00437380"/>
    <w:rsid w:val="00437444"/>
    <w:rsid w:val="00440360"/>
    <w:rsid w:val="00440A01"/>
    <w:rsid w:val="00440A03"/>
    <w:rsid w:val="00443289"/>
    <w:rsid w:val="00443C97"/>
    <w:rsid w:val="00443CCE"/>
    <w:rsid w:val="00443F32"/>
    <w:rsid w:val="0044420E"/>
    <w:rsid w:val="00445916"/>
    <w:rsid w:val="004463E7"/>
    <w:rsid w:val="00446B58"/>
    <w:rsid w:val="0044752A"/>
    <w:rsid w:val="00447D97"/>
    <w:rsid w:val="00451541"/>
    <w:rsid w:val="004517C3"/>
    <w:rsid w:val="004518C0"/>
    <w:rsid w:val="0045192D"/>
    <w:rsid w:val="00451973"/>
    <w:rsid w:val="00451F22"/>
    <w:rsid w:val="00453410"/>
    <w:rsid w:val="00453BB3"/>
    <w:rsid w:val="00455216"/>
    <w:rsid w:val="00455936"/>
    <w:rsid w:val="004565F1"/>
    <w:rsid w:val="0045681D"/>
    <w:rsid w:val="00456F07"/>
    <w:rsid w:val="00457CC9"/>
    <w:rsid w:val="00460B2E"/>
    <w:rsid w:val="004615DC"/>
    <w:rsid w:val="0046188B"/>
    <w:rsid w:val="004625C4"/>
    <w:rsid w:val="004626EB"/>
    <w:rsid w:val="0046277A"/>
    <w:rsid w:val="00462E28"/>
    <w:rsid w:val="004649D8"/>
    <w:rsid w:val="004652F8"/>
    <w:rsid w:val="0046536D"/>
    <w:rsid w:val="0046760E"/>
    <w:rsid w:val="00467867"/>
    <w:rsid w:val="00470997"/>
    <w:rsid w:val="00470FEB"/>
    <w:rsid w:val="0047124C"/>
    <w:rsid w:val="00471453"/>
    <w:rsid w:val="004714A5"/>
    <w:rsid w:val="004716EF"/>
    <w:rsid w:val="00471848"/>
    <w:rsid w:val="00472F76"/>
    <w:rsid w:val="004733D2"/>
    <w:rsid w:val="004734E7"/>
    <w:rsid w:val="00473A0B"/>
    <w:rsid w:val="00473C0E"/>
    <w:rsid w:val="00473ED2"/>
    <w:rsid w:val="00474209"/>
    <w:rsid w:val="004746FD"/>
    <w:rsid w:val="004748C2"/>
    <w:rsid w:val="004768E2"/>
    <w:rsid w:val="00476FAD"/>
    <w:rsid w:val="00480523"/>
    <w:rsid w:val="00480AD0"/>
    <w:rsid w:val="00480B72"/>
    <w:rsid w:val="00480C87"/>
    <w:rsid w:val="004814FC"/>
    <w:rsid w:val="004824FF"/>
    <w:rsid w:val="00482EED"/>
    <w:rsid w:val="00483D14"/>
    <w:rsid w:val="00484353"/>
    <w:rsid w:val="00490A6C"/>
    <w:rsid w:val="00490F93"/>
    <w:rsid w:val="00491B60"/>
    <w:rsid w:val="004928C1"/>
    <w:rsid w:val="004930BD"/>
    <w:rsid w:val="00493E9C"/>
    <w:rsid w:val="00494150"/>
    <w:rsid w:val="00494E44"/>
    <w:rsid w:val="00495686"/>
    <w:rsid w:val="0049603B"/>
    <w:rsid w:val="00496501"/>
    <w:rsid w:val="00496DBD"/>
    <w:rsid w:val="00497303"/>
    <w:rsid w:val="00497AF3"/>
    <w:rsid w:val="00497B53"/>
    <w:rsid w:val="004A0797"/>
    <w:rsid w:val="004A0C5B"/>
    <w:rsid w:val="004A0EA0"/>
    <w:rsid w:val="004A3626"/>
    <w:rsid w:val="004A36CB"/>
    <w:rsid w:val="004A37BC"/>
    <w:rsid w:val="004A3A5A"/>
    <w:rsid w:val="004A4390"/>
    <w:rsid w:val="004A4A67"/>
    <w:rsid w:val="004A505D"/>
    <w:rsid w:val="004A5851"/>
    <w:rsid w:val="004A693D"/>
    <w:rsid w:val="004A6FB2"/>
    <w:rsid w:val="004B038B"/>
    <w:rsid w:val="004B054A"/>
    <w:rsid w:val="004B107C"/>
    <w:rsid w:val="004B4ADC"/>
    <w:rsid w:val="004B5F1A"/>
    <w:rsid w:val="004B75D5"/>
    <w:rsid w:val="004C109E"/>
    <w:rsid w:val="004C24EB"/>
    <w:rsid w:val="004C2896"/>
    <w:rsid w:val="004C2942"/>
    <w:rsid w:val="004C2DEE"/>
    <w:rsid w:val="004C31E9"/>
    <w:rsid w:val="004C393C"/>
    <w:rsid w:val="004C414D"/>
    <w:rsid w:val="004C5043"/>
    <w:rsid w:val="004C5148"/>
    <w:rsid w:val="004C569C"/>
    <w:rsid w:val="004C5E47"/>
    <w:rsid w:val="004C6073"/>
    <w:rsid w:val="004C6147"/>
    <w:rsid w:val="004C6860"/>
    <w:rsid w:val="004C6D57"/>
    <w:rsid w:val="004C6FC7"/>
    <w:rsid w:val="004C7273"/>
    <w:rsid w:val="004C7D52"/>
    <w:rsid w:val="004C7E9A"/>
    <w:rsid w:val="004D12B5"/>
    <w:rsid w:val="004D253A"/>
    <w:rsid w:val="004D2A3D"/>
    <w:rsid w:val="004D2E1C"/>
    <w:rsid w:val="004D316E"/>
    <w:rsid w:val="004D3431"/>
    <w:rsid w:val="004D38C3"/>
    <w:rsid w:val="004D4457"/>
    <w:rsid w:val="004D4997"/>
    <w:rsid w:val="004D4D19"/>
    <w:rsid w:val="004D4EDE"/>
    <w:rsid w:val="004D57A9"/>
    <w:rsid w:val="004D5859"/>
    <w:rsid w:val="004D5EF5"/>
    <w:rsid w:val="004D6167"/>
    <w:rsid w:val="004D6783"/>
    <w:rsid w:val="004D695E"/>
    <w:rsid w:val="004D6FDC"/>
    <w:rsid w:val="004D7CE4"/>
    <w:rsid w:val="004D7DAC"/>
    <w:rsid w:val="004E0B57"/>
    <w:rsid w:val="004E10F0"/>
    <w:rsid w:val="004E185C"/>
    <w:rsid w:val="004E1CC4"/>
    <w:rsid w:val="004E24E6"/>
    <w:rsid w:val="004E26AC"/>
    <w:rsid w:val="004E2C4E"/>
    <w:rsid w:val="004E3050"/>
    <w:rsid w:val="004E5823"/>
    <w:rsid w:val="004E5F4F"/>
    <w:rsid w:val="004E63A2"/>
    <w:rsid w:val="004E646E"/>
    <w:rsid w:val="004E778B"/>
    <w:rsid w:val="004F092C"/>
    <w:rsid w:val="004F0F70"/>
    <w:rsid w:val="004F1295"/>
    <w:rsid w:val="004F13CE"/>
    <w:rsid w:val="004F153B"/>
    <w:rsid w:val="004F2BDA"/>
    <w:rsid w:val="004F307F"/>
    <w:rsid w:val="004F30EB"/>
    <w:rsid w:val="004F518E"/>
    <w:rsid w:val="004F5846"/>
    <w:rsid w:val="004F6965"/>
    <w:rsid w:val="004F6BFE"/>
    <w:rsid w:val="004F6DA0"/>
    <w:rsid w:val="004F73B4"/>
    <w:rsid w:val="004F7CF4"/>
    <w:rsid w:val="00500480"/>
    <w:rsid w:val="005007E0"/>
    <w:rsid w:val="005008B2"/>
    <w:rsid w:val="0050117C"/>
    <w:rsid w:val="00501FA8"/>
    <w:rsid w:val="0050290F"/>
    <w:rsid w:val="00502FF5"/>
    <w:rsid w:val="0050351A"/>
    <w:rsid w:val="005037A2"/>
    <w:rsid w:val="00505EB3"/>
    <w:rsid w:val="005075B4"/>
    <w:rsid w:val="00507885"/>
    <w:rsid w:val="00507CBD"/>
    <w:rsid w:val="00510307"/>
    <w:rsid w:val="005116FD"/>
    <w:rsid w:val="00512639"/>
    <w:rsid w:val="005131AC"/>
    <w:rsid w:val="0051470F"/>
    <w:rsid w:val="00514960"/>
    <w:rsid w:val="00515C23"/>
    <w:rsid w:val="005162AC"/>
    <w:rsid w:val="00517222"/>
    <w:rsid w:val="00520825"/>
    <w:rsid w:val="00520F0A"/>
    <w:rsid w:val="00520FCA"/>
    <w:rsid w:val="00522351"/>
    <w:rsid w:val="005228D7"/>
    <w:rsid w:val="0052315A"/>
    <w:rsid w:val="00523758"/>
    <w:rsid w:val="00523A1B"/>
    <w:rsid w:val="00523A38"/>
    <w:rsid w:val="00524A29"/>
    <w:rsid w:val="0052538C"/>
    <w:rsid w:val="00525EBC"/>
    <w:rsid w:val="00525EDA"/>
    <w:rsid w:val="00525F22"/>
    <w:rsid w:val="00527134"/>
    <w:rsid w:val="005275C4"/>
    <w:rsid w:val="00530B11"/>
    <w:rsid w:val="00530D93"/>
    <w:rsid w:val="00530FBA"/>
    <w:rsid w:val="00531E9F"/>
    <w:rsid w:val="005322F5"/>
    <w:rsid w:val="00532607"/>
    <w:rsid w:val="00533ECD"/>
    <w:rsid w:val="005343B5"/>
    <w:rsid w:val="00535626"/>
    <w:rsid w:val="0053588B"/>
    <w:rsid w:val="00536AFC"/>
    <w:rsid w:val="00536F62"/>
    <w:rsid w:val="0053713E"/>
    <w:rsid w:val="00537577"/>
    <w:rsid w:val="00537D0A"/>
    <w:rsid w:val="00540332"/>
    <w:rsid w:val="0054069E"/>
    <w:rsid w:val="00540919"/>
    <w:rsid w:val="00541724"/>
    <w:rsid w:val="00541B3C"/>
    <w:rsid w:val="005434CB"/>
    <w:rsid w:val="00544257"/>
    <w:rsid w:val="005445C5"/>
    <w:rsid w:val="00545B7E"/>
    <w:rsid w:val="005466DF"/>
    <w:rsid w:val="00546840"/>
    <w:rsid w:val="005478CF"/>
    <w:rsid w:val="00547F6C"/>
    <w:rsid w:val="00550EFC"/>
    <w:rsid w:val="00551917"/>
    <w:rsid w:val="00551AF3"/>
    <w:rsid w:val="00551DE8"/>
    <w:rsid w:val="00552CBE"/>
    <w:rsid w:val="00553329"/>
    <w:rsid w:val="00553DDE"/>
    <w:rsid w:val="00554E3B"/>
    <w:rsid w:val="0055607A"/>
    <w:rsid w:val="00556343"/>
    <w:rsid w:val="00557A2E"/>
    <w:rsid w:val="00561A84"/>
    <w:rsid w:val="0056312F"/>
    <w:rsid w:val="00563BD9"/>
    <w:rsid w:val="005648DC"/>
    <w:rsid w:val="00565DBD"/>
    <w:rsid w:val="00565E15"/>
    <w:rsid w:val="0056608D"/>
    <w:rsid w:val="00566179"/>
    <w:rsid w:val="00566A07"/>
    <w:rsid w:val="00566D52"/>
    <w:rsid w:val="00570A2E"/>
    <w:rsid w:val="005710A3"/>
    <w:rsid w:val="005711F2"/>
    <w:rsid w:val="00571EF0"/>
    <w:rsid w:val="00572524"/>
    <w:rsid w:val="005727C3"/>
    <w:rsid w:val="00572DC0"/>
    <w:rsid w:val="00572DEB"/>
    <w:rsid w:val="00572FCD"/>
    <w:rsid w:val="00573839"/>
    <w:rsid w:val="005744DF"/>
    <w:rsid w:val="005747C0"/>
    <w:rsid w:val="00574D6A"/>
    <w:rsid w:val="00577CE3"/>
    <w:rsid w:val="00580587"/>
    <w:rsid w:val="00580E56"/>
    <w:rsid w:val="005829DF"/>
    <w:rsid w:val="00582AC1"/>
    <w:rsid w:val="00582D6F"/>
    <w:rsid w:val="0058347A"/>
    <w:rsid w:val="00583867"/>
    <w:rsid w:val="00584199"/>
    <w:rsid w:val="005846E1"/>
    <w:rsid w:val="00584C65"/>
    <w:rsid w:val="00585494"/>
    <w:rsid w:val="005858C6"/>
    <w:rsid w:val="00586453"/>
    <w:rsid w:val="00586C1D"/>
    <w:rsid w:val="00586D8D"/>
    <w:rsid w:val="00586DDE"/>
    <w:rsid w:val="005874AF"/>
    <w:rsid w:val="005907B7"/>
    <w:rsid w:val="00590AD2"/>
    <w:rsid w:val="005918F9"/>
    <w:rsid w:val="00592445"/>
    <w:rsid w:val="00592DCD"/>
    <w:rsid w:val="0059366F"/>
    <w:rsid w:val="00594300"/>
    <w:rsid w:val="00594412"/>
    <w:rsid w:val="005945FB"/>
    <w:rsid w:val="00594DAC"/>
    <w:rsid w:val="00595C91"/>
    <w:rsid w:val="00596B96"/>
    <w:rsid w:val="00596D8E"/>
    <w:rsid w:val="005975D0"/>
    <w:rsid w:val="00597B85"/>
    <w:rsid w:val="00597CA5"/>
    <w:rsid w:val="005A0B99"/>
    <w:rsid w:val="005A0CAC"/>
    <w:rsid w:val="005A141D"/>
    <w:rsid w:val="005A2AF7"/>
    <w:rsid w:val="005A3857"/>
    <w:rsid w:val="005A3DAD"/>
    <w:rsid w:val="005A6234"/>
    <w:rsid w:val="005A62D9"/>
    <w:rsid w:val="005A692F"/>
    <w:rsid w:val="005B0065"/>
    <w:rsid w:val="005B04C3"/>
    <w:rsid w:val="005B0C8A"/>
    <w:rsid w:val="005B0D54"/>
    <w:rsid w:val="005B155F"/>
    <w:rsid w:val="005B206F"/>
    <w:rsid w:val="005B2548"/>
    <w:rsid w:val="005B3AB8"/>
    <w:rsid w:val="005B42E8"/>
    <w:rsid w:val="005B4540"/>
    <w:rsid w:val="005B45AE"/>
    <w:rsid w:val="005B46C6"/>
    <w:rsid w:val="005B4B64"/>
    <w:rsid w:val="005B4F3A"/>
    <w:rsid w:val="005B5CC4"/>
    <w:rsid w:val="005B61DF"/>
    <w:rsid w:val="005B64D2"/>
    <w:rsid w:val="005B6CB6"/>
    <w:rsid w:val="005B72D4"/>
    <w:rsid w:val="005B7557"/>
    <w:rsid w:val="005C01F7"/>
    <w:rsid w:val="005C0FCF"/>
    <w:rsid w:val="005C14FA"/>
    <w:rsid w:val="005C181D"/>
    <w:rsid w:val="005C1F64"/>
    <w:rsid w:val="005C2523"/>
    <w:rsid w:val="005C2986"/>
    <w:rsid w:val="005C2B74"/>
    <w:rsid w:val="005C4AB0"/>
    <w:rsid w:val="005C5C96"/>
    <w:rsid w:val="005C5F7D"/>
    <w:rsid w:val="005C6575"/>
    <w:rsid w:val="005C7532"/>
    <w:rsid w:val="005C7893"/>
    <w:rsid w:val="005C7D5B"/>
    <w:rsid w:val="005D0353"/>
    <w:rsid w:val="005D14AB"/>
    <w:rsid w:val="005D1EB8"/>
    <w:rsid w:val="005D2929"/>
    <w:rsid w:val="005D35C0"/>
    <w:rsid w:val="005D3E1A"/>
    <w:rsid w:val="005D404A"/>
    <w:rsid w:val="005D40BA"/>
    <w:rsid w:val="005D4EF2"/>
    <w:rsid w:val="005D54A1"/>
    <w:rsid w:val="005D55B2"/>
    <w:rsid w:val="005D5D13"/>
    <w:rsid w:val="005D68F4"/>
    <w:rsid w:val="005D6FD4"/>
    <w:rsid w:val="005D73BA"/>
    <w:rsid w:val="005D7885"/>
    <w:rsid w:val="005E0672"/>
    <w:rsid w:val="005E0E00"/>
    <w:rsid w:val="005E0F43"/>
    <w:rsid w:val="005E110A"/>
    <w:rsid w:val="005E2333"/>
    <w:rsid w:val="005E25FC"/>
    <w:rsid w:val="005E2ECA"/>
    <w:rsid w:val="005E3150"/>
    <w:rsid w:val="005E44B0"/>
    <w:rsid w:val="005E4D05"/>
    <w:rsid w:val="005E4D67"/>
    <w:rsid w:val="005E71A6"/>
    <w:rsid w:val="005F06C2"/>
    <w:rsid w:val="005F0880"/>
    <w:rsid w:val="005F0BCD"/>
    <w:rsid w:val="005F1238"/>
    <w:rsid w:val="005F259E"/>
    <w:rsid w:val="005F379B"/>
    <w:rsid w:val="005F3BAE"/>
    <w:rsid w:val="005F41DC"/>
    <w:rsid w:val="005F4521"/>
    <w:rsid w:val="005F473C"/>
    <w:rsid w:val="005F4986"/>
    <w:rsid w:val="005F5789"/>
    <w:rsid w:val="005F5C11"/>
    <w:rsid w:val="005F5FFF"/>
    <w:rsid w:val="005F6EAB"/>
    <w:rsid w:val="005F6F1D"/>
    <w:rsid w:val="0060009E"/>
    <w:rsid w:val="00600512"/>
    <w:rsid w:val="00601144"/>
    <w:rsid w:val="00601299"/>
    <w:rsid w:val="0060149F"/>
    <w:rsid w:val="00601AF5"/>
    <w:rsid w:val="00603034"/>
    <w:rsid w:val="00603525"/>
    <w:rsid w:val="00603625"/>
    <w:rsid w:val="0060371E"/>
    <w:rsid w:val="006038C7"/>
    <w:rsid w:val="006039D0"/>
    <w:rsid w:val="006042CB"/>
    <w:rsid w:val="006042E7"/>
    <w:rsid w:val="00605334"/>
    <w:rsid w:val="00606010"/>
    <w:rsid w:val="00606029"/>
    <w:rsid w:val="00606304"/>
    <w:rsid w:val="00606891"/>
    <w:rsid w:val="0060753B"/>
    <w:rsid w:val="00610810"/>
    <w:rsid w:val="00610BF9"/>
    <w:rsid w:val="00612A5F"/>
    <w:rsid w:val="00612FC4"/>
    <w:rsid w:val="00613664"/>
    <w:rsid w:val="00613B8C"/>
    <w:rsid w:val="00614C06"/>
    <w:rsid w:val="00614D68"/>
    <w:rsid w:val="006165E8"/>
    <w:rsid w:val="00616765"/>
    <w:rsid w:val="00617C9C"/>
    <w:rsid w:val="006206FF"/>
    <w:rsid w:val="00621037"/>
    <w:rsid w:val="00621240"/>
    <w:rsid w:val="00621251"/>
    <w:rsid w:val="006216C8"/>
    <w:rsid w:val="00622686"/>
    <w:rsid w:val="00622A9F"/>
    <w:rsid w:val="006231D5"/>
    <w:rsid w:val="00623A4F"/>
    <w:rsid w:val="00624273"/>
    <w:rsid w:val="006249CF"/>
    <w:rsid w:val="0062681C"/>
    <w:rsid w:val="00626EDE"/>
    <w:rsid w:val="00627BF5"/>
    <w:rsid w:val="00630A91"/>
    <w:rsid w:val="00630B15"/>
    <w:rsid w:val="00630B9E"/>
    <w:rsid w:val="00631365"/>
    <w:rsid w:val="00631381"/>
    <w:rsid w:val="0063146E"/>
    <w:rsid w:val="00632938"/>
    <w:rsid w:val="00633877"/>
    <w:rsid w:val="006338FC"/>
    <w:rsid w:val="00633F5A"/>
    <w:rsid w:val="00634543"/>
    <w:rsid w:val="006345DE"/>
    <w:rsid w:val="00635B6B"/>
    <w:rsid w:val="00635FB7"/>
    <w:rsid w:val="0063665E"/>
    <w:rsid w:val="00636FF6"/>
    <w:rsid w:val="00637777"/>
    <w:rsid w:val="0063777D"/>
    <w:rsid w:val="0064067B"/>
    <w:rsid w:val="00640F0A"/>
    <w:rsid w:val="00640F43"/>
    <w:rsid w:val="00641DB3"/>
    <w:rsid w:val="0064478D"/>
    <w:rsid w:val="006455F2"/>
    <w:rsid w:val="006458D6"/>
    <w:rsid w:val="006466AA"/>
    <w:rsid w:val="00646DA6"/>
    <w:rsid w:val="00646F67"/>
    <w:rsid w:val="00647CA4"/>
    <w:rsid w:val="00650F8E"/>
    <w:rsid w:val="0065185F"/>
    <w:rsid w:val="00651E71"/>
    <w:rsid w:val="00651FE9"/>
    <w:rsid w:val="00653631"/>
    <w:rsid w:val="0065383D"/>
    <w:rsid w:val="00653E5B"/>
    <w:rsid w:val="0065463D"/>
    <w:rsid w:val="0065539D"/>
    <w:rsid w:val="006558BB"/>
    <w:rsid w:val="00656932"/>
    <w:rsid w:val="0065722B"/>
    <w:rsid w:val="00657842"/>
    <w:rsid w:val="00660D0A"/>
    <w:rsid w:val="00661115"/>
    <w:rsid w:val="00661300"/>
    <w:rsid w:val="00662D56"/>
    <w:rsid w:val="00663979"/>
    <w:rsid w:val="00663A13"/>
    <w:rsid w:val="006648F4"/>
    <w:rsid w:val="006651B3"/>
    <w:rsid w:val="006651E3"/>
    <w:rsid w:val="00665282"/>
    <w:rsid w:val="00665B0D"/>
    <w:rsid w:val="00665EC7"/>
    <w:rsid w:val="0066797E"/>
    <w:rsid w:val="00667B76"/>
    <w:rsid w:val="0067076D"/>
    <w:rsid w:val="00671AFB"/>
    <w:rsid w:val="00671C5C"/>
    <w:rsid w:val="00671DA7"/>
    <w:rsid w:val="00671F5B"/>
    <w:rsid w:val="00674258"/>
    <w:rsid w:val="00674860"/>
    <w:rsid w:val="006748C7"/>
    <w:rsid w:val="00674A69"/>
    <w:rsid w:val="00674C44"/>
    <w:rsid w:val="0067513E"/>
    <w:rsid w:val="00675BB6"/>
    <w:rsid w:val="00676338"/>
    <w:rsid w:val="00680070"/>
    <w:rsid w:val="00680F40"/>
    <w:rsid w:val="00682077"/>
    <w:rsid w:val="00682266"/>
    <w:rsid w:val="00682BF2"/>
    <w:rsid w:val="00683B48"/>
    <w:rsid w:val="00685653"/>
    <w:rsid w:val="00686781"/>
    <w:rsid w:val="00690061"/>
    <w:rsid w:val="0069038E"/>
    <w:rsid w:val="00690BCF"/>
    <w:rsid w:val="0069165A"/>
    <w:rsid w:val="00691B44"/>
    <w:rsid w:val="00691EA9"/>
    <w:rsid w:val="0069265D"/>
    <w:rsid w:val="0069316E"/>
    <w:rsid w:val="00693FAC"/>
    <w:rsid w:val="00694050"/>
    <w:rsid w:val="00694231"/>
    <w:rsid w:val="0069469E"/>
    <w:rsid w:val="00694E35"/>
    <w:rsid w:val="006953D3"/>
    <w:rsid w:val="00695AE3"/>
    <w:rsid w:val="00695F67"/>
    <w:rsid w:val="00696055"/>
    <w:rsid w:val="00697882"/>
    <w:rsid w:val="006A0032"/>
    <w:rsid w:val="006A0F3F"/>
    <w:rsid w:val="006A1A63"/>
    <w:rsid w:val="006A1F33"/>
    <w:rsid w:val="006A2793"/>
    <w:rsid w:val="006A2B59"/>
    <w:rsid w:val="006A2D10"/>
    <w:rsid w:val="006A3198"/>
    <w:rsid w:val="006A349D"/>
    <w:rsid w:val="006A444A"/>
    <w:rsid w:val="006A4DCF"/>
    <w:rsid w:val="006A502A"/>
    <w:rsid w:val="006A52F1"/>
    <w:rsid w:val="006A5B9B"/>
    <w:rsid w:val="006A5DD7"/>
    <w:rsid w:val="006A6655"/>
    <w:rsid w:val="006B0176"/>
    <w:rsid w:val="006B052D"/>
    <w:rsid w:val="006B06F5"/>
    <w:rsid w:val="006B1D54"/>
    <w:rsid w:val="006B21ED"/>
    <w:rsid w:val="006B2352"/>
    <w:rsid w:val="006B3151"/>
    <w:rsid w:val="006B361F"/>
    <w:rsid w:val="006B37CF"/>
    <w:rsid w:val="006B39C8"/>
    <w:rsid w:val="006B4224"/>
    <w:rsid w:val="006B4764"/>
    <w:rsid w:val="006B5C31"/>
    <w:rsid w:val="006B67DB"/>
    <w:rsid w:val="006B7291"/>
    <w:rsid w:val="006B7933"/>
    <w:rsid w:val="006C11C1"/>
    <w:rsid w:val="006C123C"/>
    <w:rsid w:val="006C192B"/>
    <w:rsid w:val="006C2094"/>
    <w:rsid w:val="006C37A1"/>
    <w:rsid w:val="006C37F1"/>
    <w:rsid w:val="006C3E25"/>
    <w:rsid w:val="006C4051"/>
    <w:rsid w:val="006C4C70"/>
    <w:rsid w:val="006C5910"/>
    <w:rsid w:val="006C6CC5"/>
    <w:rsid w:val="006C73C1"/>
    <w:rsid w:val="006C7B6B"/>
    <w:rsid w:val="006D03E6"/>
    <w:rsid w:val="006D12D7"/>
    <w:rsid w:val="006D162E"/>
    <w:rsid w:val="006D1835"/>
    <w:rsid w:val="006D2034"/>
    <w:rsid w:val="006D24A1"/>
    <w:rsid w:val="006D2AAE"/>
    <w:rsid w:val="006D2BCD"/>
    <w:rsid w:val="006D374C"/>
    <w:rsid w:val="006D4244"/>
    <w:rsid w:val="006D4801"/>
    <w:rsid w:val="006D532C"/>
    <w:rsid w:val="006D5A0E"/>
    <w:rsid w:val="006D5FB3"/>
    <w:rsid w:val="006D747E"/>
    <w:rsid w:val="006D7822"/>
    <w:rsid w:val="006E07EC"/>
    <w:rsid w:val="006E0A44"/>
    <w:rsid w:val="006E14B3"/>
    <w:rsid w:val="006E2A74"/>
    <w:rsid w:val="006E2FEF"/>
    <w:rsid w:val="006E356A"/>
    <w:rsid w:val="006E497F"/>
    <w:rsid w:val="006E4F98"/>
    <w:rsid w:val="006E58EF"/>
    <w:rsid w:val="006E5993"/>
    <w:rsid w:val="006E5C14"/>
    <w:rsid w:val="006E5F7C"/>
    <w:rsid w:val="006E6008"/>
    <w:rsid w:val="006E6715"/>
    <w:rsid w:val="006E6903"/>
    <w:rsid w:val="006E6E3F"/>
    <w:rsid w:val="006E7215"/>
    <w:rsid w:val="006E74A8"/>
    <w:rsid w:val="006E7745"/>
    <w:rsid w:val="006E77A6"/>
    <w:rsid w:val="006F09FE"/>
    <w:rsid w:val="006F112C"/>
    <w:rsid w:val="006F1A7A"/>
    <w:rsid w:val="006F2136"/>
    <w:rsid w:val="006F25FC"/>
    <w:rsid w:val="006F392D"/>
    <w:rsid w:val="006F539F"/>
    <w:rsid w:val="006F61C0"/>
    <w:rsid w:val="006F686C"/>
    <w:rsid w:val="006F7C1D"/>
    <w:rsid w:val="006F7CC0"/>
    <w:rsid w:val="0070057C"/>
    <w:rsid w:val="00701C21"/>
    <w:rsid w:val="00703733"/>
    <w:rsid w:val="007039A7"/>
    <w:rsid w:val="007044BB"/>
    <w:rsid w:val="00705020"/>
    <w:rsid w:val="00705081"/>
    <w:rsid w:val="0070574D"/>
    <w:rsid w:val="00707CFA"/>
    <w:rsid w:val="0071008D"/>
    <w:rsid w:val="00710329"/>
    <w:rsid w:val="0071124B"/>
    <w:rsid w:val="00712A60"/>
    <w:rsid w:val="00713027"/>
    <w:rsid w:val="007131B3"/>
    <w:rsid w:val="0071436D"/>
    <w:rsid w:val="0071467D"/>
    <w:rsid w:val="00714F2D"/>
    <w:rsid w:val="0071517D"/>
    <w:rsid w:val="0071542C"/>
    <w:rsid w:val="00716430"/>
    <w:rsid w:val="00716808"/>
    <w:rsid w:val="00716D6A"/>
    <w:rsid w:val="00717FFD"/>
    <w:rsid w:val="00720D6F"/>
    <w:rsid w:val="00721E3E"/>
    <w:rsid w:val="00722BE8"/>
    <w:rsid w:val="007231F1"/>
    <w:rsid w:val="00723A0D"/>
    <w:rsid w:val="00724D78"/>
    <w:rsid w:val="00725668"/>
    <w:rsid w:val="00727317"/>
    <w:rsid w:val="007306FD"/>
    <w:rsid w:val="00731F70"/>
    <w:rsid w:val="00732037"/>
    <w:rsid w:val="00733022"/>
    <w:rsid w:val="00733B71"/>
    <w:rsid w:val="00734368"/>
    <w:rsid w:val="007352EF"/>
    <w:rsid w:val="00735C81"/>
    <w:rsid w:val="0073608F"/>
    <w:rsid w:val="00736622"/>
    <w:rsid w:val="007368E6"/>
    <w:rsid w:val="007372AA"/>
    <w:rsid w:val="00737BB1"/>
    <w:rsid w:val="00737C94"/>
    <w:rsid w:val="00742297"/>
    <w:rsid w:val="007425AA"/>
    <w:rsid w:val="00742794"/>
    <w:rsid w:val="00745504"/>
    <w:rsid w:val="0074571F"/>
    <w:rsid w:val="0074572A"/>
    <w:rsid w:val="007463AD"/>
    <w:rsid w:val="00746E55"/>
    <w:rsid w:val="00747AC9"/>
    <w:rsid w:val="00752837"/>
    <w:rsid w:val="007539C5"/>
    <w:rsid w:val="00754DA8"/>
    <w:rsid w:val="00756F13"/>
    <w:rsid w:val="0076022B"/>
    <w:rsid w:val="007602AA"/>
    <w:rsid w:val="00760478"/>
    <w:rsid w:val="0076109C"/>
    <w:rsid w:val="00761AD6"/>
    <w:rsid w:val="00761DE0"/>
    <w:rsid w:val="007621EB"/>
    <w:rsid w:val="00762600"/>
    <w:rsid w:val="0076261B"/>
    <w:rsid w:val="00762A32"/>
    <w:rsid w:val="00762F9D"/>
    <w:rsid w:val="00764093"/>
    <w:rsid w:val="007643E5"/>
    <w:rsid w:val="00764A48"/>
    <w:rsid w:val="00764DBA"/>
    <w:rsid w:val="007650B4"/>
    <w:rsid w:val="007651BD"/>
    <w:rsid w:val="007659FD"/>
    <w:rsid w:val="00765A76"/>
    <w:rsid w:val="00765F30"/>
    <w:rsid w:val="00766942"/>
    <w:rsid w:val="0076749B"/>
    <w:rsid w:val="00770C7B"/>
    <w:rsid w:val="00771554"/>
    <w:rsid w:val="00771A0E"/>
    <w:rsid w:val="00771A53"/>
    <w:rsid w:val="007729E5"/>
    <w:rsid w:val="00772BE7"/>
    <w:rsid w:val="007739A3"/>
    <w:rsid w:val="00773A24"/>
    <w:rsid w:val="007748BB"/>
    <w:rsid w:val="00774B65"/>
    <w:rsid w:val="0077514F"/>
    <w:rsid w:val="00775276"/>
    <w:rsid w:val="007754BB"/>
    <w:rsid w:val="007764C9"/>
    <w:rsid w:val="00776652"/>
    <w:rsid w:val="0077692A"/>
    <w:rsid w:val="00776FE1"/>
    <w:rsid w:val="0077767C"/>
    <w:rsid w:val="0077781A"/>
    <w:rsid w:val="007779DE"/>
    <w:rsid w:val="00777CB8"/>
    <w:rsid w:val="00780052"/>
    <w:rsid w:val="0078029C"/>
    <w:rsid w:val="00780E5D"/>
    <w:rsid w:val="00781542"/>
    <w:rsid w:val="0078190D"/>
    <w:rsid w:val="00782AFF"/>
    <w:rsid w:val="00783273"/>
    <w:rsid w:val="007833ED"/>
    <w:rsid w:val="00784299"/>
    <w:rsid w:val="00784424"/>
    <w:rsid w:val="007848A5"/>
    <w:rsid w:val="00784B88"/>
    <w:rsid w:val="00784E19"/>
    <w:rsid w:val="00785209"/>
    <w:rsid w:val="007852A6"/>
    <w:rsid w:val="00785962"/>
    <w:rsid w:val="0078659A"/>
    <w:rsid w:val="00786C6B"/>
    <w:rsid w:val="00786C7C"/>
    <w:rsid w:val="007905EF"/>
    <w:rsid w:val="00790AB6"/>
    <w:rsid w:val="00790DB2"/>
    <w:rsid w:val="00790EB5"/>
    <w:rsid w:val="00790F77"/>
    <w:rsid w:val="007912E0"/>
    <w:rsid w:val="00791316"/>
    <w:rsid w:val="00792718"/>
    <w:rsid w:val="007930B5"/>
    <w:rsid w:val="0079354C"/>
    <w:rsid w:val="00793C02"/>
    <w:rsid w:val="00794492"/>
    <w:rsid w:val="007945C1"/>
    <w:rsid w:val="007947D1"/>
    <w:rsid w:val="007950E0"/>
    <w:rsid w:val="00795B61"/>
    <w:rsid w:val="00795CAC"/>
    <w:rsid w:val="00795E6B"/>
    <w:rsid w:val="0079619E"/>
    <w:rsid w:val="007961FA"/>
    <w:rsid w:val="0079653D"/>
    <w:rsid w:val="00796A4D"/>
    <w:rsid w:val="00796A8B"/>
    <w:rsid w:val="00796E89"/>
    <w:rsid w:val="007970D3"/>
    <w:rsid w:val="007971C7"/>
    <w:rsid w:val="007A0867"/>
    <w:rsid w:val="007A185F"/>
    <w:rsid w:val="007A3BD1"/>
    <w:rsid w:val="007A4D33"/>
    <w:rsid w:val="007A4EA2"/>
    <w:rsid w:val="007A5B75"/>
    <w:rsid w:val="007A62F6"/>
    <w:rsid w:val="007A6E90"/>
    <w:rsid w:val="007A752D"/>
    <w:rsid w:val="007B03D6"/>
    <w:rsid w:val="007B1C0C"/>
    <w:rsid w:val="007B1D25"/>
    <w:rsid w:val="007B2BB3"/>
    <w:rsid w:val="007B4702"/>
    <w:rsid w:val="007B4A0A"/>
    <w:rsid w:val="007B52FB"/>
    <w:rsid w:val="007B6091"/>
    <w:rsid w:val="007B610A"/>
    <w:rsid w:val="007B6F16"/>
    <w:rsid w:val="007B7222"/>
    <w:rsid w:val="007B7A6B"/>
    <w:rsid w:val="007C0AD3"/>
    <w:rsid w:val="007C23E0"/>
    <w:rsid w:val="007C23F5"/>
    <w:rsid w:val="007C3466"/>
    <w:rsid w:val="007C3F40"/>
    <w:rsid w:val="007C5508"/>
    <w:rsid w:val="007C6B64"/>
    <w:rsid w:val="007D0210"/>
    <w:rsid w:val="007D0EA0"/>
    <w:rsid w:val="007D1BAA"/>
    <w:rsid w:val="007D3658"/>
    <w:rsid w:val="007D396D"/>
    <w:rsid w:val="007D4EFD"/>
    <w:rsid w:val="007D657A"/>
    <w:rsid w:val="007D66C5"/>
    <w:rsid w:val="007D6EBD"/>
    <w:rsid w:val="007D75D4"/>
    <w:rsid w:val="007E079D"/>
    <w:rsid w:val="007E10C0"/>
    <w:rsid w:val="007E2892"/>
    <w:rsid w:val="007E352B"/>
    <w:rsid w:val="007E3CAD"/>
    <w:rsid w:val="007E4AA5"/>
    <w:rsid w:val="007E55B9"/>
    <w:rsid w:val="007E562C"/>
    <w:rsid w:val="007E59E0"/>
    <w:rsid w:val="007E5A6D"/>
    <w:rsid w:val="007E6189"/>
    <w:rsid w:val="007E74F3"/>
    <w:rsid w:val="007E7ED1"/>
    <w:rsid w:val="007E7F55"/>
    <w:rsid w:val="007F0443"/>
    <w:rsid w:val="007F0776"/>
    <w:rsid w:val="007F0EDA"/>
    <w:rsid w:val="007F1179"/>
    <w:rsid w:val="007F1326"/>
    <w:rsid w:val="007F1C6D"/>
    <w:rsid w:val="007F1D93"/>
    <w:rsid w:val="007F4A75"/>
    <w:rsid w:val="007F4E1D"/>
    <w:rsid w:val="007F4E87"/>
    <w:rsid w:val="007F519A"/>
    <w:rsid w:val="007F57A0"/>
    <w:rsid w:val="007F61A7"/>
    <w:rsid w:val="007F6C30"/>
    <w:rsid w:val="007F7648"/>
    <w:rsid w:val="007F765E"/>
    <w:rsid w:val="00800599"/>
    <w:rsid w:val="008012D0"/>
    <w:rsid w:val="0080188B"/>
    <w:rsid w:val="00806630"/>
    <w:rsid w:val="00807B28"/>
    <w:rsid w:val="00807D7E"/>
    <w:rsid w:val="008105AA"/>
    <w:rsid w:val="00810A58"/>
    <w:rsid w:val="00810C0B"/>
    <w:rsid w:val="00810D1B"/>
    <w:rsid w:val="00810FA2"/>
    <w:rsid w:val="0081107D"/>
    <w:rsid w:val="0081120B"/>
    <w:rsid w:val="008115E6"/>
    <w:rsid w:val="00811892"/>
    <w:rsid w:val="008119AC"/>
    <w:rsid w:val="00812182"/>
    <w:rsid w:val="00812EF1"/>
    <w:rsid w:val="008130B3"/>
    <w:rsid w:val="00813174"/>
    <w:rsid w:val="008132DA"/>
    <w:rsid w:val="008155F1"/>
    <w:rsid w:val="008158B6"/>
    <w:rsid w:val="00816B4F"/>
    <w:rsid w:val="0081785C"/>
    <w:rsid w:val="008205D7"/>
    <w:rsid w:val="0082148E"/>
    <w:rsid w:val="00822060"/>
    <w:rsid w:val="008220C1"/>
    <w:rsid w:val="00822DDE"/>
    <w:rsid w:val="00823C04"/>
    <w:rsid w:val="00823ED9"/>
    <w:rsid w:val="00824108"/>
    <w:rsid w:val="0082432F"/>
    <w:rsid w:val="00824791"/>
    <w:rsid w:val="0082519A"/>
    <w:rsid w:val="00825BE3"/>
    <w:rsid w:val="00826B2F"/>
    <w:rsid w:val="00826B9E"/>
    <w:rsid w:val="00827F25"/>
    <w:rsid w:val="0083072A"/>
    <w:rsid w:val="00832A15"/>
    <w:rsid w:val="00832A6D"/>
    <w:rsid w:val="00832EA5"/>
    <w:rsid w:val="00834B9C"/>
    <w:rsid w:val="00835515"/>
    <w:rsid w:val="00835CB4"/>
    <w:rsid w:val="0083640D"/>
    <w:rsid w:val="00836F55"/>
    <w:rsid w:val="008372FF"/>
    <w:rsid w:val="00837BDC"/>
    <w:rsid w:val="00837BF2"/>
    <w:rsid w:val="00840026"/>
    <w:rsid w:val="008401A3"/>
    <w:rsid w:val="00841BF6"/>
    <w:rsid w:val="00841C0C"/>
    <w:rsid w:val="00842041"/>
    <w:rsid w:val="008428CD"/>
    <w:rsid w:val="00842D3B"/>
    <w:rsid w:val="00843707"/>
    <w:rsid w:val="00843859"/>
    <w:rsid w:val="0084462D"/>
    <w:rsid w:val="00844827"/>
    <w:rsid w:val="00844CC8"/>
    <w:rsid w:val="0084511C"/>
    <w:rsid w:val="0084549D"/>
    <w:rsid w:val="00846008"/>
    <w:rsid w:val="008461DC"/>
    <w:rsid w:val="008470AD"/>
    <w:rsid w:val="008470B1"/>
    <w:rsid w:val="00847499"/>
    <w:rsid w:val="00847DA9"/>
    <w:rsid w:val="00850AE0"/>
    <w:rsid w:val="0085122B"/>
    <w:rsid w:val="008524E9"/>
    <w:rsid w:val="0085397A"/>
    <w:rsid w:val="00853C46"/>
    <w:rsid w:val="00853ECE"/>
    <w:rsid w:val="00854FDF"/>
    <w:rsid w:val="0085588B"/>
    <w:rsid w:val="00855E6B"/>
    <w:rsid w:val="00855F84"/>
    <w:rsid w:val="008579F3"/>
    <w:rsid w:val="0086115B"/>
    <w:rsid w:val="0086283D"/>
    <w:rsid w:val="00862C60"/>
    <w:rsid w:val="0086305A"/>
    <w:rsid w:val="008633DC"/>
    <w:rsid w:val="0086396D"/>
    <w:rsid w:val="00863BCD"/>
    <w:rsid w:val="00863F70"/>
    <w:rsid w:val="008645EB"/>
    <w:rsid w:val="00865286"/>
    <w:rsid w:val="008656AB"/>
    <w:rsid w:val="00866011"/>
    <w:rsid w:val="00866CC9"/>
    <w:rsid w:val="008672D9"/>
    <w:rsid w:val="00871EF5"/>
    <w:rsid w:val="0087202B"/>
    <w:rsid w:val="00872E21"/>
    <w:rsid w:val="00873522"/>
    <w:rsid w:val="00875F5F"/>
    <w:rsid w:val="00876344"/>
    <w:rsid w:val="00876667"/>
    <w:rsid w:val="00876A48"/>
    <w:rsid w:val="0087741F"/>
    <w:rsid w:val="00877A7C"/>
    <w:rsid w:val="00880063"/>
    <w:rsid w:val="0088151C"/>
    <w:rsid w:val="00881A25"/>
    <w:rsid w:val="00881DAC"/>
    <w:rsid w:val="00882752"/>
    <w:rsid w:val="0088279F"/>
    <w:rsid w:val="00883987"/>
    <w:rsid w:val="00884077"/>
    <w:rsid w:val="00884CC6"/>
    <w:rsid w:val="00885BE7"/>
    <w:rsid w:val="00886145"/>
    <w:rsid w:val="0088781B"/>
    <w:rsid w:val="00887CDE"/>
    <w:rsid w:val="008912D5"/>
    <w:rsid w:val="00892A1F"/>
    <w:rsid w:val="008930EB"/>
    <w:rsid w:val="00893784"/>
    <w:rsid w:val="00894F25"/>
    <w:rsid w:val="00895494"/>
    <w:rsid w:val="00895B53"/>
    <w:rsid w:val="00895C2E"/>
    <w:rsid w:val="008963AC"/>
    <w:rsid w:val="008979F6"/>
    <w:rsid w:val="008A0FEA"/>
    <w:rsid w:val="008A13BC"/>
    <w:rsid w:val="008A1C7F"/>
    <w:rsid w:val="008A22C5"/>
    <w:rsid w:val="008A2ACA"/>
    <w:rsid w:val="008A3223"/>
    <w:rsid w:val="008A3832"/>
    <w:rsid w:val="008A445B"/>
    <w:rsid w:val="008A4645"/>
    <w:rsid w:val="008A4E4B"/>
    <w:rsid w:val="008A50F9"/>
    <w:rsid w:val="008A66DD"/>
    <w:rsid w:val="008A72AF"/>
    <w:rsid w:val="008B0567"/>
    <w:rsid w:val="008B1519"/>
    <w:rsid w:val="008B22BF"/>
    <w:rsid w:val="008B22DC"/>
    <w:rsid w:val="008B32ED"/>
    <w:rsid w:val="008B3837"/>
    <w:rsid w:val="008B3CF0"/>
    <w:rsid w:val="008B40FA"/>
    <w:rsid w:val="008B4B6C"/>
    <w:rsid w:val="008B4D2A"/>
    <w:rsid w:val="008B58A2"/>
    <w:rsid w:val="008B6318"/>
    <w:rsid w:val="008B69EB"/>
    <w:rsid w:val="008B6F4E"/>
    <w:rsid w:val="008B6F96"/>
    <w:rsid w:val="008B7080"/>
    <w:rsid w:val="008B7608"/>
    <w:rsid w:val="008B7AB7"/>
    <w:rsid w:val="008B7D66"/>
    <w:rsid w:val="008C071E"/>
    <w:rsid w:val="008C0BBE"/>
    <w:rsid w:val="008C0DA0"/>
    <w:rsid w:val="008C203E"/>
    <w:rsid w:val="008C20E1"/>
    <w:rsid w:val="008C27DD"/>
    <w:rsid w:val="008C28DC"/>
    <w:rsid w:val="008C2DE5"/>
    <w:rsid w:val="008C3D74"/>
    <w:rsid w:val="008C3E65"/>
    <w:rsid w:val="008C3F32"/>
    <w:rsid w:val="008C4916"/>
    <w:rsid w:val="008C4A0E"/>
    <w:rsid w:val="008C4A17"/>
    <w:rsid w:val="008C4D15"/>
    <w:rsid w:val="008C6667"/>
    <w:rsid w:val="008C6DCD"/>
    <w:rsid w:val="008C71DF"/>
    <w:rsid w:val="008C7973"/>
    <w:rsid w:val="008C7F5F"/>
    <w:rsid w:val="008D0044"/>
    <w:rsid w:val="008D0286"/>
    <w:rsid w:val="008D0AC2"/>
    <w:rsid w:val="008D0B4C"/>
    <w:rsid w:val="008D1A8F"/>
    <w:rsid w:val="008D1D74"/>
    <w:rsid w:val="008D296C"/>
    <w:rsid w:val="008D38B3"/>
    <w:rsid w:val="008D3D70"/>
    <w:rsid w:val="008D5321"/>
    <w:rsid w:val="008D54C8"/>
    <w:rsid w:val="008D54F3"/>
    <w:rsid w:val="008D5661"/>
    <w:rsid w:val="008D659D"/>
    <w:rsid w:val="008D6609"/>
    <w:rsid w:val="008D6F03"/>
    <w:rsid w:val="008D7A2B"/>
    <w:rsid w:val="008D7F4C"/>
    <w:rsid w:val="008E00D7"/>
    <w:rsid w:val="008E0461"/>
    <w:rsid w:val="008E0A28"/>
    <w:rsid w:val="008E2B58"/>
    <w:rsid w:val="008E3623"/>
    <w:rsid w:val="008E3807"/>
    <w:rsid w:val="008E39B4"/>
    <w:rsid w:val="008E3B96"/>
    <w:rsid w:val="008E424A"/>
    <w:rsid w:val="008E4CE7"/>
    <w:rsid w:val="008E5265"/>
    <w:rsid w:val="008E5523"/>
    <w:rsid w:val="008E5A16"/>
    <w:rsid w:val="008E6F41"/>
    <w:rsid w:val="008E73A4"/>
    <w:rsid w:val="008E7C2A"/>
    <w:rsid w:val="008F0086"/>
    <w:rsid w:val="008F023E"/>
    <w:rsid w:val="008F0D04"/>
    <w:rsid w:val="008F12BA"/>
    <w:rsid w:val="008F1687"/>
    <w:rsid w:val="008F1DA5"/>
    <w:rsid w:val="008F1E14"/>
    <w:rsid w:val="008F229D"/>
    <w:rsid w:val="008F2CBC"/>
    <w:rsid w:val="008F33E0"/>
    <w:rsid w:val="008F3922"/>
    <w:rsid w:val="008F39DD"/>
    <w:rsid w:val="008F4280"/>
    <w:rsid w:val="008F4359"/>
    <w:rsid w:val="008F59DE"/>
    <w:rsid w:val="008F5C8C"/>
    <w:rsid w:val="008F6894"/>
    <w:rsid w:val="008F6BFE"/>
    <w:rsid w:val="008F74F5"/>
    <w:rsid w:val="008F7AEF"/>
    <w:rsid w:val="008F7CEA"/>
    <w:rsid w:val="008F7D6C"/>
    <w:rsid w:val="00900019"/>
    <w:rsid w:val="00900823"/>
    <w:rsid w:val="009021D6"/>
    <w:rsid w:val="0090261E"/>
    <w:rsid w:val="00902B30"/>
    <w:rsid w:val="009034C9"/>
    <w:rsid w:val="009034F4"/>
    <w:rsid w:val="00903C18"/>
    <w:rsid w:val="009040AB"/>
    <w:rsid w:val="00904653"/>
    <w:rsid w:val="0090488D"/>
    <w:rsid w:val="00904E7D"/>
    <w:rsid w:val="0090509E"/>
    <w:rsid w:val="00905CFB"/>
    <w:rsid w:val="00906856"/>
    <w:rsid w:val="00906B6E"/>
    <w:rsid w:val="00907D57"/>
    <w:rsid w:val="009109D8"/>
    <w:rsid w:val="00910FE9"/>
    <w:rsid w:val="009119FE"/>
    <w:rsid w:val="00912C92"/>
    <w:rsid w:val="00912FB9"/>
    <w:rsid w:val="0091302C"/>
    <w:rsid w:val="00914632"/>
    <w:rsid w:val="0091475B"/>
    <w:rsid w:val="009147BB"/>
    <w:rsid w:val="00915A78"/>
    <w:rsid w:val="00915EFF"/>
    <w:rsid w:val="00916AC9"/>
    <w:rsid w:val="009178E9"/>
    <w:rsid w:val="00917AEF"/>
    <w:rsid w:val="00920D91"/>
    <w:rsid w:val="009218DE"/>
    <w:rsid w:val="00921BAE"/>
    <w:rsid w:val="00922372"/>
    <w:rsid w:val="00922B22"/>
    <w:rsid w:val="00922D8D"/>
    <w:rsid w:val="0092304E"/>
    <w:rsid w:val="00923C7A"/>
    <w:rsid w:val="00924522"/>
    <w:rsid w:val="0092748D"/>
    <w:rsid w:val="00927563"/>
    <w:rsid w:val="00927599"/>
    <w:rsid w:val="00927828"/>
    <w:rsid w:val="009302D4"/>
    <w:rsid w:val="009302F1"/>
    <w:rsid w:val="009304AC"/>
    <w:rsid w:val="0093112B"/>
    <w:rsid w:val="00931715"/>
    <w:rsid w:val="00931DD5"/>
    <w:rsid w:val="0093298F"/>
    <w:rsid w:val="00932C14"/>
    <w:rsid w:val="00933061"/>
    <w:rsid w:val="00933183"/>
    <w:rsid w:val="00933409"/>
    <w:rsid w:val="0093368D"/>
    <w:rsid w:val="009340E1"/>
    <w:rsid w:val="009348A5"/>
    <w:rsid w:val="0093490E"/>
    <w:rsid w:val="00934BD3"/>
    <w:rsid w:val="009354CE"/>
    <w:rsid w:val="0093558A"/>
    <w:rsid w:val="0093588E"/>
    <w:rsid w:val="00935C84"/>
    <w:rsid w:val="00935F46"/>
    <w:rsid w:val="009362C6"/>
    <w:rsid w:val="0093716F"/>
    <w:rsid w:val="00937220"/>
    <w:rsid w:val="009376F7"/>
    <w:rsid w:val="009377C2"/>
    <w:rsid w:val="00937C96"/>
    <w:rsid w:val="00937E8B"/>
    <w:rsid w:val="00940F41"/>
    <w:rsid w:val="00941380"/>
    <w:rsid w:val="009418F8"/>
    <w:rsid w:val="00942396"/>
    <w:rsid w:val="009431F1"/>
    <w:rsid w:val="00943955"/>
    <w:rsid w:val="0094410B"/>
    <w:rsid w:val="00944F48"/>
    <w:rsid w:val="009458A9"/>
    <w:rsid w:val="00945B90"/>
    <w:rsid w:val="00945C72"/>
    <w:rsid w:val="00946DF2"/>
    <w:rsid w:val="009472A0"/>
    <w:rsid w:val="00947837"/>
    <w:rsid w:val="00950185"/>
    <w:rsid w:val="00950728"/>
    <w:rsid w:val="00950A0E"/>
    <w:rsid w:val="00950C7B"/>
    <w:rsid w:val="00952CB1"/>
    <w:rsid w:val="009552E6"/>
    <w:rsid w:val="00955916"/>
    <w:rsid w:val="00955F1B"/>
    <w:rsid w:val="00957025"/>
    <w:rsid w:val="009570FA"/>
    <w:rsid w:val="009579DB"/>
    <w:rsid w:val="00957B2D"/>
    <w:rsid w:val="00957CF1"/>
    <w:rsid w:val="009604F2"/>
    <w:rsid w:val="009605B3"/>
    <w:rsid w:val="009606B6"/>
    <w:rsid w:val="00960768"/>
    <w:rsid w:val="00960E2B"/>
    <w:rsid w:val="0096291B"/>
    <w:rsid w:val="00963106"/>
    <w:rsid w:val="00963A4F"/>
    <w:rsid w:val="00964A0B"/>
    <w:rsid w:val="00964C21"/>
    <w:rsid w:val="009651B0"/>
    <w:rsid w:val="009665F2"/>
    <w:rsid w:val="00966747"/>
    <w:rsid w:val="0096697B"/>
    <w:rsid w:val="00966A3C"/>
    <w:rsid w:val="00966E42"/>
    <w:rsid w:val="009677C7"/>
    <w:rsid w:val="00967DDC"/>
    <w:rsid w:val="00971627"/>
    <w:rsid w:val="0097255A"/>
    <w:rsid w:val="00972C14"/>
    <w:rsid w:val="00973305"/>
    <w:rsid w:val="009738FB"/>
    <w:rsid w:val="00973B9C"/>
    <w:rsid w:val="00975183"/>
    <w:rsid w:val="0097519F"/>
    <w:rsid w:val="0097614B"/>
    <w:rsid w:val="009766B1"/>
    <w:rsid w:val="009767E2"/>
    <w:rsid w:val="009771D6"/>
    <w:rsid w:val="00977299"/>
    <w:rsid w:val="00977A0D"/>
    <w:rsid w:val="00980399"/>
    <w:rsid w:val="00980BD6"/>
    <w:rsid w:val="00981AEC"/>
    <w:rsid w:val="00981D02"/>
    <w:rsid w:val="00981ECF"/>
    <w:rsid w:val="00982E70"/>
    <w:rsid w:val="00983951"/>
    <w:rsid w:val="009853AE"/>
    <w:rsid w:val="00986B8B"/>
    <w:rsid w:val="00986E2F"/>
    <w:rsid w:val="009872C0"/>
    <w:rsid w:val="00987F92"/>
    <w:rsid w:val="009904FB"/>
    <w:rsid w:val="009908E4"/>
    <w:rsid w:val="009910C6"/>
    <w:rsid w:val="0099113F"/>
    <w:rsid w:val="00991A00"/>
    <w:rsid w:val="00992430"/>
    <w:rsid w:val="0099328B"/>
    <w:rsid w:val="00993457"/>
    <w:rsid w:val="009934EE"/>
    <w:rsid w:val="009938B2"/>
    <w:rsid w:val="00993E69"/>
    <w:rsid w:val="009960AF"/>
    <w:rsid w:val="00996F42"/>
    <w:rsid w:val="00997A45"/>
    <w:rsid w:val="009A0336"/>
    <w:rsid w:val="009A1D38"/>
    <w:rsid w:val="009A2157"/>
    <w:rsid w:val="009A23A1"/>
    <w:rsid w:val="009A2406"/>
    <w:rsid w:val="009A2C0B"/>
    <w:rsid w:val="009A3564"/>
    <w:rsid w:val="009A3B66"/>
    <w:rsid w:val="009A3BEC"/>
    <w:rsid w:val="009A4059"/>
    <w:rsid w:val="009A454B"/>
    <w:rsid w:val="009A4D84"/>
    <w:rsid w:val="009A52FF"/>
    <w:rsid w:val="009A5452"/>
    <w:rsid w:val="009A587C"/>
    <w:rsid w:val="009A669D"/>
    <w:rsid w:val="009B093C"/>
    <w:rsid w:val="009B1C2D"/>
    <w:rsid w:val="009B2902"/>
    <w:rsid w:val="009B3995"/>
    <w:rsid w:val="009B3F22"/>
    <w:rsid w:val="009B45AE"/>
    <w:rsid w:val="009B536B"/>
    <w:rsid w:val="009B686C"/>
    <w:rsid w:val="009B6A80"/>
    <w:rsid w:val="009B7445"/>
    <w:rsid w:val="009B773A"/>
    <w:rsid w:val="009B7CE6"/>
    <w:rsid w:val="009C0893"/>
    <w:rsid w:val="009C109D"/>
    <w:rsid w:val="009C2355"/>
    <w:rsid w:val="009C2855"/>
    <w:rsid w:val="009C38CF"/>
    <w:rsid w:val="009C3BC7"/>
    <w:rsid w:val="009C42C1"/>
    <w:rsid w:val="009C50DC"/>
    <w:rsid w:val="009C54CD"/>
    <w:rsid w:val="009C62DC"/>
    <w:rsid w:val="009C6425"/>
    <w:rsid w:val="009C7E4E"/>
    <w:rsid w:val="009C7F21"/>
    <w:rsid w:val="009D025D"/>
    <w:rsid w:val="009D047B"/>
    <w:rsid w:val="009D085D"/>
    <w:rsid w:val="009D0AD7"/>
    <w:rsid w:val="009D2225"/>
    <w:rsid w:val="009D24C8"/>
    <w:rsid w:val="009D25CD"/>
    <w:rsid w:val="009D2777"/>
    <w:rsid w:val="009D31A2"/>
    <w:rsid w:val="009D3A6D"/>
    <w:rsid w:val="009D40F8"/>
    <w:rsid w:val="009D44D9"/>
    <w:rsid w:val="009D4612"/>
    <w:rsid w:val="009D5365"/>
    <w:rsid w:val="009D560B"/>
    <w:rsid w:val="009D63E2"/>
    <w:rsid w:val="009D64E4"/>
    <w:rsid w:val="009D7FD2"/>
    <w:rsid w:val="009D7FFA"/>
    <w:rsid w:val="009E0008"/>
    <w:rsid w:val="009E0166"/>
    <w:rsid w:val="009E1360"/>
    <w:rsid w:val="009E14AF"/>
    <w:rsid w:val="009E1814"/>
    <w:rsid w:val="009E2A8E"/>
    <w:rsid w:val="009E363C"/>
    <w:rsid w:val="009E38E1"/>
    <w:rsid w:val="009E3E34"/>
    <w:rsid w:val="009E3EDF"/>
    <w:rsid w:val="009E40FC"/>
    <w:rsid w:val="009E4C76"/>
    <w:rsid w:val="009E5670"/>
    <w:rsid w:val="009E5D9D"/>
    <w:rsid w:val="009E62DB"/>
    <w:rsid w:val="009E653D"/>
    <w:rsid w:val="009E6D3A"/>
    <w:rsid w:val="009E70B2"/>
    <w:rsid w:val="009E77FA"/>
    <w:rsid w:val="009E7EE0"/>
    <w:rsid w:val="009F06B1"/>
    <w:rsid w:val="009F07A9"/>
    <w:rsid w:val="009F0DEB"/>
    <w:rsid w:val="009F1A43"/>
    <w:rsid w:val="009F2781"/>
    <w:rsid w:val="009F3315"/>
    <w:rsid w:val="009F35DB"/>
    <w:rsid w:val="009F427B"/>
    <w:rsid w:val="009F4E85"/>
    <w:rsid w:val="009F4F65"/>
    <w:rsid w:val="009F506A"/>
    <w:rsid w:val="009F52EF"/>
    <w:rsid w:val="009F5DAB"/>
    <w:rsid w:val="009F5EEA"/>
    <w:rsid w:val="009F6294"/>
    <w:rsid w:val="009F63F3"/>
    <w:rsid w:val="009F66DC"/>
    <w:rsid w:val="009F6DBB"/>
    <w:rsid w:val="009F705A"/>
    <w:rsid w:val="009F73B4"/>
    <w:rsid w:val="00A00142"/>
    <w:rsid w:val="00A0079D"/>
    <w:rsid w:val="00A00CE0"/>
    <w:rsid w:val="00A00E26"/>
    <w:rsid w:val="00A02E9F"/>
    <w:rsid w:val="00A02F40"/>
    <w:rsid w:val="00A02FC4"/>
    <w:rsid w:val="00A046BC"/>
    <w:rsid w:val="00A05946"/>
    <w:rsid w:val="00A05B98"/>
    <w:rsid w:val="00A05BAE"/>
    <w:rsid w:val="00A05FD4"/>
    <w:rsid w:val="00A0644E"/>
    <w:rsid w:val="00A0670B"/>
    <w:rsid w:val="00A067F0"/>
    <w:rsid w:val="00A06963"/>
    <w:rsid w:val="00A07532"/>
    <w:rsid w:val="00A102C8"/>
    <w:rsid w:val="00A10BB9"/>
    <w:rsid w:val="00A10D84"/>
    <w:rsid w:val="00A10E83"/>
    <w:rsid w:val="00A11170"/>
    <w:rsid w:val="00A12560"/>
    <w:rsid w:val="00A128BB"/>
    <w:rsid w:val="00A130AB"/>
    <w:rsid w:val="00A134E5"/>
    <w:rsid w:val="00A13A17"/>
    <w:rsid w:val="00A13F94"/>
    <w:rsid w:val="00A1634D"/>
    <w:rsid w:val="00A16CA9"/>
    <w:rsid w:val="00A174D4"/>
    <w:rsid w:val="00A17A5B"/>
    <w:rsid w:val="00A209AD"/>
    <w:rsid w:val="00A21136"/>
    <w:rsid w:val="00A21A93"/>
    <w:rsid w:val="00A22583"/>
    <w:rsid w:val="00A2270A"/>
    <w:rsid w:val="00A233B7"/>
    <w:rsid w:val="00A235AB"/>
    <w:rsid w:val="00A23687"/>
    <w:rsid w:val="00A2481F"/>
    <w:rsid w:val="00A24964"/>
    <w:rsid w:val="00A25A8C"/>
    <w:rsid w:val="00A25F08"/>
    <w:rsid w:val="00A26844"/>
    <w:rsid w:val="00A2731F"/>
    <w:rsid w:val="00A27516"/>
    <w:rsid w:val="00A278B8"/>
    <w:rsid w:val="00A2791F"/>
    <w:rsid w:val="00A3136D"/>
    <w:rsid w:val="00A3267F"/>
    <w:rsid w:val="00A327A3"/>
    <w:rsid w:val="00A33109"/>
    <w:rsid w:val="00A3369D"/>
    <w:rsid w:val="00A33F6F"/>
    <w:rsid w:val="00A34747"/>
    <w:rsid w:val="00A35031"/>
    <w:rsid w:val="00A35865"/>
    <w:rsid w:val="00A36243"/>
    <w:rsid w:val="00A3740C"/>
    <w:rsid w:val="00A37E5F"/>
    <w:rsid w:val="00A4094A"/>
    <w:rsid w:val="00A421A3"/>
    <w:rsid w:val="00A4279D"/>
    <w:rsid w:val="00A435A6"/>
    <w:rsid w:val="00A43BE6"/>
    <w:rsid w:val="00A45424"/>
    <w:rsid w:val="00A459E8"/>
    <w:rsid w:val="00A46251"/>
    <w:rsid w:val="00A47E36"/>
    <w:rsid w:val="00A5037D"/>
    <w:rsid w:val="00A50B05"/>
    <w:rsid w:val="00A5204A"/>
    <w:rsid w:val="00A5214D"/>
    <w:rsid w:val="00A530D4"/>
    <w:rsid w:val="00A53D44"/>
    <w:rsid w:val="00A53F5C"/>
    <w:rsid w:val="00A54EA1"/>
    <w:rsid w:val="00A55210"/>
    <w:rsid w:val="00A553DC"/>
    <w:rsid w:val="00A5580C"/>
    <w:rsid w:val="00A55FBC"/>
    <w:rsid w:val="00A566E6"/>
    <w:rsid w:val="00A5672F"/>
    <w:rsid w:val="00A56BEE"/>
    <w:rsid w:val="00A56C67"/>
    <w:rsid w:val="00A56EBE"/>
    <w:rsid w:val="00A57320"/>
    <w:rsid w:val="00A5790D"/>
    <w:rsid w:val="00A605DF"/>
    <w:rsid w:val="00A60D63"/>
    <w:rsid w:val="00A61333"/>
    <w:rsid w:val="00A61693"/>
    <w:rsid w:val="00A61D19"/>
    <w:rsid w:val="00A61DAD"/>
    <w:rsid w:val="00A6259D"/>
    <w:rsid w:val="00A6273A"/>
    <w:rsid w:val="00A6322C"/>
    <w:rsid w:val="00A63E3D"/>
    <w:rsid w:val="00A65C46"/>
    <w:rsid w:val="00A66444"/>
    <w:rsid w:val="00A66884"/>
    <w:rsid w:val="00A6691E"/>
    <w:rsid w:val="00A66FEB"/>
    <w:rsid w:val="00A675F6"/>
    <w:rsid w:val="00A679AC"/>
    <w:rsid w:val="00A71421"/>
    <w:rsid w:val="00A716D5"/>
    <w:rsid w:val="00A71D1A"/>
    <w:rsid w:val="00A72492"/>
    <w:rsid w:val="00A73176"/>
    <w:rsid w:val="00A741F2"/>
    <w:rsid w:val="00A746EA"/>
    <w:rsid w:val="00A7480A"/>
    <w:rsid w:val="00A74A89"/>
    <w:rsid w:val="00A74D9B"/>
    <w:rsid w:val="00A75321"/>
    <w:rsid w:val="00A761C2"/>
    <w:rsid w:val="00A763C8"/>
    <w:rsid w:val="00A80BB1"/>
    <w:rsid w:val="00A81555"/>
    <w:rsid w:val="00A81E84"/>
    <w:rsid w:val="00A82412"/>
    <w:rsid w:val="00A837E7"/>
    <w:rsid w:val="00A84D50"/>
    <w:rsid w:val="00A84EDE"/>
    <w:rsid w:val="00A851E6"/>
    <w:rsid w:val="00A85840"/>
    <w:rsid w:val="00A86475"/>
    <w:rsid w:val="00A869C7"/>
    <w:rsid w:val="00A87751"/>
    <w:rsid w:val="00A908A5"/>
    <w:rsid w:val="00A90C2A"/>
    <w:rsid w:val="00A914D1"/>
    <w:rsid w:val="00A915BC"/>
    <w:rsid w:val="00A91E64"/>
    <w:rsid w:val="00A92637"/>
    <w:rsid w:val="00A92E25"/>
    <w:rsid w:val="00A93D22"/>
    <w:rsid w:val="00A9432B"/>
    <w:rsid w:val="00A9474D"/>
    <w:rsid w:val="00A95701"/>
    <w:rsid w:val="00A95F23"/>
    <w:rsid w:val="00A965C8"/>
    <w:rsid w:val="00AA06D4"/>
    <w:rsid w:val="00AA10E9"/>
    <w:rsid w:val="00AA1660"/>
    <w:rsid w:val="00AA183E"/>
    <w:rsid w:val="00AA381E"/>
    <w:rsid w:val="00AA3970"/>
    <w:rsid w:val="00AA4241"/>
    <w:rsid w:val="00AA4623"/>
    <w:rsid w:val="00AA4B0A"/>
    <w:rsid w:val="00AA4BCA"/>
    <w:rsid w:val="00AA4C07"/>
    <w:rsid w:val="00AA526C"/>
    <w:rsid w:val="00AA60CF"/>
    <w:rsid w:val="00AA74AE"/>
    <w:rsid w:val="00AA790E"/>
    <w:rsid w:val="00AA7B8C"/>
    <w:rsid w:val="00AB18D4"/>
    <w:rsid w:val="00AB1D95"/>
    <w:rsid w:val="00AB21AF"/>
    <w:rsid w:val="00AB2429"/>
    <w:rsid w:val="00AB268D"/>
    <w:rsid w:val="00AB292A"/>
    <w:rsid w:val="00AB2DF6"/>
    <w:rsid w:val="00AB4107"/>
    <w:rsid w:val="00AB44CE"/>
    <w:rsid w:val="00AB46F0"/>
    <w:rsid w:val="00AB61CD"/>
    <w:rsid w:val="00AB68A5"/>
    <w:rsid w:val="00AB707C"/>
    <w:rsid w:val="00AB767E"/>
    <w:rsid w:val="00AB77C7"/>
    <w:rsid w:val="00AC0A47"/>
    <w:rsid w:val="00AC2A78"/>
    <w:rsid w:val="00AC3D6F"/>
    <w:rsid w:val="00AC5105"/>
    <w:rsid w:val="00AC57BF"/>
    <w:rsid w:val="00AC5A0D"/>
    <w:rsid w:val="00AC60F2"/>
    <w:rsid w:val="00AC6230"/>
    <w:rsid w:val="00AC6440"/>
    <w:rsid w:val="00AC667E"/>
    <w:rsid w:val="00AC7B1D"/>
    <w:rsid w:val="00AD0AC1"/>
    <w:rsid w:val="00AD0E54"/>
    <w:rsid w:val="00AD0F4D"/>
    <w:rsid w:val="00AD2022"/>
    <w:rsid w:val="00AD2569"/>
    <w:rsid w:val="00AD2664"/>
    <w:rsid w:val="00AD3225"/>
    <w:rsid w:val="00AD356D"/>
    <w:rsid w:val="00AD5B0B"/>
    <w:rsid w:val="00AD65B0"/>
    <w:rsid w:val="00AD66A2"/>
    <w:rsid w:val="00AD7932"/>
    <w:rsid w:val="00AE0A68"/>
    <w:rsid w:val="00AE1939"/>
    <w:rsid w:val="00AE1EDA"/>
    <w:rsid w:val="00AE2494"/>
    <w:rsid w:val="00AE2B50"/>
    <w:rsid w:val="00AE2D86"/>
    <w:rsid w:val="00AE3AFA"/>
    <w:rsid w:val="00AE43D4"/>
    <w:rsid w:val="00AE48CD"/>
    <w:rsid w:val="00AE55BC"/>
    <w:rsid w:val="00AE6DB7"/>
    <w:rsid w:val="00AE7CFC"/>
    <w:rsid w:val="00AE7F5D"/>
    <w:rsid w:val="00AF113A"/>
    <w:rsid w:val="00AF155E"/>
    <w:rsid w:val="00AF175C"/>
    <w:rsid w:val="00AF1968"/>
    <w:rsid w:val="00AF23F5"/>
    <w:rsid w:val="00AF27F0"/>
    <w:rsid w:val="00AF2E39"/>
    <w:rsid w:val="00AF32BD"/>
    <w:rsid w:val="00AF3864"/>
    <w:rsid w:val="00AF3D2B"/>
    <w:rsid w:val="00AF578F"/>
    <w:rsid w:val="00AF6507"/>
    <w:rsid w:val="00AF65BD"/>
    <w:rsid w:val="00AF6733"/>
    <w:rsid w:val="00AF6C65"/>
    <w:rsid w:val="00AF7042"/>
    <w:rsid w:val="00AF7C2C"/>
    <w:rsid w:val="00B0001F"/>
    <w:rsid w:val="00B00259"/>
    <w:rsid w:val="00B01323"/>
    <w:rsid w:val="00B01EE5"/>
    <w:rsid w:val="00B0257D"/>
    <w:rsid w:val="00B02AF7"/>
    <w:rsid w:val="00B0343B"/>
    <w:rsid w:val="00B04363"/>
    <w:rsid w:val="00B04F63"/>
    <w:rsid w:val="00B07279"/>
    <w:rsid w:val="00B07DFC"/>
    <w:rsid w:val="00B101FC"/>
    <w:rsid w:val="00B11ACD"/>
    <w:rsid w:val="00B1252A"/>
    <w:rsid w:val="00B12582"/>
    <w:rsid w:val="00B126E8"/>
    <w:rsid w:val="00B144E3"/>
    <w:rsid w:val="00B144EA"/>
    <w:rsid w:val="00B14FBD"/>
    <w:rsid w:val="00B16F5F"/>
    <w:rsid w:val="00B17436"/>
    <w:rsid w:val="00B20669"/>
    <w:rsid w:val="00B2066E"/>
    <w:rsid w:val="00B20793"/>
    <w:rsid w:val="00B213B5"/>
    <w:rsid w:val="00B21758"/>
    <w:rsid w:val="00B21AB5"/>
    <w:rsid w:val="00B21BF8"/>
    <w:rsid w:val="00B233B2"/>
    <w:rsid w:val="00B23600"/>
    <w:rsid w:val="00B25DF6"/>
    <w:rsid w:val="00B27737"/>
    <w:rsid w:val="00B27E92"/>
    <w:rsid w:val="00B300C0"/>
    <w:rsid w:val="00B3085F"/>
    <w:rsid w:val="00B31A49"/>
    <w:rsid w:val="00B31D60"/>
    <w:rsid w:val="00B320BA"/>
    <w:rsid w:val="00B3339F"/>
    <w:rsid w:val="00B33B23"/>
    <w:rsid w:val="00B33EAD"/>
    <w:rsid w:val="00B33FEF"/>
    <w:rsid w:val="00B34556"/>
    <w:rsid w:val="00B34D34"/>
    <w:rsid w:val="00B35FF7"/>
    <w:rsid w:val="00B36A7D"/>
    <w:rsid w:val="00B37625"/>
    <w:rsid w:val="00B3773C"/>
    <w:rsid w:val="00B403F7"/>
    <w:rsid w:val="00B406E5"/>
    <w:rsid w:val="00B40899"/>
    <w:rsid w:val="00B408CD"/>
    <w:rsid w:val="00B413E7"/>
    <w:rsid w:val="00B415D3"/>
    <w:rsid w:val="00B41D6D"/>
    <w:rsid w:val="00B41DDD"/>
    <w:rsid w:val="00B42173"/>
    <w:rsid w:val="00B4288A"/>
    <w:rsid w:val="00B42BF2"/>
    <w:rsid w:val="00B436E4"/>
    <w:rsid w:val="00B43C98"/>
    <w:rsid w:val="00B441FA"/>
    <w:rsid w:val="00B44218"/>
    <w:rsid w:val="00B44DD1"/>
    <w:rsid w:val="00B44E7C"/>
    <w:rsid w:val="00B45826"/>
    <w:rsid w:val="00B45C08"/>
    <w:rsid w:val="00B45D44"/>
    <w:rsid w:val="00B46B26"/>
    <w:rsid w:val="00B4712D"/>
    <w:rsid w:val="00B500C0"/>
    <w:rsid w:val="00B5038A"/>
    <w:rsid w:val="00B50C68"/>
    <w:rsid w:val="00B520C2"/>
    <w:rsid w:val="00B52995"/>
    <w:rsid w:val="00B54B2A"/>
    <w:rsid w:val="00B55D57"/>
    <w:rsid w:val="00B5643F"/>
    <w:rsid w:val="00B577BE"/>
    <w:rsid w:val="00B60653"/>
    <w:rsid w:val="00B60C4B"/>
    <w:rsid w:val="00B618AD"/>
    <w:rsid w:val="00B61AFD"/>
    <w:rsid w:val="00B61C9C"/>
    <w:rsid w:val="00B61FBF"/>
    <w:rsid w:val="00B6268C"/>
    <w:rsid w:val="00B626AF"/>
    <w:rsid w:val="00B6286D"/>
    <w:rsid w:val="00B64DC9"/>
    <w:rsid w:val="00B65B41"/>
    <w:rsid w:val="00B65BE1"/>
    <w:rsid w:val="00B65ED3"/>
    <w:rsid w:val="00B70087"/>
    <w:rsid w:val="00B7012D"/>
    <w:rsid w:val="00B70E02"/>
    <w:rsid w:val="00B72F70"/>
    <w:rsid w:val="00B739C3"/>
    <w:rsid w:val="00B74FAE"/>
    <w:rsid w:val="00B7551C"/>
    <w:rsid w:val="00B75B4B"/>
    <w:rsid w:val="00B76580"/>
    <w:rsid w:val="00B76812"/>
    <w:rsid w:val="00B7682F"/>
    <w:rsid w:val="00B76CA4"/>
    <w:rsid w:val="00B80103"/>
    <w:rsid w:val="00B808D2"/>
    <w:rsid w:val="00B80B81"/>
    <w:rsid w:val="00B8159A"/>
    <w:rsid w:val="00B81B5C"/>
    <w:rsid w:val="00B82D8B"/>
    <w:rsid w:val="00B8448B"/>
    <w:rsid w:val="00B85201"/>
    <w:rsid w:val="00B85B56"/>
    <w:rsid w:val="00B86085"/>
    <w:rsid w:val="00B86524"/>
    <w:rsid w:val="00B86AA1"/>
    <w:rsid w:val="00B90878"/>
    <w:rsid w:val="00B90BB5"/>
    <w:rsid w:val="00B90BE7"/>
    <w:rsid w:val="00B90D79"/>
    <w:rsid w:val="00B91EB4"/>
    <w:rsid w:val="00B92598"/>
    <w:rsid w:val="00B931E3"/>
    <w:rsid w:val="00B942C7"/>
    <w:rsid w:val="00B94423"/>
    <w:rsid w:val="00B9487A"/>
    <w:rsid w:val="00B95782"/>
    <w:rsid w:val="00B96407"/>
    <w:rsid w:val="00B968EF"/>
    <w:rsid w:val="00BA07D1"/>
    <w:rsid w:val="00BA0A52"/>
    <w:rsid w:val="00BA2BAA"/>
    <w:rsid w:val="00BA42E4"/>
    <w:rsid w:val="00BA440B"/>
    <w:rsid w:val="00BA4BD3"/>
    <w:rsid w:val="00BA51E5"/>
    <w:rsid w:val="00BA5ABD"/>
    <w:rsid w:val="00BA644E"/>
    <w:rsid w:val="00BA6523"/>
    <w:rsid w:val="00BA66BC"/>
    <w:rsid w:val="00BB0895"/>
    <w:rsid w:val="00BB0DC7"/>
    <w:rsid w:val="00BB0EA4"/>
    <w:rsid w:val="00BB1003"/>
    <w:rsid w:val="00BB1193"/>
    <w:rsid w:val="00BB165E"/>
    <w:rsid w:val="00BB19F8"/>
    <w:rsid w:val="00BB1B23"/>
    <w:rsid w:val="00BB22C4"/>
    <w:rsid w:val="00BB3202"/>
    <w:rsid w:val="00BB3B56"/>
    <w:rsid w:val="00BB3E78"/>
    <w:rsid w:val="00BB52F6"/>
    <w:rsid w:val="00BB5E29"/>
    <w:rsid w:val="00BB6140"/>
    <w:rsid w:val="00BB6806"/>
    <w:rsid w:val="00BB7A96"/>
    <w:rsid w:val="00BC10D1"/>
    <w:rsid w:val="00BC2556"/>
    <w:rsid w:val="00BC29A3"/>
    <w:rsid w:val="00BC2D91"/>
    <w:rsid w:val="00BC2E6F"/>
    <w:rsid w:val="00BC2FEE"/>
    <w:rsid w:val="00BC334E"/>
    <w:rsid w:val="00BC44C7"/>
    <w:rsid w:val="00BC4C24"/>
    <w:rsid w:val="00BC568B"/>
    <w:rsid w:val="00BC5EED"/>
    <w:rsid w:val="00BC624C"/>
    <w:rsid w:val="00BC63C4"/>
    <w:rsid w:val="00BC670D"/>
    <w:rsid w:val="00BC698B"/>
    <w:rsid w:val="00BC69DB"/>
    <w:rsid w:val="00BC74B3"/>
    <w:rsid w:val="00BC7C8E"/>
    <w:rsid w:val="00BD0371"/>
    <w:rsid w:val="00BD09E6"/>
    <w:rsid w:val="00BD17A0"/>
    <w:rsid w:val="00BD2988"/>
    <w:rsid w:val="00BD3A1B"/>
    <w:rsid w:val="00BD3BA5"/>
    <w:rsid w:val="00BD4B13"/>
    <w:rsid w:val="00BD51DF"/>
    <w:rsid w:val="00BD5563"/>
    <w:rsid w:val="00BD5874"/>
    <w:rsid w:val="00BD6017"/>
    <w:rsid w:val="00BD73BA"/>
    <w:rsid w:val="00BD7B9F"/>
    <w:rsid w:val="00BE07A3"/>
    <w:rsid w:val="00BE07CB"/>
    <w:rsid w:val="00BE10C2"/>
    <w:rsid w:val="00BE1127"/>
    <w:rsid w:val="00BE1479"/>
    <w:rsid w:val="00BE19A7"/>
    <w:rsid w:val="00BE1B0A"/>
    <w:rsid w:val="00BE1C76"/>
    <w:rsid w:val="00BE2117"/>
    <w:rsid w:val="00BE2320"/>
    <w:rsid w:val="00BE252B"/>
    <w:rsid w:val="00BE39CB"/>
    <w:rsid w:val="00BE4040"/>
    <w:rsid w:val="00BE4CBE"/>
    <w:rsid w:val="00BE4EAE"/>
    <w:rsid w:val="00BE527C"/>
    <w:rsid w:val="00BE52A7"/>
    <w:rsid w:val="00BE5CDE"/>
    <w:rsid w:val="00BE5D1A"/>
    <w:rsid w:val="00BE6516"/>
    <w:rsid w:val="00BE7291"/>
    <w:rsid w:val="00BE7DBB"/>
    <w:rsid w:val="00BE7E85"/>
    <w:rsid w:val="00BE7FE7"/>
    <w:rsid w:val="00BF01D2"/>
    <w:rsid w:val="00BF1158"/>
    <w:rsid w:val="00BF1FD5"/>
    <w:rsid w:val="00BF2C73"/>
    <w:rsid w:val="00BF2EB2"/>
    <w:rsid w:val="00BF3E0F"/>
    <w:rsid w:val="00BF3F48"/>
    <w:rsid w:val="00BF5074"/>
    <w:rsid w:val="00BF5716"/>
    <w:rsid w:val="00BF60E8"/>
    <w:rsid w:val="00BF6475"/>
    <w:rsid w:val="00BF7330"/>
    <w:rsid w:val="00BF79FC"/>
    <w:rsid w:val="00C00442"/>
    <w:rsid w:val="00C01F6C"/>
    <w:rsid w:val="00C02A97"/>
    <w:rsid w:val="00C02C17"/>
    <w:rsid w:val="00C06C3E"/>
    <w:rsid w:val="00C06D43"/>
    <w:rsid w:val="00C07B38"/>
    <w:rsid w:val="00C1006E"/>
    <w:rsid w:val="00C10A37"/>
    <w:rsid w:val="00C11021"/>
    <w:rsid w:val="00C111E2"/>
    <w:rsid w:val="00C11C30"/>
    <w:rsid w:val="00C1213F"/>
    <w:rsid w:val="00C13154"/>
    <w:rsid w:val="00C1319D"/>
    <w:rsid w:val="00C14634"/>
    <w:rsid w:val="00C14852"/>
    <w:rsid w:val="00C149DB"/>
    <w:rsid w:val="00C14A31"/>
    <w:rsid w:val="00C15170"/>
    <w:rsid w:val="00C20428"/>
    <w:rsid w:val="00C2055B"/>
    <w:rsid w:val="00C207CF"/>
    <w:rsid w:val="00C20B99"/>
    <w:rsid w:val="00C21724"/>
    <w:rsid w:val="00C224F1"/>
    <w:rsid w:val="00C22D37"/>
    <w:rsid w:val="00C2306A"/>
    <w:rsid w:val="00C23851"/>
    <w:rsid w:val="00C24B63"/>
    <w:rsid w:val="00C261C3"/>
    <w:rsid w:val="00C261FE"/>
    <w:rsid w:val="00C2637B"/>
    <w:rsid w:val="00C26FA1"/>
    <w:rsid w:val="00C276AD"/>
    <w:rsid w:val="00C27C42"/>
    <w:rsid w:val="00C27F1B"/>
    <w:rsid w:val="00C300A7"/>
    <w:rsid w:val="00C30209"/>
    <w:rsid w:val="00C304B9"/>
    <w:rsid w:val="00C30A99"/>
    <w:rsid w:val="00C30CA1"/>
    <w:rsid w:val="00C30F7B"/>
    <w:rsid w:val="00C316B4"/>
    <w:rsid w:val="00C3237D"/>
    <w:rsid w:val="00C3257D"/>
    <w:rsid w:val="00C326C6"/>
    <w:rsid w:val="00C32EFC"/>
    <w:rsid w:val="00C33046"/>
    <w:rsid w:val="00C34A19"/>
    <w:rsid w:val="00C3510E"/>
    <w:rsid w:val="00C357F2"/>
    <w:rsid w:val="00C361C6"/>
    <w:rsid w:val="00C363D6"/>
    <w:rsid w:val="00C37674"/>
    <w:rsid w:val="00C3768C"/>
    <w:rsid w:val="00C37DF3"/>
    <w:rsid w:val="00C404FC"/>
    <w:rsid w:val="00C41621"/>
    <w:rsid w:val="00C41710"/>
    <w:rsid w:val="00C420E0"/>
    <w:rsid w:val="00C421FD"/>
    <w:rsid w:val="00C42561"/>
    <w:rsid w:val="00C438D7"/>
    <w:rsid w:val="00C442BC"/>
    <w:rsid w:val="00C44330"/>
    <w:rsid w:val="00C443BE"/>
    <w:rsid w:val="00C4493E"/>
    <w:rsid w:val="00C46A3E"/>
    <w:rsid w:val="00C47010"/>
    <w:rsid w:val="00C472B6"/>
    <w:rsid w:val="00C47B0A"/>
    <w:rsid w:val="00C47DBF"/>
    <w:rsid w:val="00C5009E"/>
    <w:rsid w:val="00C50550"/>
    <w:rsid w:val="00C51C8D"/>
    <w:rsid w:val="00C520C1"/>
    <w:rsid w:val="00C52823"/>
    <w:rsid w:val="00C529B4"/>
    <w:rsid w:val="00C52A21"/>
    <w:rsid w:val="00C539C2"/>
    <w:rsid w:val="00C53D15"/>
    <w:rsid w:val="00C54709"/>
    <w:rsid w:val="00C54990"/>
    <w:rsid w:val="00C552EE"/>
    <w:rsid w:val="00C56A42"/>
    <w:rsid w:val="00C57163"/>
    <w:rsid w:val="00C5768E"/>
    <w:rsid w:val="00C57E9B"/>
    <w:rsid w:val="00C6090C"/>
    <w:rsid w:val="00C60AFC"/>
    <w:rsid w:val="00C61695"/>
    <w:rsid w:val="00C62059"/>
    <w:rsid w:val="00C62680"/>
    <w:rsid w:val="00C627B2"/>
    <w:rsid w:val="00C628A8"/>
    <w:rsid w:val="00C64CA4"/>
    <w:rsid w:val="00C654E7"/>
    <w:rsid w:val="00C65859"/>
    <w:rsid w:val="00C66E84"/>
    <w:rsid w:val="00C6710E"/>
    <w:rsid w:val="00C67362"/>
    <w:rsid w:val="00C6747B"/>
    <w:rsid w:val="00C676C1"/>
    <w:rsid w:val="00C67CAE"/>
    <w:rsid w:val="00C70731"/>
    <w:rsid w:val="00C71C4A"/>
    <w:rsid w:val="00C73C91"/>
    <w:rsid w:val="00C746C3"/>
    <w:rsid w:val="00C74C90"/>
    <w:rsid w:val="00C7591F"/>
    <w:rsid w:val="00C75DDA"/>
    <w:rsid w:val="00C76104"/>
    <w:rsid w:val="00C766E1"/>
    <w:rsid w:val="00C7696C"/>
    <w:rsid w:val="00C76C1A"/>
    <w:rsid w:val="00C779BB"/>
    <w:rsid w:val="00C77F99"/>
    <w:rsid w:val="00C8148F"/>
    <w:rsid w:val="00C81AE2"/>
    <w:rsid w:val="00C82192"/>
    <w:rsid w:val="00C82657"/>
    <w:rsid w:val="00C82C09"/>
    <w:rsid w:val="00C83219"/>
    <w:rsid w:val="00C838B4"/>
    <w:rsid w:val="00C8439B"/>
    <w:rsid w:val="00C8453C"/>
    <w:rsid w:val="00C849DF"/>
    <w:rsid w:val="00C85979"/>
    <w:rsid w:val="00C85C64"/>
    <w:rsid w:val="00C86265"/>
    <w:rsid w:val="00C86808"/>
    <w:rsid w:val="00C86889"/>
    <w:rsid w:val="00C86F34"/>
    <w:rsid w:val="00C86F5C"/>
    <w:rsid w:val="00C86FB8"/>
    <w:rsid w:val="00C870F9"/>
    <w:rsid w:val="00C87181"/>
    <w:rsid w:val="00C87A0A"/>
    <w:rsid w:val="00C91066"/>
    <w:rsid w:val="00C9116B"/>
    <w:rsid w:val="00C93BC3"/>
    <w:rsid w:val="00C96E3F"/>
    <w:rsid w:val="00CA0D3B"/>
    <w:rsid w:val="00CA1A8D"/>
    <w:rsid w:val="00CA1C47"/>
    <w:rsid w:val="00CA1CC3"/>
    <w:rsid w:val="00CA2100"/>
    <w:rsid w:val="00CA312F"/>
    <w:rsid w:val="00CA3FF3"/>
    <w:rsid w:val="00CA4961"/>
    <w:rsid w:val="00CA4C02"/>
    <w:rsid w:val="00CA54DF"/>
    <w:rsid w:val="00CA670B"/>
    <w:rsid w:val="00CA6918"/>
    <w:rsid w:val="00CA6D9E"/>
    <w:rsid w:val="00CA6F21"/>
    <w:rsid w:val="00CA77D7"/>
    <w:rsid w:val="00CB0C05"/>
    <w:rsid w:val="00CB179E"/>
    <w:rsid w:val="00CB1E79"/>
    <w:rsid w:val="00CB2C28"/>
    <w:rsid w:val="00CB31A2"/>
    <w:rsid w:val="00CB48F8"/>
    <w:rsid w:val="00CB4C32"/>
    <w:rsid w:val="00CB506D"/>
    <w:rsid w:val="00CB59C8"/>
    <w:rsid w:val="00CB7231"/>
    <w:rsid w:val="00CB76FF"/>
    <w:rsid w:val="00CB7C7F"/>
    <w:rsid w:val="00CC0BE8"/>
    <w:rsid w:val="00CC0C7D"/>
    <w:rsid w:val="00CC10F3"/>
    <w:rsid w:val="00CC1626"/>
    <w:rsid w:val="00CC25DF"/>
    <w:rsid w:val="00CC2CD9"/>
    <w:rsid w:val="00CC3053"/>
    <w:rsid w:val="00CC3479"/>
    <w:rsid w:val="00CC3F5B"/>
    <w:rsid w:val="00CC4D1E"/>
    <w:rsid w:val="00CC4DF7"/>
    <w:rsid w:val="00CC50B5"/>
    <w:rsid w:val="00CC6024"/>
    <w:rsid w:val="00CC7282"/>
    <w:rsid w:val="00CC7B59"/>
    <w:rsid w:val="00CD05A1"/>
    <w:rsid w:val="00CD160A"/>
    <w:rsid w:val="00CD204B"/>
    <w:rsid w:val="00CD294A"/>
    <w:rsid w:val="00CD2CF0"/>
    <w:rsid w:val="00CD3797"/>
    <w:rsid w:val="00CD3A9F"/>
    <w:rsid w:val="00CD3B33"/>
    <w:rsid w:val="00CD3CCF"/>
    <w:rsid w:val="00CD4813"/>
    <w:rsid w:val="00CD52E4"/>
    <w:rsid w:val="00CD53A9"/>
    <w:rsid w:val="00CD626C"/>
    <w:rsid w:val="00CD6670"/>
    <w:rsid w:val="00CD6D6E"/>
    <w:rsid w:val="00CD79F5"/>
    <w:rsid w:val="00CD7E8B"/>
    <w:rsid w:val="00CE01DE"/>
    <w:rsid w:val="00CE1D40"/>
    <w:rsid w:val="00CE2438"/>
    <w:rsid w:val="00CE2CCF"/>
    <w:rsid w:val="00CE2EFD"/>
    <w:rsid w:val="00CE4AF8"/>
    <w:rsid w:val="00CE4F5B"/>
    <w:rsid w:val="00CE5143"/>
    <w:rsid w:val="00CE552B"/>
    <w:rsid w:val="00CE5562"/>
    <w:rsid w:val="00CE660F"/>
    <w:rsid w:val="00CE70C1"/>
    <w:rsid w:val="00CE70FD"/>
    <w:rsid w:val="00CE74E5"/>
    <w:rsid w:val="00CF1A66"/>
    <w:rsid w:val="00CF1E21"/>
    <w:rsid w:val="00CF24DF"/>
    <w:rsid w:val="00CF25CB"/>
    <w:rsid w:val="00CF3565"/>
    <w:rsid w:val="00CF3A9B"/>
    <w:rsid w:val="00CF468D"/>
    <w:rsid w:val="00CF4FA3"/>
    <w:rsid w:val="00CF6AE3"/>
    <w:rsid w:val="00CF74D3"/>
    <w:rsid w:val="00CF798C"/>
    <w:rsid w:val="00CF79E2"/>
    <w:rsid w:val="00CF79E5"/>
    <w:rsid w:val="00D0051B"/>
    <w:rsid w:val="00D017D2"/>
    <w:rsid w:val="00D02A60"/>
    <w:rsid w:val="00D02ADB"/>
    <w:rsid w:val="00D02AFF"/>
    <w:rsid w:val="00D03218"/>
    <w:rsid w:val="00D0393A"/>
    <w:rsid w:val="00D05C4F"/>
    <w:rsid w:val="00D06131"/>
    <w:rsid w:val="00D06245"/>
    <w:rsid w:val="00D06D98"/>
    <w:rsid w:val="00D073DD"/>
    <w:rsid w:val="00D07783"/>
    <w:rsid w:val="00D1041B"/>
    <w:rsid w:val="00D105C7"/>
    <w:rsid w:val="00D105FA"/>
    <w:rsid w:val="00D106EB"/>
    <w:rsid w:val="00D114E6"/>
    <w:rsid w:val="00D11982"/>
    <w:rsid w:val="00D11E91"/>
    <w:rsid w:val="00D131D3"/>
    <w:rsid w:val="00D134EC"/>
    <w:rsid w:val="00D13939"/>
    <w:rsid w:val="00D13F22"/>
    <w:rsid w:val="00D14579"/>
    <w:rsid w:val="00D14E48"/>
    <w:rsid w:val="00D157BF"/>
    <w:rsid w:val="00D16CD7"/>
    <w:rsid w:val="00D175C1"/>
    <w:rsid w:val="00D17602"/>
    <w:rsid w:val="00D21465"/>
    <w:rsid w:val="00D22850"/>
    <w:rsid w:val="00D23F64"/>
    <w:rsid w:val="00D246A0"/>
    <w:rsid w:val="00D25465"/>
    <w:rsid w:val="00D25AD4"/>
    <w:rsid w:val="00D2715B"/>
    <w:rsid w:val="00D279B4"/>
    <w:rsid w:val="00D30376"/>
    <w:rsid w:val="00D30EC3"/>
    <w:rsid w:val="00D31070"/>
    <w:rsid w:val="00D32278"/>
    <w:rsid w:val="00D34B46"/>
    <w:rsid w:val="00D3505C"/>
    <w:rsid w:val="00D3529C"/>
    <w:rsid w:val="00D3558A"/>
    <w:rsid w:val="00D363D9"/>
    <w:rsid w:val="00D37862"/>
    <w:rsid w:val="00D37C15"/>
    <w:rsid w:val="00D37C45"/>
    <w:rsid w:val="00D40164"/>
    <w:rsid w:val="00D40409"/>
    <w:rsid w:val="00D40460"/>
    <w:rsid w:val="00D40674"/>
    <w:rsid w:val="00D4076F"/>
    <w:rsid w:val="00D4105B"/>
    <w:rsid w:val="00D410C6"/>
    <w:rsid w:val="00D410EC"/>
    <w:rsid w:val="00D42209"/>
    <w:rsid w:val="00D425D4"/>
    <w:rsid w:val="00D42A65"/>
    <w:rsid w:val="00D43773"/>
    <w:rsid w:val="00D43B5F"/>
    <w:rsid w:val="00D45561"/>
    <w:rsid w:val="00D45EFA"/>
    <w:rsid w:val="00D46718"/>
    <w:rsid w:val="00D46D87"/>
    <w:rsid w:val="00D47B0D"/>
    <w:rsid w:val="00D47B7B"/>
    <w:rsid w:val="00D47C1C"/>
    <w:rsid w:val="00D50EBD"/>
    <w:rsid w:val="00D51D42"/>
    <w:rsid w:val="00D52024"/>
    <w:rsid w:val="00D532D3"/>
    <w:rsid w:val="00D55322"/>
    <w:rsid w:val="00D55A8C"/>
    <w:rsid w:val="00D56612"/>
    <w:rsid w:val="00D56DEF"/>
    <w:rsid w:val="00D57729"/>
    <w:rsid w:val="00D5775E"/>
    <w:rsid w:val="00D612CE"/>
    <w:rsid w:val="00D61697"/>
    <w:rsid w:val="00D61923"/>
    <w:rsid w:val="00D61F41"/>
    <w:rsid w:val="00D621EC"/>
    <w:rsid w:val="00D62284"/>
    <w:rsid w:val="00D624CE"/>
    <w:rsid w:val="00D62B3C"/>
    <w:rsid w:val="00D62F2A"/>
    <w:rsid w:val="00D65828"/>
    <w:rsid w:val="00D661B0"/>
    <w:rsid w:val="00D66954"/>
    <w:rsid w:val="00D700DB"/>
    <w:rsid w:val="00D70ECD"/>
    <w:rsid w:val="00D725C9"/>
    <w:rsid w:val="00D74BF7"/>
    <w:rsid w:val="00D752FD"/>
    <w:rsid w:val="00D760F9"/>
    <w:rsid w:val="00D76114"/>
    <w:rsid w:val="00D76EF2"/>
    <w:rsid w:val="00D80029"/>
    <w:rsid w:val="00D801EC"/>
    <w:rsid w:val="00D80F7E"/>
    <w:rsid w:val="00D8123E"/>
    <w:rsid w:val="00D812D8"/>
    <w:rsid w:val="00D829DB"/>
    <w:rsid w:val="00D82F1D"/>
    <w:rsid w:val="00D83A46"/>
    <w:rsid w:val="00D84787"/>
    <w:rsid w:val="00D847E7"/>
    <w:rsid w:val="00D84936"/>
    <w:rsid w:val="00D85E23"/>
    <w:rsid w:val="00D865CF"/>
    <w:rsid w:val="00D870E7"/>
    <w:rsid w:val="00D878D7"/>
    <w:rsid w:val="00D879D8"/>
    <w:rsid w:val="00D87F35"/>
    <w:rsid w:val="00D90079"/>
    <w:rsid w:val="00D906A8"/>
    <w:rsid w:val="00D90AB0"/>
    <w:rsid w:val="00D90E40"/>
    <w:rsid w:val="00D91A29"/>
    <w:rsid w:val="00D91B29"/>
    <w:rsid w:val="00D92316"/>
    <w:rsid w:val="00D9294D"/>
    <w:rsid w:val="00D93DC6"/>
    <w:rsid w:val="00D94279"/>
    <w:rsid w:val="00D95C79"/>
    <w:rsid w:val="00D960C4"/>
    <w:rsid w:val="00D96651"/>
    <w:rsid w:val="00D97850"/>
    <w:rsid w:val="00D97E9D"/>
    <w:rsid w:val="00DA0DEE"/>
    <w:rsid w:val="00DA1291"/>
    <w:rsid w:val="00DA2503"/>
    <w:rsid w:val="00DA35B5"/>
    <w:rsid w:val="00DA4164"/>
    <w:rsid w:val="00DA4274"/>
    <w:rsid w:val="00DA443C"/>
    <w:rsid w:val="00DA4DCF"/>
    <w:rsid w:val="00DA66F7"/>
    <w:rsid w:val="00DA7F93"/>
    <w:rsid w:val="00DB1733"/>
    <w:rsid w:val="00DB2480"/>
    <w:rsid w:val="00DB3BD7"/>
    <w:rsid w:val="00DB3CC0"/>
    <w:rsid w:val="00DB3F91"/>
    <w:rsid w:val="00DB40AD"/>
    <w:rsid w:val="00DB4226"/>
    <w:rsid w:val="00DB4D2A"/>
    <w:rsid w:val="00DB55DE"/>
    <w:rsid w:val="00DB60D4"/>
    <w:rsid w:val="00DB693C"/>
    <w:rsid w:val="00DB7776"/>
    <w:rsid w:val="00DB7F7C"/>
    <w:rsid w:val="00DC0362"/>
    <w:rsid w:val="00DC04EE"/>
    <w:rsid w:val="00DC08CD"/>
    <w:rsid w:val="00DC1BC9"/>
    <w:rsid w:val="00DC39E3"/>
    <w:rsid w:val="00DC3C35"/>
    <w:rsid w:val="00DC515F"/>
    <w:rsid w:val="00DC5DD1"/>
    <w:rsid w:val="00DC6C2C"/>
    <w:rsid w:val="00DC7362"/>
    <w:rsid w:val="00DD15DB"/>
    <w:rsid w:val="00DD1784"/>
    <w:rsid w:val="00DD1A72"/>
    <w:rsid w:val="00DD1C47"/>
    <w:rsid w:val="00DD3393"/>
    <w:rsid w:val="00DD36C4"/>
    <w:rsid w:val="00DD48D2"/>
    <w:rsid w:val="00DD521A"/>
    <w:rsid w:val="00DD5516"/>
    <w:rsid w:val="00DD5A38"/>
    <w:rsid w:val="00DD5F9F"/>
    <w:rsid w:val="00DD622A"/>
    <w:rsid w:val="00DD68A5"/>
    <w:rsid w:val="00DE0706"/>
    <w:rsid w:val="00DE0730"/>
    <w:rsid w:val="00DE386B"/>
    <w:rsid w:val="00DE3C7C"/>
    <w:rsid w:val="00DE53C1"/>
    <w:rsid w:val="00DE64A8"/>
    <w:rsid w:val="00DE6A06"/>
    <w:rsid w:val="00DE6BE7"/>
    <w:rsid w:val="00DF02C5"/>
    <w:rsid w:val="00DF0AF3"/>
    <w:rsid w:val="00DF0C6E"/>
    <w:rsid w:val="00DF31A8"/>
    <w:rsid w:val="00DF37C9"/>
    <w:rsid w:val="00DF39E9"/>
    <w:rsid w:val="00DF6383"/>
    <w:rsid w:val="00DF6EB3"/>
    <w:rsid w:val="00DF757D"/>
    <w:rsid w:val="00DF76D8"/>
    <w:rsid w:val="00E004EF"/>
    <w:rsid w:val="00E01625"/>
    <w:rsid w:val="00E033A4"/>
    <w:rsid w:val="00E03CAF"/>
    <w:rsid w:val="00E042FA"/>
    <w:rsid w:val="00E0480B"/>
    <w:rsid w:val="00E049AE"/>
    <w:rsid w:val="00E04BE3"/>
    <w:rsid w:val="00E0505B"/>
    <w:rsid w:val="00E05687"/>
    <w:rsid w:val="00E05ACE"/>
    <w:rsid w:val="00E05C56"/>
    <w:rsid w:val="00E061A6"/>
    <w:rsid w:val="00E07557"/>
    <w:rsid w:val="00E07E14"/>
    <w:rsid w:val="00E07F66"/>
    <w:rsid w:val="00E10E6F"/>
    <w:rsid w:val="00E10F8D"/>
    <w:rsid w:val="00E11B7C"/>
    <w:rsid w:val="00E11E99"/>
    <w:rsid w:val="00E11EDD"/>
    <w:rsid w:val="00E122EB"/>
    <w:rsid w:val="00E12840"/>
    <w:rsid w:val="00E13EED"/>
    <w:rsid w:val="00E14828"/>
    <w:rsid w:val="00E14D2A"/>
    <w:rsid w:val="00E16ACF"/>
    <w:rsid w:val="00E17EA6"/>
    <w:rsid w:val="00E206CF"/>
    <w:rsid w:val="00E20F74"/>
    <w:rsid w:val="00E21729"/>
    <w:rsid w:val="00E2300A"/>
    <w:rsid w:val="00E233AF"/>
    <w:rsid w:val="00E240C8"/>
    <w:rsid w:val="00E25B69"/>
    <w:rsid w:val="00E30F4B"/>
    <w:rsid w:val="00E3140F"/>
    <w:rsid w:val="00E31953"/>
    <w:rsid w:val="00E330C7"/>
    <w:rsid w:val="00E35113"/>
    <w:rsid w:val="00E358FB"/>
    <w:rsid w:val="00E35C63"/>
    <w:rsid w:val="00E35CC1"/>
    <w:rsid w:val="00E360B7"/>
    <w:rsid w:val="00E36149"/>
    <w:rsid w:val="00E36C23"/>
    <w:rsid w:val="00E36C55"/>
    <w:rsid w:val="00E37031"/>
    <w:rsid w:val="00E3723A"/>
    <w:rsid w:val="00E40192"/>
    <w:rsid w:val="00E42F12"/>
    <w:rsid w:val="00E431FB"/>
    <w:rsid w:val="00E455A8"/>
    <w:rsid w:val="00E45A63"/>
    <w:rsid w:val="00E45D24"/>
    <w:rsid w:val="00E46AC4"/>
    <w:rsid w:val="00E46E4F"/>
    <w:rsid w:val="00E47EBF"/>
    <w:rsid w:val="00E500C3"/>
    <w:rsid w:val="00E50D9B"/>
    <w:rsid w:val="00E50E26"/>
    <w:rsid w:val="00E50F58"/>
    <w:rsid w:val="00E51A6A"/>
    <w:rsid w:val="00E527F7"/>
    <w:rsid w:val="00E53077"/>
    <w:rsid w:val="00E537E1"/>
    <w:rsid w:val="00E545F6"/>
    <w:rsid w:val="00E546C5"/>
    <w:rsid w:val="00E54E9D"/>
    <w:rsid w:val="00E550F6"/>
    <w:rsid w:val="00E55997"/>
    <w:rsid w:val="00E57AC6"/>
    <w:rsid w:val="00E57B06"/>
    <w:rsid w:val="00E57CC0"/>
    <w:rsid w:val="00E57F25"/>
    <w:rsid w:val="00E60E17"/>
    <w:rsid w:val="00E62693"/>
    <w:rsid w:val="00E62CA8"/>
    <w:rsid w:val="00E632EA"/>
    <w:rsid w:val="00E6352A"/>
    <w:rsid w:val="00E648C4"/>
    <w:rsid w:val="00E6596D"/>
    <w:rsid w:val="00E65AE4"/>
    <w:rsid w:val="00E65C18"/>
    <w:rsid w:val="00E6623A"/>
    <w:rsid w:val="00E6638C"/>
    <w:rsid w:val="00E67540"/>
    <w:rsid w:val="00E6764E"/>
    <w:rsid w:val="00E6795B"/>
    <w:rsid w:val="00E70F91"/>
    <w:rsid w:val="00E71C9C"/>
    <w:rsid w:val="00E71F85"/>
    <w:rsid w:val="00E72954"/>
    <w:rsid w:val="00E7311D"/>
    <w:rsid w:val="00E74682"/>
    <w:rsid w:val="00E7483C"/>
    <w:rsid w:val="00E74A48"/>
    <w:rsid w:val="00E755FB"/>
    <w:rsid w:val="00E75EA6"/>
    <w:rsid w:val="00E763CD"/>
    <w:rsid w:val="00E764D2"/>
    <w:rsid w:val="00E7679B"/>
    <w:rsid w:val="00E76FE7"/>
    <w:rsid w:val="00E77131"/>
    <w:rsid w:val="00E77FB0"/>
    <w:rsid w:val="00E800D5"/>
    <w:rsid w:val="00E804A4"/>
    <w:rsid w:val="00E804BF"/>
    <w:rsid w:val="00E80CA7"/>
    <w:rsid w:val="00E81916"/>
    <w:rsid w:val="00E81A90"/>
    <w:rsid w:val="00E8265F"/>
    <w:rsid w:val="00E83550"/>
    <w:rsid w:val="00E8422C"/>
    <w:rsid w:val="00E84542"/>
    <w:rsid w:val="00E84556"/>
    <w:rsid w:val="00E85BC4"/>
    <w:rsid w:val="00E863E8"/>
    <w:rsid w:val="00E873BE"/>
    <w:rsid w:val="00E8793D"/>
    <w:rsid w:val="00E87D28"/>
    <w:rsid w:val="00E90233"/>
    <w:rsid w:val="00E90694"/>
    <w:rsid w:val="00E909A1"/>
    <w:rsid w:val="00E90F6F"/>
    <w:rsid w:val="00E92F3D"/>
    <w:rsid w:val="00E9304D"/>
    <w:rsid w:val="00E94070"/>
    <w:rsid w:val="00E9417C"/>
    <w:rsid w:val="00E945F2"/>
    <w:rsid w:val="00E946D2"/>
    <w:rsid w:val="00E95826"/>
    <w:rsid w:val="00E95C64"/>
    <w:rsid w:val="00E960D4"/>
    <w:rsid w:val="00E968C5"/>
    <w:rsid w:val="00E96996"/>
    <w:rsid w:val="00E96F04"/>
    <w:rsid w:val="00EA0279"/>
    <w:rsid w:val="00EA0296"/>
    <w:rsid w:val="00EA0A4B"/>
    <w:rsid w:val="00EA10DC"/>
    <w:rsid w:val="00EA165E"/>
    <w:rsid w:val="00EA1A34"/>
    <w:rsid w:val="00EA239D"/>
    <w:rsid w:val="00EA33AE"/>
    <w:rsid w:val="00EA33E6"/>
    <w:rsid w:val="00EA3530"/>
    <w:rsid w:val="00EA452A"/>
    <w:rsid w:val="00EA50F9"/>
    <w:rsid w:val="00EA6FF6"/>
    <w:rsid w:val="00EA7194"/>
    <w:rsid w:val="00EA719A"/>
    <w:rsid w:val="00EA71A2"/>
    <w:rsid w:val="00EA7257"/>
    <w:rsid w:val="00EA79EE"/>
    <w:rsid w:val="00EA7BAD"/>
    <w:rsid w:val="00EA7E59"/>
    <w:rsid w:val="00EB011D"/>
    <w:rsid w:val="00EB0B76"/>
    <w:rsid w:val="00EB0BAF"/>
    <w:rsid w:val="00EB11DB"/>
    <w:rsid w:val="00EB166A"/>
    <w:rsid w:val="00EB264B"/>
    <w:rsid w:val="00EB2D08"/>
    <w:rsid w:val="00EB356C"/>
    <w:rsid w:val="00EB464A"/>
    <w:rsid w:val="00EB489E"/>
    <w:rsid w:val="00EB4CDF"/>
    <w:rsid w:val="00EB6B6A"/>
    <w:rsid w:val="00EB70A3"/>
    <w:rsid w:val="00EB7567"/>
    <w:rsid w:val="00EB7A35"/>
    <w:rsid w:val="00EC001A"/>
    <w:rsid w:val="00EC0549"/>
    <w:rsid w:val="00EC0C8F"/>
    <w:rsid w:val="00EC22A5"/>
    <w:rsid w:val="00EC2593"/>
    <w:rsid w:val="00EC259D"/>
    <w:rsid w:val="00EC2987"/>
    <w:rsid w:val="00EC33E8"/>
    <w:rsid w:val="00EC362D"/>
    <w:rsid w:val="00EC39F0"/>
    <w:rsid w:val="00EC3E27"/>
    <w:rsid w:val="00EC4408"/>
    <w:rsid w:val="00EC68E6"/>
    <w:rsid w:val="00EC758B"/>
    <w:rsid w:val="00EC7DCF"/>
    <w:rsid w:val="00ED139B"/>
    <w:rsid w:val="00ED18AA"/>
    <w:rsid w:val="00ED2BBE"/>
    <w:rsid w:val="00ED36D6"/>
    <w:rsid w:val="00ED3B5F"/>
    <w:rsid w:val="00ED42BE"/>
    <w:rsid w:val="00ED4F99"/>
    <w:rsid w:val="00ED5CF8"/>
    <w:rsid w:val="00ED6863"/>
    <w:rsid w:val="00ED6ADE"/>
    <w:rsid w:val="00EE07FE"/>
    <w:rsid w:val="00EE1834"/>
    <w:rsid w:val="00EE1990"/>
    <w:rsid w:val="00EE1C26"/>
    <w:rsid w:val="00EE206B"/>
    <w:rsid w:val="00EE4623"/>
    <w:rsid w:val="00EE4C67"/>
    <w:rsid w:val="00EE5240"/>
    <w:rsid w:val="00EE5B8F"/>
    <w:rsid w:val="00EE6AEC"/>
    <w:rsid w:val="00EE710F"/>
    <w:rsid w:val="00EF13F3"/>
    <w:rsid w:val="00EF16FC"/>
    <w:rsid w:val="00EF247D"/>
    <w:rsid w:val="00EF278F"/>
    <w:rsid w:val="00EF29AC"/>
    <w:rsid w:val="00EF394F"/>
    <w:rsid w:val="00EF3A17"/>
    <w:rsid w:val="00EF3F60"/>
    <w:rsid w:val="00EF455A"/>
    <w:rsid w:val="00EF4562"/>
    <w:rsid w:val="00EF4EE9"/>
    <w:rsid w:val="00EF5279"/>
    <w:rsid w:val="00EF5F72"/>
    <w:rsid w:val="00EF724F"/>
    <w:rsid w:val="00EF7B9D"/>
    <w:rsid w:val="00F005D1"/>
    <w:rsid w:val="00F00F2D"/>
    <w:rsid w:val="00F014CA"/>
    <w:rsid w:val="00F022CE"/>
    <w:rsid w:val="00F02C9A"/>
    <w:rsid w:val="00F03672"/>
    <w:rsid w:val="00F04841"/>
    <w:rsid w:val="00F04F6C"/>
    <w:rsid w:val="00F05107"/>
    <w:rsid w:val="00F054DB"/>
    <w:rsid w:val="00F056C4"/>
    <w:rsid w:val="00F0607D"/>
    <w:rsid w:val="00F068F2"/>
    <w:rsid w:val="00F10878"/>
    <w:rsid w:val="00F1150D"/>
    <w:rsid w:val="00F11CF7"/>
    <w:rsid w:val="00F122E5"/>
    <w:rsid w:val="00F13348"/>
    <w:rsid w:val="00F13A85"/>
    <w:rsid w:val="00F1463F"/>
    <w:rsid w:val="00F14F95"/>
    <w:rsid w:val="00F15711"/>
    <w:rsid w:val="00F1574F"/>
    <w:rsid w:val="00F17E9E"/>
    <w:rsid w:val="00F203E2"/>
    <w:rsid w:val="00F204CA"/>
    <w:rsid w:val="00F2052A"/>
    <w:rsid w:val="00F20C7E"/>
    <w:rsid w:val="00F20CC0"/>
    <w:rsid w:val="00F20F77"/>
    <w:rsid w:val="00F218A6"/>
    <w:rsid w:val="00F220D1"/>
    <w:rsid w:val="00F2216A"/>
    <w:rsid w:val="00F22A30"/>
    <w:rsid w:val="00F23EC0"/>
    <w:rsid w:val="00F24547"/>
    <w:rsid w:val="00F24B3E"/>
    <w:rsid w:val="00F24CFD"/>
    <w:rsid w:val="00F25B75"/>
    <w:rsid w:val="00F261DE"/>
    <w:rsid w:val="00F261EB"/>
    <w:rsid w:val="00F2699B"/>
    <w:rsid w:val="00F26B9A"/>
    <w:rsid w:val="00F278F3"/>
    <w:rsid w:val="00F27F52"/>
    <w:rsid w:val="00F30341"/>
    <w:rsid w:val="00F30439"/>
    <w:rsid w:val="00F30874"/>
    <w:rsid w:val="00F30E9F"/>
    <w:rsid w:val="00F318E2"/>
    <w:rsid w:val="00F31E22"/>
    <w:rsid w:val="00F321F8"/>
    <w:rsid w:val="00F323DF"/>
    <w:rsid w:val="00F32D15"/>
    <w:rsid w:val="00F32E03"/>
    <w:rsid w:val="00F33BE7"/>
    <w:rsid w:val="00F33C18"/>
    <w:rsid w:val="00F3413A"/>
    <w:rsid w:val="00F3510A"/>
    <w:rsid w:val="00F3540F"/>
    <w:rsid w:val="00F35DDD"/>
    <w:rsid w:val="00F36586"/>
    <w:rsid w:val="00F36A7E"/>
    <w:rsid w:val="00F36AD3"/>
    <w:rsid w:val="00F36CCD"/>
    <w:rsid w:val="00F378BB"/>
    <w:rsid w:val="00F404F7"/>
    <w:rsid w:val="00F41037"/>
    <w:rsid w:val="00F416E7"/>
    <w:rsid w:val="00F41D9F"/>
    <w:rsid w:val="00F42241"/>
    <w:rsid w:val="00F42321"/>
    <w:rsid w:val="00F42D8B"/>
    <w:rsid w:val="00F430C2"/>
    <w:rsid w:val="00F44422"/>
    <w:rsid w:val="00F447EC"/>
    <w:rsid w:val="00F457F3"/>
    <w:rsid w:val="00F45AB5"/>
    <w:rsid w:val="00F45DF8"/>
    <w:rsid w:val="00F460AB"/>
    <w:rsid w:val="00F46958"/>
    <w:rsid w:val="00F46B52"/>
    <w:rsid w:val="00F46D20"/>
    <w:rsid w:val="00F472E5"/>
    <w:rsid w:val="00F4775E"/>
    <w:rsid w:val="00F4787C"/>
    <w:rsid w:val="00F50220"/>
    <w:rsid w:val="00F51791"/>
    <w:rsid w:val="00F51F74"/>
    <w:rsid w:val="00F53752"/>
    <w:rsid w:val="00F53949"/>
    <w:rsid w:val="00F558D8"/>
    <w:rsid w:val="00F559A8"/>
    <w:rsid w:val="00F5649D"/>
    <w:rsid w:val="00F566F1"/>
    <w:rsid w:val="00F56B63"/>
    <w:rsid w:val="00F56C24"/>
    <w:rsid w:val="00F56FCA"/>
    <w:rsid w:val="00F57C3C"/>
    <w:rsid w:val="00F601B3"/>
    <w:rsid w:val="00F61D6E"/>
    <w:rsid w:val="00F62132"/>
    <w:rsid w:val="00F62CE0"/>
    <w:rsid w:val="00F62D36"/>
    <w:rsid w:val="00F63783"/>
    <w:rsid w:val="00F63969"/>
    <w:rsid w:val="00F642B5"/>
    <w:rsid w:val="00F64C09"/>
    <w:rsid w:val="00F64D8F"/>
    <w:rsid w:val="00F65C34"/>
    <w:rsid w:val="00F66066"/>
    <w:rsid w:val="00F661C2"/>
    <w:rsid w:val="00F66639"/>
    <w:rsid w:val="00F670E6"/>
    <w:rsid w:val="00F704DA"/>
    <w:rsid w:val="00F7075B"/>
    <w:rsid w:val="00F70D4C"/>
    <w:rsid w:val="00F70E2E"/>
    <w:rsid w:val="00F716E5"/>
    <w:rsid w:val="00F722F6"/>
    <w:rsid w:val="00F7248D"/>
    <w:rsid w:val="00F72765"/>
    <w:rsid w:val="00F75138"/>
    <w:rsid w:val="00F769CC"/>
    <w:rsid w:val="00F7722E"/>
    <w:rsid w:val="00F7743D"/>
    <w:rsid w:val="00F77AD1"/>
    <w:rsid w:val="00F77BF2"/>
    <w:rsid w:val="00F81B89"/>
    <w:rsid w:val="00F82E6E"/>
    <w:rsid w:val="00F82FD3"/>
    <w:rsid w:val="00F83ECC"/>
    <w:rsid w:val="00F84351"/>
    <w:rsid w:val="00F8508A"/>
    <w:rsid w:val="00F85121"/>
    <w:rsid w:val="00F85A4C"/>
    <w:rsid w:val="00F85DC3"/>
    <w:rsid w:val="00F86414"/>
    <w:rsid w:val="00F90A7B"/>
    <w:rsid w:val="00F92EE1"/>
    <w:rsid w:val="00F93485"/>
    <w:rsid w:val="00F948D2"/>
    <w:rsid w:val="00F94E3F"/>
    <w:rsid w:val="00F95327"/>
    <w:rsid w:val="00F96065"/>
    <w:rsid w:val="00F9701C"/>
    <w:rsid w:val="00F97372"/>
    <w:rsid w:val="00F97522"/>
    <w:rsid w:val="00F975DF"/>
    <w:rsid w:val="00F976EE"/>
    <w:rsid w:val="00FA0013"/>
    <w:rsid w:val="00FA1FF2"/>
    <w:rsid w:val="00FA2BCC"/>
    <w:rsid w:val="00FA3270"/>
    <w:rsid w:val="00FA3533"/>
    <w:rsid w:val="00FA3DBF"/>
    <w:rsid w:val="00FA45AF"/>
    <w:rsid w:val="00FA4E5E"/>
    <w:rsid w:val="00FA5387"/>
    <w:rsid w:val="00FA57B3"/>
    <w:rsid w:val="00FA59F6"/>
    <w:rsid w:val="00FA5A3E"/>
    <w:rsid w:val="00FA65B8"/>
    <w:rsid w:val="00FA69DB"/>
    <w:rsid w:val="00FB0056"/>
    <w:rsid w:val="00FB0AB7"/>
    <w:rsid w:val="00FB0B7E"/>
    <w:rsid w:val="00FB117C"/>
    <w:rsid w:val="00FB1C86"/>
    <w:rsid w:val="00FB22EE"/>
    <w:rsid w:val="00FB25A7"/>
    <w:rsid w:val="00FB2A57"/>
    <w:rsid w:val="00FB323B"/>
    <w:rsid w:val="00FB328F"/>
    <w:rsid w:val="00FB3D56"/>
    <w:rsid w:val="00FB4315"/>
    <w:rsid w:val="00FB45D9"/>
    <w:rsid w:val="00FB4A3C"/>
    <w:rsid w:val="00FB6452"/>
    <w:rsid w:val="00FB7031"/>
    <w:rsid w:val="00FB7461"/>
    <w:rsid w:val="00FC0017"/>
    <w:rsid w:val="00FC0188"/>
    <w:rsid w:val="00FC01BC"/>
    <w:rsid w:val="00FC0383"/>
    <w:rsid w:val="00FC0755"/>
    <w:rsid w:val="00FC0BC7"/>
    <w:rsid w:val="00FC1D75"/>
    <w:rsid w:val="00FC364D"/>
    <w:rsid w:val="00FC3AD8"/>
    <w:rsid w:val="00FC466E"/>
    <w:rsid w:val="00FC4E52"/>
    <w:rsid w:val="00FC5164"/>
    <w:rsid w:val="00FC5DFC"/>
    <w:rsid w:val="00FC6E54"/>
    <w:rsid w:val="00FC709D"/>
    <w:rsid w:val="00FC782E"/>
    <w:rsid w:val="00FC7934"/>
    <w:rsid w:val="00FD0510"/>
    <w:rsid w:val="00FD0B65"/>
    <w:rsid w:val="00FD21B7"/>
    <w:rsid w:val="00FD232E"/>
    <w:rsid w:val="00FD2373"/>
    <w:rsid w:val="00FD32C3"/>
    <w:rsid w:val="00FD349E"/>
    <w:rsid w:val="00FD49B4"/>
    <w:rsid w:val="00FD4A7E"/>
    <w:rsid w:val="00FD4A87"/>
    <w:rsid w:val="00FD5F40"/>
    <w:rsid w:val="00FD68F3"/>
    <w:rsid w:val="00FD7376"/>
    <w:rsid w:val="00FD7948"/>
    <w:rsid w:val="00FE00C9"/>
    <w:rsid w:val="00FE1305"/>
    <w:rsid w:val="00FE1A37"/>
    <w:rsid w:val="00FE2EAC"/>
    <w:rsid w:val="00FE38AB"/>
    <w:rsid w:val="00FE3FDB"/>
    <w:rsid w:val="00FE50AB"/>
    <w:rsid w:val="00FE58D0"/>
    <w:rsid w:val="00FE5931"/>
    <w:rsid w:val="00FE7190"/>
    <w:rsid w:val="00FF2650"/>
    <w:rsid w:val="00FF275C"/>
    <w:rsid w:val="00FF2823"/>
    <w:rsid w:val="00FF433D"/>
    <w:rsid w:val="00FF4E98"/>
    <w:rsid w:val="00FF5099"/>
    <w:rsid w:val="00FF56EF"/>
    <w:rsid w:val="00FF5734"/>
    <w:rsid w:val="00FF57EA"/>
    <w:rsid w:val="00FF62B8"/>
    <w:rsid w:val="00FF6BF1"/>
    <w:rsid w:val="00FF6ED0"/>
    <w:rsid w:val="00FF7764"/>
    <w:rsid w:val="00FF7CC6"/>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C3A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6CC9"/>
    <w:rPr>
      <w:lang w:val="sq-AL"/>
    </w:rPr>
  </w:style>
  <w:style w:type="paragraph" w:styleId="Heading1">
    <w:name w:val="heading 1"/>
    <w:basedOn w:val="Normal"/>
    <w:next w:val="Normal"/>
    <w:link w:val="Heading1Char"/>
    <w:qFormat/>
    <w:rsid w:val="009B3F22"/>
    <w:pPr>
      <w:keepNext/>
      <w:outlineLvl w:val="0"/>
    </w:pPr>
    <w:rPr>
      <w:b/>
      <w:sz w:val="28"/>
      <w:lang w:val="en-IE"/>
    </w:rPr>
  </w:style>
  <w:style w:type="paragraph" w:styleId="Heading2">
    <w:name w:val="heading 2"/>
    <w:aliases w:val="Heading 2 Char Char,Reset numbering,PARA2,PARA21,Major1,PARA22,Subhead1"/>
    <w:basedOn w:val="Normal"/>
    <w:next w:val="Normal"/>
    <w:link w:val="Heading2Char1"/>
    <w:qFormat/>
    <w:rsid w:val="009B3F22"/>
    <w:pPr>
      <w:keepNext/>
      <w:spacing w:before="240" w:after="60"/>
      <w:outlineLvl w:val="1"/>
    </w:pPr>
    <w:rPr>
      <w:b/>
      <w:bCs/>
      <w:szCs w:val="28"/>
    </w:rPr>
  </w:style>
  <w:style w:type="paragraph" w:styleId="Heading3">
    <w:name w:val="heading 3"/>
    <w:aliases w:val="Level 1 - 1,Section heading level 1,Section Heading Level 1"/>
    <w:basedOn w:val="Normal"/>
    <w:next w:val="BodyText"/>
    <w:link w:val="Heading3Char"/>
    <w:qFormat/>
    <w:rsid w:val="009B3F22"/>
    <w:pPr>
      <w:keepNext/>
      <w:keepLines/>
      <w:spacing w:before="240" w:after="80"/>
      <w:outlineLvl w:val="2"/>
    </w:pPr>
    <w:rPr>
      <w:b/>
      <w:kern w:val="28"/>
      <w:sz w:val="22"/>
    </w:rPr>
  </w:style>
  <w:style w:type="paragraph" w:styleId="Heading4">
    <w:name w:val="heading 4"/>
    <w:basedOn w:val="Normal"/>
    <w:next w:val="Normal"/>
    <w:link w:val="Heading4Char"/>
    <w:qFormat/>
    <w:rsid w:val="009B3F22"/>
    <w:pPr>
      <w:keepNext/>
      <w:spacing w:before="240" w:after="60"/>
      <w:outlineLvl w:val="3"/>
    </w:pPr>
    <w:rPr>
      <w:b/>
      <w:bCs/>
      <w:sz w:val="28"/>
      <w:szCs w:val="28"/>
    </w:rPr>
  </w:style>
  <w:style w:type="paragraph" w:styleId="Heading5">
    <w:name w:val="heading 5"/>
    <w:aliases w:val="Level 3 - i"/>
    <w:basedOn w:val="Normal"/>
    <w:next w:val="Normal"/>
    <w:link w:val="Heading5Char"/>
    <w:qFormat/>
    <w:rsid w:val="009B3F22"/>
    <w:pPr>
      <w:spacing w:before="240" w:after="60"/>
      <w:outlineLvl w:val="4"/>
    </w:pPr>
    <w:rPr>
      <w:b/>
      <w:bCs/>
      <w:i/>
      <w:iCs/>
      <w:sz w:val="26"/>
      <w:szCs w:val="26"/>
    </w:rPr>
  </w:style>
  <w:style w:type="paragraph" w:styleId="Heading6">
    <w:name w:val="heading 6"/>
    <w:basedOn w:val="Normal"/>
    <w:next w:val="Normal"/>
    <w:link w:val="Heading6Char"/>
    <w:qFormat/>
    <w:rsid w:val="009B3F22"/>
    <w:pPr>
      <w:spacing w:before="240" w:after="60"/>
      <w:outlineLvl w:val="5"/>
    </w:pPr>
    <w:rPr>
      <w:b/>
      <w:bCs/>
      <w:sz w:val="22"/>
      <w:szCs w:val="22"/>
    </w:rPr>
  </w:style>
  <w:style w:type="paragraph" w:styleId="Heading7">
    <w:name w:val="heading 7"/>
    <w:basedOn w:val="Normal"/>
    <w:next w:val="Normal"/>
    <w:link w:val="Heading7Char"/>
    <w:qFormat/>
    <w:rsid w:val="009B3F22"/>
    <w:pPr>
      <w:spacing w:before="240" w:after="60"/>
      <w:outlineLvl w:val="6"/>
    </w:pPr>
  </w:style>
  <w:style w:type="paragraph" w:styleId="Heading8">
    <w:name w:val="heading 8"/>
    <w:basedOn w:val="Normal"/>
    <w:next w:val="Normal"/>
    <w:link w:val="Heading8Char"/>
    <w:qFormat/>
    <w:rsid w:val="009B3F22"/>
    <w:pPr>
      <w:spacing w:before="240" w:after="60"/>
      <w:outlineLvl w:val="7"/>
    </w:pPr>
    <w:rPr>
      <w:i/>
      <w:iCs/>
    </w:rPr>
  </w:style>
  <w:style w:type="paragraph" w:styleId="Heading9">
    <w:name w:val="heading 9"/>
    <w:basedOn w:val="Normal"/>
    <w:next w:val="Normal"/>
    <w:link w:val="Heading9Char"/>
    <w:qFormat/>
    <w:rsid w:val="009B3F22"/>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A - Corps de texte,TextMG"/>
    <w:basedOn w:val="Normal"/>
    <w:link w:val="BodyTextChar"/>
    <w:rsid w:val="009B3F22"/>
    <w:pPr>
      <w:spacing w:after="120"/>
    </w:pPr>
    <w:rPr>
      <w:sz w:val="20"/>
      <w:szCs w:val="20"/>
    </w:rPr>
  </w:style>
  <w:style w:type="paragraph" w:styleId="Footer">
    <w:name w:val="footer"/>
    <w:basedOn w:val="Normal"/>
    <w:link w:val="FooterChar"/>
    <w:rsid w:val="009B3F22"/>
    <w:pPr>
      <w:keepLines/>
      <w:tabs>
        <w:tab w:val="center" w:pos="4320"/>
        <w:tab w:val="right" w:pos="8640"/>
      </w:tabs>
    </w:pPr>
    <w:rPr>
      <w:sz w:val="20"/>
      <w:szCs w:val="20"/>
    </w:rPr>
  </w:style>
  <w:style w:type="paragraph" w:styleId="Header">
    <w:name w:val="header"/>
    <w:basedOn w:val="Normal"/>
    <w:link w:val="HeaderChar"/>
    <w:uiPriority w:val="99"/>
    <w:rsid w:val="009B3F22"/>
    <w:pPr>
      <w:keepLines/>
      <w:tabs>
        <w:tab w:val="center" w:pos="4320"/>
        <w:tab w:val="right" w:pos="8640"/>
      </w:tabs>
    </w:pPr>
    <w:rPr>
      <w:sz w:val="20"/>
      <w:szCs w:val="20"/>
    </w:rPr>
  </w:style>
  <w:style w:type="paragraph" w:customStyle="1" w:styleId="Pages">
    <w:name w:val="Pages"/>
    <w:basedOn w:val="BodyText"/>
    <w:rsid w:val="009B3F22"/>
    <w:pPr>
      <w:spacing w:after="0"/>
    </w:pPr>
    <w:rPr>
      <w:rFonts w:ascii="Arial" w:hAnsi="Arial"/>
      <w:b/>
    </w:rPr>
  </w:style>
  <w:style w:type="character" w:styleId="PageNumber">
    <w:name w:val="page number"/>
    <w:rsid w:val="009B3F22"/>
    <w:rPr>
      <w:b/>
    </w:rPr>
  </w:style>
  <w:style w:type="character" w:styleId="Hyperlink">
    <w:name w:val="Hyperlink"/>
    <w:uiPriority w:val="99"/>
    <w:rsid w:val="009B3F22"/>
    <w:rPr>
      <w:color w:val="0000FF"/>
      <w:u w:val="single"/>
    </w:rPr>
  </w:style>
  <w:style w:type="paragraph" w:styleId="TOC2">
    <w:name w:val="toc 2"/>
    <w:basedOn w:val="Normal"/>
    <w:next w:val="Normal"/>
    <w:autoRedefine/>
    <w:uiPriority w:val="39"/>
    <w:rsid w:val="00866A35"/>
    <w:pPr>
      <w:ind w:left="240"/>
    </w:pPr>
    <w:rPr>
      <w:rFonts w:asciiTheme="minorHAnsi" w:hAnsiTheme="minorHAnsi"/>
      <w:b/>
      <w:sz w:val="22"/>
      <w:szCs w:val="22"/>
    </w:rPr>
  </w:style>
  <w:style w:type="paragraph" w:styleId="TOC3">
    <w:name w:val="toc 3"/>
    <w:basedOn w:val="Normal"/>
    <w:next w:val="Normal"/>
    <w:autoRedefine/>
    <w:uiPriority w:val="39"/>
    <w:semiHidden/>
    <w:rsid w:val="00A37535"/>
    <w:pPr>
      <w:ind w:left="480"/>
    </w:pPr>
    <w:rPr>
      <w:rFonts w:asciiTheme="minorHAnsi" w:hAnsiTheme="minorHAnsi"/>
      <w:sz w:val="22"/>
      <w:szCs w:val="22"/>
    </w:rPr>
  </w:style>
  <w:style w:type="character" w:styleId="FollowedHyperlink">
    <w:name w:val="FollowedHyperlink"/>
    <w:uiPriority w:val="99"/>
    <w:rsid w:val="009B3F22"/>
    <w:rPr>
      <w:color w:val="800080"/>
      <w:u w:val="single"/>
    </w:rPr>
  </w:style>
  <w:style w:type="paragraph" w:styleId="BodyText2">
    <w:name w:val="Body Text 2"/>
    <w:basedOn w:val="Normal"/>
    <w:link w:val="BodyText2Char"/>
    <w:rsid w:val="009B3F22"/>
    <w:pPr>
      <w:spacing w:after="120" w:line="480" w:lineRule="auto"/>
    </w:pPr>
    <w:rPr>
      <w:sz w:val="20"/>
      <w:szCs w:val="20"/>
    </w:rPr>
  </w:style>
  <w:style w:type="paragraph" w:styleId="TOC1">
    <w:name w:val="toc 1"/>
    <w:basedOn w:val="Normal"/>
    <w:next w:val="Normal"/>
    <w:autoRedefine/>
    <w:uiPriority w:val="39"/>
    <w:rsid w:val="00D11982"/>
    <w:pPr>
      <w:pBdr>
        <w:bottom w:val="single" w:sz="6" w:space="1" w:color="auto"/>
      </w:pBdr>
      <w:tabs>
        <w:tab w:val="left" w:pos="574"/>
        <w:tab w:val="right" w:leader="dot" w:pos="8751"/>
      </w:tabs>
      <w:spacing w:before="40"/>
      <w:ind w:left="992" w:hanging="425"/>
    </w:pPr>
    <w:rPr>
      <w:rFonts w:asciiTheme="majorHAnsi" w:hAnsiTheme="majorHAnsi"/>
      <w:b/>
      <w:noProof/>
      <w:color w:val="1F497D" w:themeColor="text2"/>
    </w:rPr>
  </w:style>
  <w:style w:type="paragraph" w:styleId="FootnoteText">
    <w:name w:val="footnote text"/>
    <w:aliases w:val="single space,footnote text,ft,FOOTNOTES,fn,Footnote Text Char Char Char Char,Footnote Text Char Char Char,ADB,Footnote Text Char Char Char Char Char,Footnote Text Char Char1,ALTS FOOTNOTE,Footnote Text Char2 Char"/>
    <w:basedOn w:val="Normal"/>
    <w:link w:val="FootnoteTextChar1"/>
    <w:qFormat/>
    <w:rsid w:val="00405B9D"/>
  </w:style>
  <w:style w:type="character" w:styleId="FootnoteReference">
    <w:name w:val="footnote reference"/>
    <w:aliases w:val="ftref,Fodnotehenvisning1,Footnote,BVI fnr Char,BVI fnr Car Car Char,BVI fnr Car Char,BVI fnr Car Car Car Car Char,BVI fnr Car Car Car Car Char Char Char, BVI fnr Char, BVI fnr Car Car Char, BVI fnr Car Car Car Car Char,fr,16 Point,Ref"/>
    <w:link w:val="Char2"/>
    <w:rsid w:val="00405B9D"/>
    <w:rPr>
      <w:bdr w:val="none" w:sz="0" w:space="0" w:color="auto"/>
      <w:vertAlign w:val="superscript"/>
    </w:rPr>
  </w:style>
  <w:style w:type="paragraph" w:customStyle="1" w:styleId="Normal1">
    <w:name w:val="Normal1"/>
    <w:basedOn w:val="Normal"/>
    <w:rsid w:val="009B3F22"/>
    <w:rPr>
      <w:rFonts w:ascii="CG Times" w:hAnsi="CG Times"/>
      <w:color w:val="000000"/>
    </w:rPr>
  </w:style>
  <w:style w:type="paragraph" w:styleId="ListBullet">
    <w:name w:val="List Bullet"/>
    <w:basedOn w:val="Normal"/>
    <w:autoRedefine/>
    <w:rsid w:val="009B3F22"/>
    <w:pPr>
      <w:numPr>
        <w:numId w:val="1"/>
      </w:numPr>
    </w:pPr>
  </w:style>
  <w:style w:type="character" w:styleId="CommentReference">
    <w:name w:val="annotation reference"/>
    <w:uiPriority w:val="99"/>
    <w:rsid w:val="009B3F22"/>
    <w:rPr>
      <w:sz w:val="16"/>
      <w:szCs w:val="16"/>
    </w:rPr>
  </w:style>
  <w:style w:type="paragraph" w:styleId="CommentText">
    <w:name w:val="annotation text"/>
    <w:basedOn w:val="Normal"/>
    <w:link w:val="CommentTextChar"/>
    <w:uiPriority w:val="99"/>
    <w:rsid w:val="009B3F22"/>
    <w:rPr>
      <w:sz w:val="20"/>
      <w:szCs w:val="20"/>
    </w:rPr>
  </w:style>
  <w:style w:type="paragraph" w:styleId="BodyTextIndent">
    <w:name w:val="Body Text Indent"/>
    <w:basedOn w:val="Normal"/>
    <w:link w:val="BodyTextIndentChar"/>
    <w:rsid w:val="009B3F22"/>
    <w:pPr>
      <w:spacing w:before="180"/>
      <w:ind w:left="360" w:hanging="180"/>
    </w:pPr>
    <w:rPr>
      <w:sz w:val="20"/>
      <w:szCs w:val="20"/>
    </w:rPr>
  </w:style>
  <w:style w:type="paragraph" w:styleId="BodyTextIndent2">
    <w:name w:val="Body Text Indent 2"/>
    <w:basedOn w:val="Normal"/>
    <w:rsid w:val="009B3F22"/>
    <w:pPr>
      <w:ind w:left="720"/>
      <w:jc w:val="both"/>
    </w:pPr>
    <w:rPr>
      <w:sz w:val="22"/>
      <w:szCs w:val="22"/>
    </w:rPr>
  </w:style>
  <w:style w:type="paragraph" w:styleId="BodyText3">
    <w:name w:val="Body Text 3"/>
    <w:basedOn w:val="Normal"/>
    <w:link w:val="BodyText3Char"/>
    <w:rsid w:val="009B3F22"/>
    <w:pPr>
      <w:spacing w:after="120"/>
    </w:pPr>
    <w:rPr>
      <w:sz w:val="16"/>
      <w:szCs w:val="16"/>
    </w:rPr>
  </w:style>
  <w:style w:type="paragraph" w:styleId="TOC4">
    <w:name w:val="toc 4"/>
    <w:basedOn w:val="Normal"/>
    <w:next w:val="Normal"/>
    <w:autoRedefine/>
    <w:uiPriority w:val="39"/>
    <w:semiHidden/>
    <w:rsid w:val="009B3F22"/>
    <w:pPr>
      <w:ind w:left="720"/>
    </w:pPr>
    <w:rPr>
      <w:rFonts w:asciiTheme="minorHAnsi" w:hAnsiTheme="minorHAnsi"/>
      <w:sz w:val="20"/>
      <w:szCs w:val="20"/>
    </w:rPr>
  </w:style>
  <w:style w:type="paragraph" w:styleId="TOC5">
    <w:name w:val="toc 5"/>
    <w:basedOn w:val="Normal"/>
    <w:next w:val="Normal"/>
    <w:autoRedefine/>
    <w:uiPriority w:val="39"/>
    <w:semiHidden/>
    <w:rsid w:val="009B3F22"/>
    <w:pPr>
      <w:ind w:left="960"/>
    </w:pPr>
    <w:rPr>
      <w:rFonts w:asciiTheme="minorHAnsi" w:hAnsiTheme="minorHAnsi"/>
      <w:sz w:val="20"/>
      <w:szCs w:val="20"/>
    </w:rPr>
  </w:style>
  <w:style w:type="paragraph" w:styleId="TOC6">
    <w:name w:val="toc 6"/>
    <w:basedOn w:val="Normal"/>
    <w:next w:val="Normal"/>
    <w:autoRedefine/>
    <w:uiPriority w:val="39"/>
    <w:semiHidden/>
    <w:rsid w:val="009B3F22"/>
    <w:pPr>
      <w:ind w:left="1200"/>
    </w:pPr>
    <w:rPr>
      <w:rFonts w:asciiTheme="minorHAnsi" w:hAnsiTheme="minorHAnsi"/>
      <w:sz w:val="20"/>
      <w:szCs w:val="20"/>
    </w:rPr>
  </w:style>
  <w:style w:type="paragraph" w:styleId="TOC7">
    <w:name w:val="toc 7"/>
    <w:basedOn w:val="Normal"/>
    <w:next w:val="Normal"/>
    <w:autoRedefine/>
    <w:uiPriority w:val="39"/>
    <w:semiHidden/>
    <w:rsid w:val="009B3F22"/>
    <w:pPr>
      <w:ind w:left="1440"/>
    </w:pPr>
    <w:rPr>
      <w:rFonts w:asciiTheme="minorHAnsi" w:hAnsiTheme="minorHAnsi"/>
      <w:sz w:val="20"/>
      <w:szCs w:val="20"/>
    </w:rPr>
  </w:style>
  <w:style w:type="paragraph" w:styleId="TOC8">
    <w:name w:val="toc 8"/>
    <w:basedOn w:val="Normal"/>
    <w:next w:val="Normal"/>
    <w:autoRedefine/>
    <w:uiPriority w:val="39"/>
    <w:semiHidden/>
    <w:rsid w:val="009B3F22"/>
    <w:pPr>
      <w:ind w:left="1680"/>
    </w:pPr>
    <w:rPr>
      <w:rFonts w:asciiTheme="minorHAnsi" w:hAnsiTheme="minorHAnsi"/>
      <w:sz w:val="20"/>
      <w:szCs w:val="20"/>
    </w:rPr>
  </w:style>
  <w:style w:type="paragraph" w:styleId="TOC9">
    <w:name w:val="toc 9"/>
    <w:basedOn w:val="Normal"/>
    <w:next w:val="Normal"/>
    <w:autoRedefine/>
    <w:uiPriority w:val="39"/>
    <w:semiHidden/>
    <w:rsid w:val="009B3F22"/>
    <w:pPr>
      <w:ind w:left="1920"/>
    </w:pPr>
    <w:rPr>
      <w:rFonts w:asciiTheme="minorHAnsi" w:hAnsiTheme="minorHAnsi"/>
      <w:sz w:val="20"/>
      <w:szCs w:val="20"/>
    </w:rPr>
  </w:style>
  <w:style w:type="paragraph" w:styleId="BodyTextIndent3">
    <w:name w:val="Body Text Indent 3"/>
    <w:basedOn w:val="Normal"/>
    <w:rsid w:val="009B3F22"/>
    <w:pPr>
      <w:ind w:left="60"/>
      <w:jc w:val="both"/>
    </w:pPr>
    <w:rPr>
      <w:sz w:val="22"/>
    </w:rPr>
  </w:style>
  <w:style w:type="paragraph" w:styleId="Subtitle">
    <w:name w:val="Subtitle"/>
    <w:basedOn w:val="Normal"/>
    <w:qFormat/>
    <w:rsid w:val="009B3F22"/>
    <w:pPr>
      <w:jc w:val="both"/>
    </w:pPr>
    <w:rPr>
      <w:b/>
      <w:bCs/>
    </w:rPr>
  </w:style>
  <w:style w:type="paragraph" w:styleId="TableofFigures">
    <w:name w:val="table of figures"/>
    <w:basedOn w:val="Normal"/>
    <w:next w:val="Normal"/>
    <w:semiHidden/>
    <w:rsid w:val="009B3F22"/>
    <w:pPr>
      <w:ind w:left="480" w:hanging="480"/>
    </w:pPr>
  </w:style>
  <w:style w:type="table" w:styleId="TableGrid">
    <w:name w:val="Table Grid"/>
    <w:basedOn w:val="TableNormal"/>
    <w:uiPriority w:val="59"/>
    <w:rsid w:val="00B55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_"/>
    <w:basedOn w:val="DefaultParagraphFont"/>
    <w:rsid w:val="005A16F1"/>
  </w:style>
  <w:style w:type="character" w:customStyle="1" w:styleId="Heading2Char1">
    <w:name w:val="Heading 2 Char1"/>
    <w:aliases w:val="Heading 2 Char Char Char,Reset numbering Char,PARA2 Char,PARA21 Char,Major1 Char,PARA22 Char,Subhead1 Char"/>
    <w:link w:val="Heading2"/>
    <w:rsid w:val="00196E0F"/>
    <w:rPr>
      <w:b/>
      <w:bCs/>
      <w:sz w:val="24"/>
      <w:szCs w:val="28"/>
      <w:lang w:val="en-GB"/>
    </w:rPr>
  </w:style>
  <w:style w:type="character" w:customStyle="1" w:styleId="Heading2CharCharCharChar">
    <w:name w:val="Heading 2 Char Char Char Char"/>
    <w:rsid w:val="00707D6E"/>
    <w:rPr>
      <w:b/>
      <w:bCs/>
      <w:sz w:val="24"/>
      <w:szCs w:val="28"/>
      <w:lang w:val="en-GB" w:eastAsia="en-US" w:bidi="ar-SA"/>
    </w:rPr>
  </w:style>
  <w:style w:type="paragraph" w:customStyle="1" w:styleId="NEI-NormaalPalatino11">
    <w:name w:val="NEI - Normaal (Palatino 11)"/>
    <w:basedOn w:val="Normal"/>
    <w:rsid w:val="00F81EF3"/>
    <w:pPr>
      <w:widowControl w:val="0"/>
      <w:jc w:val="both"/>
    </w:pPr>
    <w:rPr>
      <w:rFonts w:ascii="Palatino" w:hAnsi="Palatino" w:cs="Mangal"/>
      <w:sz w:val="22"/>
      <w:szCs w:val="22"/>
      <w:lang w:val="nl" w:bidi="ne-NP"/>
    </w:rPr>
  </w:style>
  <w:style w:type="paragraph" w:styleId="CommentSubject">
    <w:name w:val="annotation subject"/>
    <w:basedOn w:val="CommentText"/>
    <w:next w:val="CommentText"/>
    <w:semiHidden/>
    <w:rsid w:val="00F525E3"/>
    <w:rPr>
      <w:b/>
      <w:bCs/>
    </w:rPr>
  </w:style>
  <w:style w:type="paragraph" w:styleId="BalloonText">
    <w:name w:val="Balloon Text"/>
    <w:basedOn w:val="Normal"/>
    <w:link w:val="BalloonTextChar"/>
    <w:uiPriority w:val="99"/>
    <w:rsid w:val="00F525E3"/>
    <w:rPr>
      <w:rFonts w:ascii="Tahoma" w:hAnsi="Tahoma"/>
      <w:sz w:val="16"/>
      <w:szCs w:val="16"/>
    </w:rPr>
  </w:style>
  <w:style w:type="paragraph" w:customStyle="1" w:styleId="Titel3">
    <w:name w:val="Titel 3"/>
    <w:basedOn w:val="Normal"/>
    <w:next w:val="BodyText"/>
    <w:autoRedefine/>
    <w:rsid w:val="006826D4"/>
    <w:pPr>
      <w:widowControl w:val="0"/>
      <w:tabs>
        <w:tab w:val="left" w:pos="1418"/>
        <w:tab w:val="right" w:pos="8505"/>
      </w:tabs>
      <w:autoSpaceDE w:val="0"/>
      <w:autoSpaceDN w:val="0"/>
      <w:adjustRightInd w:val="0"/>
      <w:spacing w:before="120" w:after="120"/>
      <w:ind w:left="1418" w:hanging="1418"/>
      <w:jc w:val="both"/>
    </w:pPr>
    <w:rPr>
      <w:b/>
      <w:i/>
      <w:iCs/>
      <w:lang w:val="fr-FR" w:eastAsia="fr-FR"/>
    </w:rPr>
  </w:style>
  <w:style w:type="paragraph" w:styleId="Title">
    <w:name w:val="Title"/>
    <w:basedOn w:val="Normal"/>
    <w:qFormat/>
    <w:rsid w:val="0059434B"/>
    <w:pPr>
      <w:jc w:val="center"/>
    </w:pPr>
    <w:rPr>
      <w:b/>
      <w:bCs/>
      <w:sz w:val="28"/>
      <w:szCs w:val="28"/>
      <w:lang w:val="fr-FR" w:eastAsia="fr-FR"/>
    </w:rPr>
  </w:style>
  <w:style w:type="paragraph" w:customStyle="1" w:styleId="Headline2">
    <w:name w:val="Headline 2"/>
    <w:basedOn w:val="Normal"/>
    <w:rsid w:val="0089060D"/>
    <w:pPr>
      <w:jc w:val="both"/>
    </w:pPr>
    <w:rPr>
      <w:b/>
      <w:sz w:val="28"/>
      <w:lang w:val="en-US"/>
    </w:rPr>
  </w:style>
  <w:style w:type="paragraph" w:customStyle="1" w:styleId="Indentquote">
    <w:name w:val="Indent quote"/>
    <w:basedOn w:val="Normal"/>
    <w:rsid w:val="0089060D"/>
    <w:pPr>
      <w:tabs>
        <w:tab w:val="num" w:pos="1200"/>
      </w:tabs>
      <w:ind w:left="1200" w:hanging="360"/>
    </w:pPr>
    <w:rPr>
      <w:lang w:val="en-US"/>
    </w:rPr>
  </w:style>
  <w:style w:type="paragraph" w:styleId="Quote">
    <w:name w:val="Quote"/>
    <w:basedOn w:val="BodyTextIndent"/>
    <w:qFormat/>
    <w:rsid w:val="0089060D"/>
    <w:pPr>
      <w:tabs>
        <w:tab w:val="left" w:pos="7920"/>
        <w:tab w:val="left" w:pos="8640"/>
      </w:tabs>
      <w:spacing w:before="0"/>
      <w:ind w:left="720" w:right="720" w:firstLine="0"/>
      <w:jc w:val="both"/>
    </w:pPr>
    <w:rPr>
      <w:i/>
      <w:iCs/>
      <w:sz w:val="24"/>
      <w:szCs w:val="24"/>
      <w:lang w:val="en-US"/>
    </w:rPr>
  </w:style>
  <w:style w:type="paragraph" w:customStyle="1" w:styleId="TextbulletpointCharChar">
    <w:name w:val="Text bullet point Char Char"/>
    <w:basedOn w:val="Normal"/>
    <w:rsid w:val="0089060D"/>
    <w:pPr>
      <w:tabs>
        <w:tab w:val="num" w:pos="360"/>
      </w:tabs>
      <w:ind w:left="360" w:hanging="360"/>
      <w:jc w:val="both"/>
    </w:pPr>
    <w:rPr>
      <w:lang w:val="en-US"/>
    </w:rPr>
  </w:style>
  <w:style w:type="paragraph" w:customStyle="1" w:styleId="xl40">
    <w:name w:val="xl40"/>
    <w:basedOn w:val="Normal"/>
    <w:rsid w:val="004070BB"/>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Times" w:hAnsi="Times"/>
      <w:lang w:val="en-US"/>
    </w:rPr>
  </w:style>
  <w:style w:type="paragraph" w:customStyle="1" w:styleId="xl25">
    <w:name w:val="xl25"/>
    <w:basedOn w:val="Normal"/>
    <w:rsid w:val="004070BB"/>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b/>
      <w:i/>
      <w:lang w:val="en-US"/>
    </w:rPr>
  </w:style>
  <w:style w:type="paragraph" w:customStyle="1" w:styleId="xl26">
    <w:name w:val="xl26"/>
    <w:basedOn w:val="Normal"/>
    <w:rsid w:val="004070BB"/>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w:hAnsi="Arial"/>
      <w:b/>
      <w:lang w:val="en-US"/>
    </w:rPr>
  </w:style>
  <w:style w:type="paragraph" w:customStyle="1" w:styleId="xl27">
    <w:name w:val="xl27"/>
    <w:basedOn w:val="Normal"/>
    <w:rsid w:val="004070BB"/>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imes" w:hAnsi="Times"/>
      <w:lang w:val="en-US"/>
    </w:rPr>
  </w:style>
  <w:style w:type="paragraph" w:customStyle="1" w:styleId="xl28">
    <w:name w:val="xl28"/>
    <w:basedOn w:val="Normal"/>
    <w:rsid w:val="004070BB"/>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imes" w:hAnsi="Times"/>
      <w:lang w:val="en-US"/>
    </w:rPr>
  </w:style>
  <w:style w:type="paragraph" w:customStyle="1" w:styleId="xl39">
    <w:name w:val="xl39"/>
    <w:basedOn w:val="Normal"/>
    <w:rsid w:val="004070BB"/>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imes" w:hAnsi="Times"/>
      <w:lang w:val="en-US"/>
    </w:rPr>
  </w:style>
  <w:style w:type="paragraph" w:customStyle="1" w:styleId="xl29">
    <w:name w:val="xl29"/>
    <w:basedOn w:val="Normal"/>
    <w:rsid w:val="004070BB"/>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imes" w:hAnsi="Times"/>
      <w:lang w:val="en-US"/>
    </w:rPr>
  </w:style>
  <w:style w:type="paragraph" w:customStyle="1" w:styleId="xl30">
    <w:name w:val="xl30"/>
    <w:basedOn w:val="Normal"/>
    <w:rsid w:val="004070BB"/>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b/>
      <w:i/>
      <w:lang w:val="en-US"/>
    </w:rPr>
  </w:style>
  <w:style w:type="paragraph" w:customStyle="1" w:styleId="xl31">
    <w:name w:val="xl31"/>
    <w:basedOn w:val="Normal"/>
    <w:rsid w:val="004070BB"/>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b/>
      <w:i/>
      <w:lang w:val="en-US"/>
    </w:rPr>
  </w:style>
  <w:style w:type="paragraph" w:customStyle="1" w:styleId="xl32">
    <w:name w:val="xl32"/>
    <w:basedOn w:val="Normal"/>
    <w:rsid w:val="004070BB"/>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w:hAnsi="Times"/>
      <w:lang w:val="en-US"/>
    </w:rPr>
  </w:style>
  <w:style w:type="paragraph" w:customStyle="1" w:styleId="Normal3">
    <w:name w:val="Normal3"/>
    <w:basedOn w:val="Normal"/>
    <w:rsid w:val="00A773C1"/>
    <w:pPr>
      <w:spacing w:before="120" w:after="120"/>
    </w:pPr>
    <w:rPr>
      <w:rFonts w:ascii="Arial" w:hAnsi="Arial"/>
    </w:rPr>
  </w:style>
  <w:style w:type="paragraph" w:styleId="NormalWeb">
    <w:name w:val="Normal (Web)"/>
    <w:basedOn w:val="Normal"/>
    <w:uiPriority w:val="99"/>
    <w:rsid w:val="005D61B3"/>
    <w:pPr>
      <w:spacing w:before="100" w:beforeAutospacing="1" w:after="100" w:afterAutospacing="1"/>
    </w:pPr>
    <w:rPr>
      <w:rFonts w:eastAsia="MS Mincho"/>
      <w:lang w:val="en-US"/>
    </w:rPr>
  </w:style>
  <w:style w:type="paragraph" w:customStyle="1" w:styleId="NoteLevel21">
    <w:name w:val="Note Level 21"/>
    <w:qFormat/>
    <w:rsid w:val="005D61B3"/>
    <w:rPr>
      <w:rFonts w:eastAsia="MS Mincho"/>
      <w:lang w:eastAsia="ja-JP"/>
    </w:rPr>
  </w:style>
  <w:style w:type="paragraph" w:customStyle="1" w:styleId="BodyTextKeep">
    <w:name w:val="Body Text Keep"/>
    <w:basedOn w:val="BodyText"/>
    <w:rsid w:val="009D0C6D"/>
    <w:pPr>
      <w:keepNext/>
      <w:tabs>
        <w:tab w:val="left" w:pos="-720"/>
      </w:tabs>
      <w:suppressAutoHyphens/>
      <w:spacing w:before="120" w:after="0"/>
      <w:jc w:val="both"/>
    </w:pPr>
    <w:rPr>
      <w:sz w:val="24"/>
      <w:szCs w:val="24"/>
      <w:lang w:val="en-US"/>
    </w:rPr>
  </w:style>
  <w:style w:type="paragraph" w:customStyle="1" w:styleId="xl24">
    <w:name w:val="xl24"/>
    <w:basedOn w:val="Normal"/>
    <w:rsid w:val="00EF6B88"/>
    <w:pPr>
      <w:spacing w:before="100" w:beforeAutospacing="1" w:after="100" w:afterAutospacing="1"/>
    </w:pPr>
    <w:rPr>
      <w:rFonts w:ascii="Times" w:hAnsi="Times"/>
      <w:b/>
      <w:lang w:val="en-US"/>
    </w:rPr>
  </w:style>
  <w:style w:type="paragraph" w:styleId="ListParagraph">
    <w:name w:val="List Paragraph"/>
    <w:aliases w:val="List Paragraph (numbered (a)),List Paragraph1,Ha"/>
    <w:basedOn w:val="Normal"/>
    <w:link w:val="ListParagraphChar"/>
    <w:uiPriority w:val="34"/>
    <w:qFormat/>
    <w:rsid w:val="00EF6B88"/>
    <w:pPr>
      <w:spacing w:after="200" w:line="276" w:lineRule="auto"/>
      <w:ind w:left="720"/>
    </w:pPr>
    <w:rPr>
      <w:rFonts w:ascii="Calibri" w:hAnsi="Calibri"/>
      <w:sz w:val="22"/>
      <w:szCs w:val="22"/>
      <w:lang w:eastAsia="en-GB"/>
    </w:rPr>
  </w:style>
  <w:style w:type="character" w:customStyle="1" w:styleId="HeaderChar">
    <w:name w:val="Header Char"/>
    <w:link w:val="Header"/>
    <w:uiPriority w:val="99"/>
    <w:rsid w:val="00FB6EEC"/>
    <w:rPr>
      <w:lang w:val="en-GB"/>
    </w:rPr>
  </w:style>
  <w:style w:type="character" w:customStyle="1" w:styleId="FooterChar">
    <w:name w:val="Footer Char"/>
    <w:link w:val="Footer"/>
    <w:rsid w:val="00FB6EEC"/>
    <w:rPr>
      <w:lang w:val="en-GB"/>
    </w:rPr>
  </w:style>
  <w:style w:type="character" w:customStyle="1" w:styleId="BalloonTextChar">
    <w:name w:val="Balloon Text Char"/>
    <w:link w:val="BalloonText"/>
    <w:uiPriority w:val="99"/>
    <w:rsid w:val="00FB6EEC"/>
    <w:rPr>
      <w:rFonts w:ascii="Tahoma" w:hAnsi="Tahoma" w:cs="Tahoma"/>
      <w:sz w:val="16"/>
      <w:szCs w:val="16"/>
      <w:lang w:val="en-GB"/>
    </w:rPr>
  </w:style>
  <w:style w:type="paragraph" w:styleId="z-TopofForm">
    <w:name w:val="HTML Top of Form"/>
    <w:basedOn w:val="Normal"/>
    <w:next w:val="Normal"/>
    <w:link w:val="z-TopofFormChar"/>
    <w:hidden/>
    <w:rsid w:val="009329C5"/>
    <w:pPr>
      <w:pBdr>
        <w:bottom w:val="single" w:sz="6" w:space="1" w:color="auto"/>
      </w:pBdr>
      <w:jc w:val="center"/>
    </w:pPr>
    <w:rPr>
      <w:rFonts w:ascii="Arial" w:hAnsi="Arial"/>
      <w:vanish/>
      <w:sz w:val="16"/>
      <w:szCs w:val="16"/>
    </w:rPr>
  </w:style>
  <w:style w:type="character" w:customStyle="1" w:styleId="z-TopofFormChar">
    <w:name w:val="z-Top of Form Char"/>
    <w:link w:val="z-TopofForm"/>
    <w:rsid w:val="009329C5"/>
    <w:rPr>
      <w:rFonts w:ascii="Arial" w:hAnsi="Arial"/>
      <w:vanish/>
      <w:sz w:val="16"/>
      <w:szCs w:val="16"/>
    </w:rPr>
  </w:style>
  <w:style w:type="paragraph" w:styleId="z-BottomofForm">
    <w:name w:val="HTML Bottom of Form"/>
    <w:basedOn w:val="Normal"/>
    <w:next w:val="Normal"/>
    <w:link w:val="z-BottomofFormChar"/>
    <w:hidden/>
    <w:rsid w:val="009329C5"/>
    <w:pPr>
      <w:pBdr>
        <w:top w:val="single" w:sz="6" w:space="1" w:color="auto"/>
      </w:pBdr>
      <w:jc w:val="center"/>
    </w:pPr>
    <w:rPr>
      <w:rFonts w:ascii="Arial" w:hAnsi="Arial"/>
      <w:vanish/>
      <w:sz w:val="16"/>
      <w:szCs w:val="16"/>
    </w:rPr>
  </w:style>
  <w:style w:type="character" w:customStyle="1" w:styleId="z-BottomofFormChar">
    <w:name w:val="z-Bottom of Form Char"/>
    <w:link w:val="z-BottomofForm"/>
    <w:rsid w:val="009329C5"/>
    <w:rPr>
      <w:rFonts w:ascii="Arial" w:hAnsi="Arial"/>
      <w:vanish/>
      <w:sz w:val="16"/>
      <w:szCs w:val="16"/>
    </w:rPr>
  </w:style>
  <w:style w:type="paragraph" w:styleId="NoSpacing">
    <w:name w:val="No Spacing"/>
    <w:uiPriority w:val="1"/>
    <w:qFormat/>
    <w:rsid w:val="009329C5"/>
  </w:style>
  <w:style w:type="character" w:customStyle="1" w:styleId="BodyTextIndentChar">
    <w:name w:val="Body Text Indent Char"/>
    <w:link w:val="BodyTextIndent"/>
    <w:rsid w:val="009329C5"/>
    <w:rPr>
      <w:lang w:val="en-GB"/>
    </w:rPr>
  </w:style>
  <w:style w:type="character" w:customStyle="1" w:styleId="BodyTextChar">
    <w:name w:val="Body Text Char"/>
    <w:aliases w:val="A - Corps de texte Char,TextMG Char"/>
    <w:link w:val="BodyText"/>
    <w:rsid w:val="009329C5"/>
    <w:rPr>
      <w:lang w:val="en-GB"/>
    </w:rPr>
  </w:style>
  <w:style w:type="character" w:customStyle="1" w:styleId="CommentTextChar">
    <w:name w:val="Comment Text Char"/>
    <w:link w:val="CommentText"/>
    <w:uiPriority w:val="99"/>
    <w:rsid w:val="009329C5"/>
    <w:rPr>
      <w:lang w:val="en-GB"/>
    </w:rPr>
  </w:style>
  <w:style w:type="paragraph" w:customStyle="1" w:styleId="Char1">
    <w:name w:val="Char1"/>
    <w:aliases w:val="Nbpage Moens,Fußnote,Footnote Text Char,Footnote Text Char Char,ft Tegn Tegn,ft Tegn,single space1,footnote text1 Tegn Tegn Char,footnote text1 Tegn Tegn Char Char Char"/>
    <w:basedOn w:val="CommentText"/>
    <w:next w:val="CommentText"/>
    <w:link w:val="KommentaremneTegn"/>
    <w:uiPriority w:val="99"/>
    <w:unhideWhenUsed/>
    <w:rsid w:val="008A1983"/>
    <w:rPr>
      <w:b/>
      <w:bCs/>
      <w:sz w:val="24"/>
      <w:szCs w:val="24"/>
    </w:rPr>
  </w:style>
  <w:style w:type="character" w:customStyle="1" w:styleId="FootnoteTextChar1">
    <w:name w:val="Footnote Text Char1"/>
    <w:aliases w:val="single space Char1,footnote text Char1,ft Char1,FOOTNOTES Char1,fn Char1,Footnote Text Char Char Char Char Char1,Footnote Text Char Char Char Char1,ADB Char,Footnote Text Char Char Char Char Char Char,Footnote Text Char Char1 Char"/>
    <w:link w:val="FootnoteText"/>
    <w:locked/>
    <w:rsid w:val="008A1983"/>
    <w:rPr>
      <w:sz w:val="24"/>
      <w:szCs w:val="24"/>
      <w:lang w:val="en-GB"/>
    </w:rPr>
  </w:style>
  <w:style w:type="character" w:customStyle="1" w:styleId="KommentartekstTegn">
    <w:name w:val="Kommentartekst Tegn"/>
    <w:uiPriority w:val="99"/>
    <w:semiHidden/>
    <w:rsid w:val="008A1983"/>
    <w:rPr>
      <w:sz w:val="24"/>
      <w:szCs w:val="24"/>
      <w:lang w:eastAsia="en-US"/>
    </w:rPr>
  </w:style>
  <w:style w:type="character" w:customStyle="1" w:styleId="KommentaremneTegn">
    <w:name w:val="Kommentaremne Tegn"/>
    <w:link w:val="Char1"/>
    <w:uiPriority w:val="99"/>
    <w:rsid w:val="008A1983"/>
    <w:rPr>
      <w:b/>
      <w:bCs/>
      <w:sz w:val="24"/>
      <w:szCs w:val="24"/>
      <w:lang w:eastAsia="en-US"/>
    </w:rPr>
  </w:style>
  <w:style w:type="paragraph" w:customStyle="1" w:styleId="N">
    <w:name w:val="N"/>
    <w:basedOn w:val="Heading5"/>
    <w:rsid w:val="00DE0BC4"/>
    <w:pPr>
      <w:keepNext/>
      <w:spacing w:before="0" w:after="0"/>
    </w:pPr>
    <w:rPr>
      <w:bCs w:val="0"/>
      <w:i w:val="0"/>
      <w:iCs w:val="0"/>
      <w:sz w:val="24"/>
      <w:szCs w:val="20"/>
    </w:rPr>
  </w:style>
  <w:style w:type="paragraph" w:customStyle="1" w:styleId="TableText">
    <w:name w:val="Table Text"/>
    <w:basedOn w:val="Normal"/>
    <w:rsid w:val="00DE0BC4"/>
    <w:pPr>
      <w:spacing w:before="120" w:after="170"/>
    </w:pPr>
    <w:rPr>
      <w:lang w:val="en-US"/>
    </w:rPr>
  </w:style>
  <w:style w:type="character" w:customStyle="1" w:styleId="Heading1Char">
    <w:name w:val="Heading 1 Char"/>
    <w:link w:val="Heading1"/>
    <w:rsid w:val="009944C9"/>
    <w:rPr>
      <w:b/>
      <w:sz w:val="28"/>
      <w:szCs w:val="24"/>
      <w:lang w:val="en-IE"/>
    </w:rPr>
  </w:style>
  <w:style w:type="character" w:customStyle="1" w:styleId="Heading2Char">
    <w:name w:val="Heading 2 Char"/>
    <w:rsid w:val="009944C9"/>
    <w:rPr>
      <w:b/>
      <w:bCs/>
      <w:sz w:val="24"/>
      <w:szCs w:val="24"/>
      <w:lang w:eastAsia="en-US"/>
    </w:rPr>
  </w:style>
  <w:style w:type="character" w:customStyle="1" w:styleId="Heading3Char">
    <w:name w:val="Heading 3 Char"/>
    <w:aliases w:val="Level 1 - 1 Char,Section heading level 1 Char,Section Heading Level 1 Char"/>
    <w:link w:val="Heading3"/>
    <w:rsid w:val="009944C9"/>
    <w:rPr>
      <w:b/>
      <w:kern w:val="28"/>
      <w:sz w:val="22"/>
      <w:szCs w:val="24"/>
      <w:lang w:val="en-GB"/>
    </w:rPr>
  </w:style>
  <w:style w:type="character" w:customStyle="1" w:styleId="Heading4Char">
    <w:name w:val="Heading 4 Char"/>
    <w:link w:val="Heading4"/>
    <w:rsid w:val="009944C9"/>
    <w:rPr>
      <w:b/>
      <w:bCs/>
      <w:sz w:val="28"/>
      <w:szCs w:val="28"/>
      <w:lang w:val="en-GB"/>
    </w:rPr>
  </w:style>
  <w:style w:type="character" w:customStyle="1" w:styleId="Heading5Char">
    <w:name w:val="Heading 5 Char"/>
    <w:aliases w:val="Level 3 - i Char"/>
    <w:link w:val="Heading5"/>
    <w:rsid w:val="009944C9"/>
    <w:rPr>
      <w:b/>
      <w:bCs/>
      <w:i/>
      <w:iCs/>
      <w:sz w:val="26"/>
      <w:szCs w:val="26"/>
      <w:lang w:val="en-GB"/>
    </w:rPr>
  </w:style>
  <w:style w:type="character" w:customStyle="1" w:styleId="Heading6Char">
    <w:name w:val="Heading 6 Char"/>
    <w:link w:val="Heading6"/>
    <w:rsid w:val="009944C9"/>
    <w:rPr>
      <w:b/>
      <w:bCs/>
      <w:sz w:val="22"/>
      <w:szCs w:val="22"/>
      <w:lang w:val="en-GB"/>
    </w:rPr>
  </w:style>
  <w:style w:type="character" w:customStyle="1" w:styleId="Heading7Char">
    <w:name w:val="Heading 7 Char"/>
    <w:link w:val="Heading7"/>
    <w:rsid w:val="009944C9"/>
    <w:rPr>
      <w:sz w:val="24"/>
      <w:szCs w:val="24"/>
      <w:lang w:val="en-GB"/>
    </w:rPr>
  </w:style>
  <w:style w:type="character" w:customStyle="1" w:styleId="Heading8Char">
    <w:name w:val="Heading 8 Char"/>
    <w:link w:val="Heading8"/>
    <w:rsid w:val="009944C9"/>
    <w:rPr>
      <w:i/>
      <w:iCs/>
      <w:sz w:val="24"/>
      <w:szCs w:val="24"/>
      <w:lang w:val="en-GB"/>
    </w:rPr>
  </w:style>
  <w:style w:type="character" w:customStyle="1" w:styleId="Heading9Char">
    <w:name w:val="Heading 9 Char"/>
    <w:link w:val="Heading9"/>
    <w:rsid w:val="009944C9"/>
    <w:rPr>
      <w:rFonts w:ascii="Arial" w:hAnsi="Arial"/>
      <w:sz w:val="22"/>
      <w:szCs w:val="22"/>
      <w:lang w:val="en-GB"/>
    </w:rPr>
  </w:style>
  <w:style w:type="character" w:customStyle="1" w:styleId="BodyText2Char">
    <w:name w:val="Body Text 2 Char"/>
    <w:link w:val="BodyText2"/>
    <w:rsid w:val="009944C9"/>
    <w:rPr>
      <w:lang w:val="en-GB"/>
    </w:rPr>
  </w:style>
  <w:style w:type="character" w:customStyle="1" w:styleId="BodyText3Char">
    <w:name w:val="Body Text 3 Char"/>
    <w:link w:val="BodyText3"/>
    <w:rsid w:val="009944C9"/>
    <w:rPr>
      <w:sz w:val="16"/>
      <w:szCs w:val="16"/>
      <w:lang w:val="en-GB"/>
    </w:rPr>
  </w:style>
  <w:style w:type="paragraph" w:customStyle="1" w:styleId="font5">
    <w:name w:val="font5"/>
    <w:basedOn w:val="Normal"/>
    <w:rsid w:val="009944C9"/>
    <w:pPr>
      <w:spacing w:beforeLines="1" w:afterLines="1"/>
    </w:pPr>
    <w:rPr>
      <w:rFonts w:ascii="Verdana" w:hAnsi="Verdana"/>
      <w:sz w:val="16"/>
      <w:szCs w:val="16"/>
      <w:lang w:val="en-US"/>
    </w:rPr>
  </w:style>
  <w:style w:type="paragraph" w:customStyle="1" w:styleId="xl33">
    <w:name w:val="xl33"/>
    <w:basedOn w:val="Normal"/>
    <w:rsid w:val="009944C9"/>
    <w:pPr>
      <w:pBdr>
        <w:left w:val="single" w:sz="4" w:space="0" w:color="auto"/>
        <w:bottom w:val="single" w:sz="4" w:space="0" w:color="auto"/>
        <w:right w:val="single" w:sz="4" w:space="0" w:color="auto"/>
      </w:pBdr>
      <w:spacing w:beforeLines="1" w:afterLines="1"/>
    </w:pPr>
    <w:rPr>
      <w:rFonts w:ascii="Times" w:hAnsi="Times"/>
      <w:lang w:val="en-US"/>
    </w:rPr>
  </w:style>
  <w:style w:type="paragraph" w:customStyle="1" w:styleId="xl34">
    <w:name w:val="xl34"/>
    <w:basedOn w:val="Normal"/>
    <w:rsid w:val="009944C9"/>
    <w:pPr>
      <w:pBdr>
        <w:left w:val="single" w:sz="4" w:space="0" w:color="auto"/>
        <w:bottom w:val="single" w:sz="4" w:space="0" w:color="auto"/>
        <w:right w:val="single" w:sz="4" w:space="0" w:color="auto"/>
      </w:pBdr>
      <w:spacing w:beforeLines="1" w:afterLines="1"/>
    </w:pPr>
    <w:rPr>
      <w:rFonts w:ascii="Times" w:hAnsi="Times"/>
      <w:lang w:val="en-US"/>
    </w:rPr>
  </w:style>
  <w:style w:type="paragraph" w:customStyle="1" w:styleId="xl35">
    <w:name w:val="xl35"/>
    <w:basedOn w:val="Normal"/>
    <w:rsid w:val="009944C9"/>
    <w:pPr>
      <w:pBdr>
        <w:left w:val="single" w:sz="4" w:space="0" w:color="auto"/>
        <w:bottom w:val="single" w:sz="4" w:space="0" w:color="auto"/>
        <w:right w:val="single" w:sz="4" w:space="0" w:color="auto"/>
      </w:pBdr>
      <w:shd w:val="clear" w:color="auto" w:fill="00CCFF"/>
      <w:spacing w:beforeLines="1" w:afterLines="1"/>
    </w:pPr>
    <w:rPr>
      <w:rFonts w:ascii="Times" w:hAnsi="Times"/>
      <w:lang w:val="en-US"/>
    </w:rPr>
  </w:style>
  <w:style w:type="paragraph" w:customStyle="1" w:styleId="xl36">
    <w:name w:val="xl36"/>
    <w:basedOn w:val="Normal"/>
    <w:rsid w:val="009944C9"/>
    <w:pPr>
      <w:pBdr>
        <w:left w:val="single" w:sz="4" w:space="0" w:color="auto"/>
        <w:bottom w:val="single" w:sz="4" w:space="0" w:color="auto"/>
        <w:right w:val="single" w:sz="4" w:space="0" w:color="auto"/>
      </w:pBdr>
      <w:spacing w:beforeLines="1" w:afterLines="1"/>
    </w:pPr>
    <w:rPr>
      <w:rFonts w:ascii="Times" w:hAnsi="Times"/>
      <w:lang w:val="en-US"/>
    </w:rPr>
  </w:style>
  <w:style w:type="paragraph" w:customStyle="1" w:styleId="xl37">
    <w:name w:val="xl37"/>
    <w:basedOn w:val="Normal"/>
    <w:rsid w:val="009944C9"/>
    <w:pPr>
      <w:pBdr>
        <w:left w:val="single" w:sz="4" w:space="0" w:color="auto"/>
        <w:bottom w:val="single" w:sz="4" w:space="0" w:color="auto"/>
        <w:right w:val="single" w:sz="4" w:space="0" w:color="auto"/>
      </w:pBdr>
      <w:spacing w:beforeLines="1" w:afterLines="1"/>
    </w:pPr>
    <w:rPr>
      <w:rFonts w:ascii="Times" w:hAnsi="Times"/>
      <w:lang w:val="en-US"/>
    </w:rPr>
  </w:style>
  <w:style w:type="paragraph" w:customStyle="1" w:styleId="xl38">
    <w:name w:val="xl38"/>
    <w:basedOn w:val="Normal"/>
    <w:rsid w:val="009944C9"/>
    <w:pPr>
      <w:pBdr>
        <w:top w:val="single" w:sz="4" w:space="0" w:color="auto"/>
        <w:left w:val="single" w:sz="4" w:space="0" w:color="auto"/>
      </w:pBdr>
      <w:spacing w:beforeLines="1" w:afterLines="1"/>
    </w:pPr>
    <w:rPr>
      <w:rFonts w:ascii="Times" w:hAnsi="Times"/>
      <w:b/>
      <w:bCs/>
      <w:sz w:val="16"/>
      <w:szCs w:val="16"/>
      <w:lang w:val="en-US"/>
    </w:rPr>
  </w:style>
  <w:style w:type="paragraph" w:customStyle="1" w:styleId="xl41">
    <w:name w:val="xl41"/>
    <w:basedOn w:val="Normal"/>
    <w:rsid w:val="009944C9"/>
    <w:pPr>
      <w:pBdr>
        <w:left w:val="single" w:sz="4" w:space="0" w:color="auto"/>
        <w:bottom w:val="single" w:sz="4" w:space="0" w:color="auto"/>
      </w:pBdr>
      <w:spacing w:beforeLines="1" w:afterLines="1"/>
    </w:pPr>
    <w:rPr>
      <w:rFonts w:ascii="Times" w:hAnsi="Times"/>
      <w:b/>
      <w:bCs/>
      <w:sz w:val="16"/>
      <w:szCs w:val="16"/>
      <w:lang w:val="en-US"/>
    </w:rPr>
  </w:style>
  <w:style w:type="paragraph" w:customStyle="1" w:styleId="xl42">
    <w:name w:val="xl42"/>
    <w:basedOn w:val="Normal"/>
    <w:rsid w:val="009944C9"/>
    <w:pPr>
      <w:pBdr>
        <w:bottom w:val="single" w:sz="4" w:space="0" w:color="auto"/>
      </w:pBdr>
      <w:spacing w:beforeLines="1" w:afterLines="1"/>
    </w:pPr>
    <w:rPr>
      <w:rFonts w:ascii="Times" w:hAnsi="Times"/>
      <w:b/>
      <w:bCs/>
      <w:sz w:val="16"/>
      <w:szCs w:val="16"/>
      <w:lang w:val="en-US"/>
    </w:rPr>
  </w:style>
  <w:style w:type="paragraph" w:customStyle="1" w:styleId="xl43">
    <w:name w:val="xl43"/>
    <w:basedOn w:val="Normal"/>
    <w:rsid w:val="009944C9"/>
    <w:pPr>
      <w:pBdr>
        <w:bottom w:val="single" w:sz="4" w:space="0" w:color="auto"/>
      </w:pBdr>
      <w:spacing w:beforeLines="1" w:afterLines="1"/>
    </w:pPr>
    <w:rPr>
      <w:rFonts w:ascii="Times" w:hAnsi="Times"/>
      <w:b/>
      <w:bCs/>
      <w:sz w:val="16"/>
      <w:szCs w:val="16"/>
      <w:lang w:val="en-US"/>
    </w:rPr>
  </w:style>
  <w:style w:type="paragraph" w:customStyle="1" w:styleId="xl44">
    <w:name w:val="xl44"/>
    <w:basedOn w:val="Normal"/>
    <w:rsid w:val="009944C9"/>
    <w:pPr>
      <w:pBdr>
        <w:bottom w:val="single" w:sz="4" w:space="0" w:color="auto"/>
        <w:right w:val="single" w:sz="4" w:space="0" w:color="auto"/>
      </w:pBdr>
      <w:spacing w:beforeLines="1" w:afterLines="1"/>
    </w:pPr>
    <w:rPr>
      <w:rFonts w:ascii="Times" w:hAnsi="Times"/>
      <w:b/>
      <w:bCs/>
      <w:sz w:val="16"/>
      <w:szCs w:val="16"/>
      <w:lang w:val="en-US"/>
    </w:rPr>
  </w:style>
  <w:style w:type="paragraph" w:customStyle="1" w:styleId="xl45">
    <w:name w:val="xl45"/>
    <w:basedOn w:val="Normal"/>
    <w:rsid w:val="009944C9"/>
    <w:pPr>
      <w:spacing w:beforeLines="1" w:afterLines="1"/>
    </w:pPr>
    <w:rPr>
      <w:rFonts w:ascii="Times" w:hAnsi="Times"/>
      <w:i/>
      <w:iCs/>
      <w:lang w:val="en-US"/>
    </w:rPr>
  </w:style>
  <w:style w:type="paragraph" w:customStyle="1" w:styleId="xl46">
    <w:name w:val="xl46"/>
    <w:basedOn w:val="Normal"/>
    <w:rsid w:val="009944C9"/>
    <w:pPr>
      <w:spacing w:beforeLines="1" w:afterLines="1"/>
    </w:pPr>
    <w:rPr>
      <w:rFonts w:ascii="Times" w:hAnsi="Times"/>
      <w:b/>
      <w:bCs/>
      <w:i/>
      <w:iCs/>
      <w:lang w:val="en-US"/>
    </w:rPr>
  </w:style>
  <w:style w:type="paragraph" w:customStyle="1" w:styleId="xl47">
    <w:name w:val="xl47"/>
    <w:basedOn w:val="Normal"/>
    <w:rsid w:val="009944C9"/>
    <w:pPr>
      <w:spacing w:beforeLines="1" w:afterLines="1"/>
    </w:pPr>
    <w:rPr>
      <w:rFonts w:ascii="Times" w:hAnsi="Times"/>
      <w:b/>
      <w:bCs/>
      <w:sz w:val="18"/>
      <w:szCs w:val="18"/>
      <w:lang w:val="en-US"/>
    </w:rPr>
  </w:style>
  <w:style w:type="paragraph" w:customStyle="1" w:styleId="xl48">
    <w:name w:val="xl48"/>
    <w:basedOn w:val="Normal"/>
    <w:rsid w:val="009944C9"/>
    <w:pPr>
      <w:shd w:val="clear" w:color="auto" w:fill="FEA746"/>
      <w:spacing w:beforeLines="1" w:afterLines="1"/>
    </w:pPr>
    <w:rPr>
      <w:rFonts w:ascii="Times" w:hAnsi="Times"/>
      <w:lang w:val="en-US"/>
    </w:rPr>
  </w:style>
  <w:style w:type="paragraph" w:customStyle="1" w:styleId="xl49">
    <w:name w:val="xl49"/>
    <w:basedOn w:val="Normal"/>
    <w:rsid w:val="009944C9"/>
    <w:pPr>
      <w:shd w:val="clear" w:color="auto" w:fill="FFF58C"/>
      <w:spacing w:beforeLines="1" w:afterLines="1"/>
    </w:pPr>
    <w:rPr>
      <w:rFonts w:ascii="Times" w:hAnsi="Times"/>
      <w:b/>
      <w:bCs/>
      <w:lang w:val="en-US"/>
    </w:rPr>
  </w:style>
  <w:style w:type="paragraph" w:customStyle="1" w:styleId="xl50">
    <w:name w:val="xl50"/>
    <w:basedOn w:val="Normal"/>
    <w:rsid w:val="009944C9"/>
    <w:pPr>
      <w:pBdr>
        <w:top w:val="single" w:sz="4" w:space="0" w:color="auto"/>
        <w:left w:val="single" w:sz="4" w:space="0" w:color="auto"/>
        <w:bottom w:val="single" w:sz="4" w:space="0" w:color="auto"/>
        <w:right w:val="single" w:sz="4" w:space="0" w:color="auto"/>
      </w:pBdr>
      <w:spacing w:beforeLines="1" w:afterLines="1"/>
    </w:pPr>
    <w:rPr>
      <w:rFonts w:ascii="Times" w:hAnsi="Times"/>
      <w:b/>
      <w:bCs/>
      <w:lang w:val="en-US"/>
    </w:rPr>
  </w:style>
  <w:style w:type="paragraph" w:customStyle="1" w:styleId="xl51">
    <w:name w:val="xl51"/>
    <w:basedOn w:val="Normal"/>
    <w:rsid w:val="009944C9"/>
    <w:pPr>
      <w:pBdr>
        <w:top w:val="single" w:sz="4" w:space="0" w:color="auto"/>
        <w:left w:val="single" w:sz="4" w:space="0" w:color="auto"/>
        <w:bottom w:val="single" w:sz="4" w:space="0" w:color="auto"/>
        <w:right w:val="single" w:sz="4" w:space="0" w:color="auto"/>
      </w:pBdr>
      <w:spacing w:beforeLines="1" w:afterLines="1"/>
    </w:pPr>
    <w:rPr>
      <w:rFonts w:ascii="Times" w:hAnsi="Times"/>
      <w:b/>
      <w:bCs/>
      <w:lang w:val="en-US"/>
    </w:rPr>
  </w:style>
  <w:style w:type="paragraph" w:customStyle="1" w:styleId="xl52">
    <w:name w:val="xl52"/>
    <w:basedOn w:val="Normal"/>
    <w:rsid w:val="009944C9"/>
    <w:pPr>
      <w:pBdr>
        <w:top w:val="single" w:sz="4" w:space="0" w:color="auto"/>
        <w:left w:val="single" w:sz="4" w:space="0" w:color="auto"/>
        <w:bottom w:val="single" w:sz="4" w:space="0" w:color="auto"/>
        <w:right w:val="single" w:sz="4" w:space="0" w:color="auto"/>
      </w:pBdr>
      <w:shd w:val="clear" w:color="auto" w:fill="00CCFF"/>
      <w:spacing w:beforeLines="1" w:afterLines="1"/>
    </w:pPr>
    <w:rPr>
      <w:rFonts w:ascii="Times" w:hAnsi="Times"/>
      <w:b/>
      <w:bCs/>
      <w:lang w:val="en-US"/>
    </w:rPr>
  </w:style>
  <w:style w:type="paragraph" w:customStyle="1" w:styleId="xl53">
    <w:name w:val="xl53"/>
    <w:basedOn w:val="Normal"/>
    <w:rsid w:val="009944C9"/>
    <w:pPr>
      <w:pBdr>
        <w:top w:val="single" w:sz="4" w:space="0" w:color="auto"/>
        <w:left w:val="single" w:sz="4" w:space="0" w:color="auto"/>
        <w:bottom w:val="single" w:sz="4" w:space="0" w:color="auto"/>
        <w:right w:val="single" w:sz="4" w:space="0" w:color="auto"/>
      </w:pBdr>
      <w:spacing w:beforeLines="1" w:afterLines="1"/>
    </w:pPr>
    <w:rPr>
      <w:rFonts w:ascii="Times" w:hAnsi="Times"/>
      <w:b/>
      <w:bCs/>
      <w:lang w:val="en-US"/>
    </w:rPr>
  </w:style>
  <w:style w:type="paragraph" w:customStyle="1" w:styleId="2">
    <w:name w:val="2"/>
    <w:basedOn w:val="Normal"/>
    <w:next w:val="ListParagraph"/>
    <w:qFormat/>
    <w:rsid w:val="00D06261"/>
    <w:pPr>
      <w:ind w:left="720"/>
      <w:contextualSpacing/>
    </w:pPr>
    <w:rPr>
      <w:rFonts w:ascii="Cambria" w:hAnsi="Cambria"/>
    </w:rPr>
  </w:style>
  <w:style w:type="paragraph" w:customStyle="1" w:styleId="1">
    <w:name w:val="1"/>
    <w:basedOn w:val="Normal"/>
    <w:next w:val="ListParagraph"/>
    <w:qFormat/>
    <w:rsid w:val="00BA6CC0"/>
    <w:pPr>
      <w:ind w:left="720"/>
      <w:contextualSpacing/>
    </w:pPr>
    <w:rPr>
      <w:rFonts w:ascii="Cambria" w:hAnsi="Cambria"/>
    </w:rPr>
  </w:style>
  <w:style w:type="paragraph" w:customStyle="1" w:styleId="Prodoc">
    <w:name w:val="Prodoc"/>
    <w:basedOn w:val="Normal"/>
    <w:qFormat/>
    <w:rsid w:val="00F967DE"/>
    <w:pPr>
      <w:widowControl w:val="0"/>
      <w:autoSpaceDE w:val="0"/>
      <w:autoSpaceDN w:val="0"/>
      <w:adjustRightInd w:val="0"/>
      <w:spacing w:before="180" w:after="60" w:line="320" w:lineRule="exact"/>
      <w:ind w:right="181"/>
      <w:jc w:val="both"/>
    </w:pPr>
    <w:rPr>
      <w:rFonts w:ascii="Calibri" w:hAnsi="Calibri" w:cs="Calibri"/>
      <w:color w:val="000000"/>
      <w:sz w:val="22"/>
      <w:szCs w:val="22"/>
      <w:lang w:val="en-US"/>
    </w:rPr>
  </w:style>
  <w:style w:type="character" w:customStyle="1" w:styleId="fnChar">
    <w:name w:val="fn Char"/>
    <w:aliases w:val="single space Char,footnote text Char,ft Char,FOOTNOTES Char,ALTS FOOTNOTE Char,Footnote Text Char2 Char Char,Footnote Text Char1 Char Char Char,Footnote Text Char2 Char Char Char Char, Char1 Char,Footnote Text Char Char Char Char Char2,ADB Char1"/>
    <w:rsid w:val="00AB348A"/>
    <w:rPr>
      <w:rFonts w:ascii="Cambria" w:eastAsia="Cambria" w:hAnsi="Cambria" w:cs="Times New Roman"/>
      <w:sz w:val="24"/>
      <w:szCs w:val="24"/>
      <w:lang w:val="en-GB" w:eastAsia="en-US"/>
    </w:rPr>
  </w:style>
  <w:style w:type="paragraph" w:customStyle="1" w:styleId="Farvetliste-markeringsfarve11">
    <w:name w:val="Farvet liste - markeringsfarve 11"/>
    <w:basedOn w:val="Normal"/>
    <w:uiPriority w:val="34"/>
    <w:qFormat/>
    <w:rsid w:val="00C57EE1"/>
    <w:pPr>
      <w:spacing w:after="200"/>
      <w:ind w:left="720"/>
      <w:contextualSpacing/>
    </w:pPr>
    <w:rPr>
      <w:rFonts w:ascii="Cambria" w:eastAsia="Cambria" w:hAnsi="Cambria"/>
    </w:rPr>
  </w:style>
  <w:style w:type="paragraph" w:styleId="Revision">
    <w:name w:val="Revision"/>
    <w:hidden/>
    <w:rsid w:val="00413B34"/>
    <w:rPr>
      <w:lang w:val="en-GB"/>
    </w:rPr>
  </w:style>
  <w:style w:type="paragraph" w:customStyle="1" w:styleId="normal2">
    <w:name w:val="normal 2"/>
    <w:basedOn w:val="Normal"/>
    <w:link w:val="normal2Char"/>
    <w:rsid w:val="000455C0"/>
    <w:rPr>
      <w:rFonts w:ascii="Arial" w:hAnsi="Arial" w:cs="Arial"/>
      <w:bCs/>
      <w:sz w:val="22"/>
      <w:szCs w:val="22"/>
      <w:lang w:val="en-US"/>
    </w:rPr>
  </w:style>
  <w:style w:type="character" w:customStyle="1" w:styleId="normal2Char">
    <w:name w:val="normal 2 Char"/>
    <w:link w:val="normal2"/>
    <w:rsid w:val="000455C0"/>
    <w:rPr>
      <w:rFonts w:ascii="Arial" w:hAnsi="Arial" w:cs="Arial"/>
      <w:bCs/>
      <w:sz w:val="22"/>
      <w:szCs w:val="22"/>
    </w:rPr>
  </w:style>
  <w:style w:type="paragraph" w:customStyle="1" w:styleId="Prodoctext">
    <w:name w:val="Prodoc text"/>
    <w:basedOn w:val="BodyText"/>
    <w:link w:val="ProdoctextChar"/>
    <w:rsid w:val="000455C0"/>
    <w:pPr>
      <w:numPr>
        <w:ilvl w:val="2"/>
        <w:numId w:val="4"/>
      </w:numPr>
      <w:jc w:val="both"/>
    </w:pPr>
    <w:rPr>
      <w:rFonts w:ascii="Arial" w:hAnsi="Arial"/>
      <w:sz w:val="22"/>
      <w:szCs w:val="22"/>
      <w:lang w:eastAsia="en-GB"/>
    </w:rPr>
  </w:style>
  <w:style w:type="character" w:customStyle="1" w:styleId="ProdoctextChar">
    <w:name w:val="Prodoc text Char"/>
    <w:link w:val="Prodoctext"/>
    <w:rsid w:val="000455C0"/>
    <w:rPr>
      <w:rFonts w:ascii="Arial" w:hAnsi="Arial"/>
      <w:sz w:val="22"/>
      <w:szCs w:val="22"/>
      <w:lang w:val="sq-AL" w:eastAsia="en-GB"/>
    </w:rPr>
  </w:style>
  <w:style w:type="character" w:customStyle="1" w:styleId="apple-converted-space">
    <w:name w:val="apple-converted-space"/>
    <w:rsid w:val="009A23A1"/>
  </w:style>
  <w:style w:type="paragraph" w:customStyle="1" w:styleId="rtejustify">
    <w:name w:val="rtejustify"/>
    <w:basedOn w:val="Normal"/>
    <w:rsid w:val="005007E0"/>
    <w:pPr>
      <w:spacing w:before="100" w:beforeAutospacing="1" w:after="100" w:afterAutospacing="1"/>
    </w:pPr>
    <w:rPr>
      <w:rFonts w:ascii="Times" w:hAnsi="Times"/>
      <w:sz w:val="20"/>
      <w:szCs w:val="20"/>
      <w:lang w:val="en-US"/>
    </w:rPr>
  </w:style>
  <w:style w:type="character" w:styleId="Strong">
    <w:name w:val="Strong"/>
    <w:uiPriority w:val="22"/>
    <w:qFormat/>
    <w:rsid w:val="005007E0"/>
    <w:rPr>
      <w:b/>
      <w:bCs/>
    </w:rPr>
  </w:style>
  <w:style w:type="character" w:customStyle="1" w:styleId="ListParagraphChar">
    <w:name w:val="List Paragraph Char"/>
    <w:aliases w:val="List Paragraph (numbered (a)) Char,List Paragraph1 Char,Ha Char"/>
    <w:basedOn w:val="DefaultParagraphFont"/>
    <w:link w:val="ListParagraph"/>
    <w:uiPriority w:val="34"/>
    <w:locked/>
    <w:rsid w:val="00BB0EA4"/>
    <w:rPr>
      <w:rFonts w:ascii="Calibri" w:hAnsi="Calibri"/>
      <w:sz w:val="22"/>
      <w:szCs w:val="22"/>
      <w:lang w:val="en-GB" w:eastAsia="en-GB"/>
    </w:rPr>
  </w:style>
  <w:style w:type="paragraph" w:customStyle="1" w:styleId="Char2">
    <w:name w:val="Char2"/>
    <w:basedOn w:val="Normal"/>
    <w:link w:val="FootnoteReference"/>
    <w:rsid w:val="00BB0EA4"/>
    <w:pPr>
      <w:spacing w:before="120" w:after="160" w:line="240" w:lineRule="exact"/>
      <w:ind w:left="547"/>
      <w:jc w:val="both"/>
    </w:pPr>
    <w:rPr>
      <w:vertAlign w:val="superscript"/>
      <w:lang w:val="en-US"/>
    </w:rPr>
  </w:style>
  <w:style w:type="table" w:customStyle="1" w:styleId="TableGrid1">
    <w:name w:val="Table Grid1"/>
    <w:basedOn w:val="TableNormal"/>
    <w:next w:val="TableGrid"/>
    <w:uiPriority w:val="59"/>
    <w:rsid w:val="00D532D3"/>
    <w:rPr>
      <w:sz w:val="20"/>
      <w:szCs w:val="20"/>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C001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61">
    <w:name w:val="List Table 3 - Accent 61"/>
    <w:basedOn w:val="TableNormal"/>
    <w:next w:val="ListTable3-Accent62"/>
    <w:uiPriority w:val="48"/>
    <w:rsid w:val="00790F77"/>
    <w:rPr>
      <w:sz w:val="20"/>
      <w:szCs w:val="20"/>
      <w:lang w:val="en-GB" w:eastAsia="en-GB"/>
    </w:rPr>
    <w:tblPr>
      <w:tblStyleRowBandSize w:val="1"/>
      <w:tblStyleColBandSize w:val="1"/>
      <w:tblBorders>
        <w:top w:val="single" w:sz="4" w:space="0" w:color="F79646"/>
        <w:left w:val="single" w:sz="4" w:space="0" w:color="F79646"/>
        <w:bottom w:val="single" w:sz="4" w:space="0" w:color="F79646"/>
        <w:right w:val="single" w:sz="4" w:space="0" w:color="F79646"/>
      </w:tblBorders>
    </w:tblPr>
    <w:tblStylePr w:type="firstRow">
      <w:rPr>
        <w:b/>
        <w:bCs/>
        <w:color w:val="FFFFFF"/>
      </w:rPr>
      <w:tblPr/>
      <w:tcPr>
        <w:shd w:val="clear" w:color="auto" w:fill="F79646"/>
      </w:tcPr>
    </w:tblStylePr>
    <w:tblStylePr w:type="lastRow">
      <w:rPr>
        <w:b/>
        <w:bCs/>
      </w:rPr>
      <w:tblPr/>
      <w:tcPr>
        <w:tcBorders>
          <w:top w:val="double" w:sz="4" w:space="0" w:color="F7964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79646"/>
          <w:right w:val="single" w:sz="4" w:space="0" w:color="F79646"/>
        </w:tcBorders>
      </w:tcPr>
    </w:tblStylePr>
    <w:tblStylePr w:type="band1Horz">
      <w:tblPr/>
      <w:tcPr>
        <w:tcBorders>
          <w:top w:val="single" w:sz="4" w:space="0" w:color="F79646"/>
          <w:bottom w:val="single" w:sz="4" w:space="0" w:color="F7964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left w:val="nil"/>
        </w:tcBorders>
      </w:tcPr>
    </w:tblStylePr>
    <w:tblStylePr w:type="swCell">
      <w:tblPr/>
      <w:tcPr>
        <w:tcBorders>
          <w:top w:val="double" w:sz="4" w:space="0" w:color="F79646"/>
          <w:right w:val="nil"/>
        </w:tcBorders>
      </w:tcPr>
    </w:tblStylePr>
  </w:style>
  <w:style w:type="table" w:customStyle="1" w:styleId="ListTable3-Accent62">
    <w:name w:val="List Table 3 - Accent 62"/>
    <w:basedOn w:val="TableNormal"/>
    <w:uiPriority w:val="48"/>
    <w:rsid w:val="00790F77"/>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GridTable1Light-Accent21">
    <w:name w:val="Grid Table 1 Light - Accent 21"/>
    <w:basedOn w:val="TableNormal"/>
    <w:next w:val="GridTable1Light-Accent22"/>
    <w:uiPriority w:val="46"/>
    <w:rsid w:val="002A0323"/>
    <w:rPr>
      <w:sz w:val="20"/>
      <w:szCs w:val="20"/>
      <w:lang w:val="en-GB" w:eastAsia="en-GB"/>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22">
    <w:name w:val="Grid Table 1 Light - Accent 22"/>
    <w:basedOn w:val="TableNormal"/>
    <w:uiPriority w:val="46"/>
    <w:rsid w:val="002A032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numbering" w:customStyle="1" w:styleId="NoList1">
    <w:name w:val="No List1"/>
    <w:next w:val="NoList"/>
    <w:uiPriority w:val="99"/>
    <w:semiHidden/>
    <w:unhideWhenUsed/>
    <w:rsid w:val="00CF24DF"/>
  </w:style>
  <w:style w:type="table" w:customStyle="1" w:styleId="TableGrid3">
    <w:name w:val="Table Grid3"/>
    <w:basedOn w:val="TableNormal"/>
    <w:next w:val="TableGrid"/>
    <w:uiPriority w:val="59"/>
    <w:rsid w:val="00CF2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F24DF"/>
    <w:rPr>
      <w:sz w:val="20"/>
      <w:szCs w:val="20"/>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611">
    <w:name w:val="List Table 3 - Accent 611"/>
    <w:basedOn w:val="TableNormal"/>
    <w:next w:val="ListTable3-Accent62"/>
    <w:uiPriority w:val="48"/>
    <w:rsid w:val="00CF24DF"/>
    <w:rPr>
      <w:sz w:val="20"/>
      <w:szCs w:val="20"/>
      <w:lang w:val="en-GB" w:eastAsia="en-GB"/>
    </w:rPr>
    <w:tblPr>
      <w:tblStyleRowBandSize w:val="1"/>
      <w:tblStyleColBandSize w:val="1"/>
      <w:tblBorders>
        <w:top w:val="single" w:sz="4" w:space="0" w:color="F79646"/>
        <w:left w:val="single" w:sz="4" w:space="0" w:color="F79646"/>
        <w:bottom w:val="single" w:sz="4" w:space="0" w:color="F79646"/>
        <w:right w:val="single" w:sz="4" w:space="0" w:color="F79646"/>
      </w:tblBorders>
    </w:tblPr>
    <w:tblStylePr w:type="firstRow">
      <w:rPr>
        <w:b/>
        <w:bCs/>
        <w:color w:val="FFFFFF"/>
      </w:rPr>
      <w:tblPr/>
      <w:tcPr>
        <w:shd w:val="clear" w:color="auto" w:fill="F79646"/>
      </w:tcPr>
    </w:tblStylePr>
    <w:tblStylePr w:type="lastRow">
      <w:rPr>
        <w:b/>
        <w:bCs/>
      </w:rPr>
      <w:tblPr/>
      <w:tcPr>
        <w:tcBorders>
          <w:top w:val="double" w:sz="4" w:space="0" w:color="F7964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79646"/>
          <w:right w:val="single" w:sz="4" w:space="0" w:color="F79646"/>
        </w:tcBorders>
      </w:tcPr>
    </w:tblStylePr>
    <w:tblStylePr w:type="band1Horz">
      <w:tblPr/>
      <w:tcPr>
        <w:tcBorders>
          <w:top w:val="single" w:sz="4" w:space="0" w:color="F79646"/>
          <w:bottom w:val="single" w:sz="4" w:space="0" w:color="F7964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left w:val="nil"/>
        </w:tcBorders>
      </w:tcPr>
    </w:tblStylePr>
    <w:tblStylePr w:type="swCell">
      <w:tblPr/>
      <w:tcPr>
        <w:tcBorders>
          <w:top w:val="double" w:sz="4" w:space="0" w:color="F79646"/>
          <w:right w:val="nil"/>
        </w:tcBorders>
      </w:tcPr>
    </w:tblStylePr>
  </w:style>
  <w:style w:type="table" w:customStyle="1" w:styleId="ListTable3-Accent621">
    <w:name w:val="List Table 3 - Accent 621"/>
    <w:basedOn w:val="TableNormal"/>
    <w:uiPriority w:val="48"/>
    <w:rsid w:val="00CF24DF"/>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GridTable1Light-Accent211">
    <w:name w:val="Grid Table 1 Light - Accent 211"/>
    <w:basedOn w:val="TableNormal"/>
    <w:next w:val="GridTable1Light-Accent22"/>
    <w:uiPriority w:val="46"/>
    <w:rsid w:val="00CF24DF"/>
    <w:rPr>
      <w:sz w:val="20"/>
      <w:szCs w:val="20"/>
      <w:lang w:val="en-GB" w:eastAsia="en-GB"/>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221">
    <w:name w:val="Grid Table 1 Light - Accent 221"/>
    <w:basedOn w:val="TableNormal"/>
    <w:uiPriority w:val="46"/>
    <w:rsid w:val="00CF24DF"/>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styleId="Emphasis">
    <w:name w:val="Emphasis"/>
    <w:basedOn w:val="DefaultParagraphFont"/>
    <w:uiPriority w:val="20"/>
    <w:qFormat/>
    <w:rsid w:val="00CF24DF"/>
    <w:rPr>
      <w:i/>
      <w:iCs/>
    </w:rPr>
  </w:style>
  <w:style w:type="paragraph" w:styleId="TOCHeading">
    <w:name w:val="TOC Heading"/>
    <w:basedOn w:val="Heading1"/>
    <w:next w:val="Normal"/>
    <w:uiPriority w:val="39"/>
    <w:unhideWhenUsed/>
    <w:qFormat/>
    <w:rsid w:val="001D60BB"/>
    <w:pPr>
      <w:keepLines/>
      <w:spacing w:before="240" w:line="259" w:lineRule="auto"/>
      <w:outlineLvl w:val="9"/>
    </w:pPr>
    <w:rPr>
      <w:rFonts w:asciiTheme="majorHAnsi" w:eastAsiaTheme="majorEastAsia" w:hAnsiTheme="majorHAnsi" w:cstheme="majorBidi"/>
      <w:b w:val="0"/>
      <w:color w:val="365F91" w:themeColor="accent1" w:themeShade="BF"/>
      <w:sz w:val="32"/>
      <w:szCs w:val="32"/>
      <w:lang w:val="en-US"/>
    </w:rPr>
  </w:style>
  <w:style w:type="table" w:customStyle="1" w:styleId="TableGrid4">
    <w:name w:val="Table Grid4"/>
    <w:basedOn w:val="TableNormal"/>
    <w:next w:val="TableGrid"/>
    <w:uiPriority w:val="59"/>
    <w:rsid w:val="0021497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84B88"/>
    <w:pPr>
      <w:spacing w:before="100" w:beforeAutospacing="1" w:after="100" w:afterAutospacing="1"/>
    </w:pPr>
    <w:rPr>
      <w:rFonts w:eastAsia="Times New Roman"/>
      <w:lang w:val="en-US"/>
    </w:rPr>
  </w:style>
  <w:style w:type="character" w:customStyle="1" w:styleId="UnresolvedMention1">
    <w:name w:val="Unresolved Mention1"/>
    <w:basedOn w:val="DefaultParagraphFont"/>
    <w:uiPriority w:val="99"/>
    <w:semiHidden/>
    <w:unhideWhenUsed/>
    <w:rsid w:val="00C96E3F"/>
    <w:rPr>
      <w:color w:val="605E5C"/>
      <w:shd w:val="clear" w:color="auto" w:fill="E1DFDD"/>
    </w:rPr>
  </w:style>
  <w:style w:type="character" w:customStyle="1" w:styleId="UnresolvedMention2">
    <w:name w:val="Unresolved Mention2"/>
    <w:basedOn w:val="DefaultParagraphFont"/>
    <w:uiPriority w:val="99"/>
    <w:semiHidden/>
    <w:unhideWhenUsed/>
    <w:rsid w:val="00BE7F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7224">
      <w:bodyDiv w:val="1"/>
      <w:marLeft w:val="0"/>
      <w:marRight w:val="0"/>
      <w:marTop w:val="0"/>
      <w:marBottom w:val="0"/>
      <w:divBdr>
        <w:top w:val="none" w:sz="0" w:space="0" w:color="auto"/>
        <w:left w:val="none" w:sz="0" w:space="0" w:color="auto"/>
        <w:bottom w:val="none" w:sz="0" w:space="0" w:color="auto"/>
        <w:right w:val="none" w:sz="0" w:space="0" w:color="auto"/>
      </w:divBdr>
    </w:div>
    <w:div w:id="28459347">
      <w:bodyDiv w:val="1"/>
      <w:marLeft w:val="0"/>
      <w:marRight w:val="0"/>
      <w:marTop w:val="0"/>
      <w:marBottom w:val="0"/>
      <w:divBdr>
        <w:top w:val="none" w:sz="0" w:space="0" w:color="auto"/>
        <w:left w:val="none" w:sz="0" w:space="0" w:color="auto"/>
        <w:bottom w:val="none" w:sz="0" w:space="0" w:color="auto"/>
        <w:right w:val="none" w:sz="0" w:space="0" w:color="auto"/>
      </w:divBdr>
    </w:div>
    <w:div w:id="62028819">
      <w:bodyDiv w:val="1"/>
      <w:marLeft w:val="0"/>
      <w:marRight w:val="0"/>
      <w:marTop w:val="0"/>
      <w:marBottom w:val="0"/>
      <w:divBdr>
        <w:top w:val="none" w:sz="0" w:space="0" w:color="auto"/>
        <w:left w:val="none" w:sz="0" w:space="0" w:color="auto"/>
        <w:bottom w:val="none" w:sz="0" w:space="0" w:color="auto"/>
        <w:right w:val="none" w:sz="0" w:space="0" w:color="auto"/>
      </w:divBdr>
    </w:div>
    <w:div w:id="74209759">
      <w:bodyDiv w:val="1"/>
      <w:marLeft w:val="0"/>
      <w:marRight w:val="0"/>
      <w:marTop w:val="0"/>
      <w:marBottom w:val="0"/>
      <w:divBdr>
        <w:top w:val="none" w:sz="0" w:space="0" w:color="auto"/>
        <w:left w:val="none" w:sz="0" w:space="0" w:color="auto"/>
        <w:bottom w:val="none" w:sz="0" w:space="0" w:color="auto"/>
        <w:right w:val="none" w:sz="0" w:space="0" w:color="auto"/>
      </w:divBdr>
    </w:div>
    <w:div w:id="81806829">
      <w:bodyDiv w:val="1"/>
      <w:marLeft w:val="0"/>
      <w:marRight w:val="0"/>
      <w:marTop w:val="0"/>
      <w:marBottom w:val="0"/>
      <w:divBdr>
        <w:top w:val="none" w:sz="0" w:space="0" w:color="auto"/>
        <w:left w:val="none" w:sz="0" w:space="0" w:color="auto"/>
        <w:bottom w:val="none" w:sz="0" w:space="0" w:color="auto"/>
        <w:right w:val="none" w:sz="0" w:space="0" w:color="auto"/>
      </w:divBdr>
      <w:divsChild>
        <w:div w:id="160245479">
          <w:marLeft w:val="1426"/>
          <w:marRight w:val="0"/>
          <w:marTop w:val="60"/>
          <w:marBottom w:val="0"/>
          <w:divBdr>
            <w:top w:val="none" w:sz="0" w:space="0" w:color="auto"/>
            <w:left w:val="none" w:sz="0" w:space="0" w:color="auto"/>
            <w:bottom w:val="none" w:sz="0" w:space="0" w:color="auto"/>
            <w:right w:val="none" w:sz="0" w:space="0" w:color="auto"/>
          </w:divBdr>
        </w:div>
        <w:div w:id="163517848">
          <w:marLeft w:val="850"/>
          <w:marRight w:val="0"/>
          <w:marTop w:val="255"/>
          <w:marBottom w:val="0"/>
          <w:divBdr>
            <w:top w:val="none" w:sz="0" w:space="0" w:color="auto"/>
            <w:left w:val="none" w:sz="0" w:space="0" w:color="auto"/>
            <w:bottom w:val="none" w:sz="0" w:space="0" w:color="auto"/>
            <w:right w:val="none" w:sz="0" w:space="0" w:color="auto"/>
          </w:divBdr>
        </w:div>
        <w:div w:id="184290247">
          <w:marLeft w:val="1426"/>
          <w:marRight w:val="0"/>
          <w:marTop w:val="60"/>
          <w:marBottom w:val="0"/>
          <w:divBdr>
            <w:top w:val="none" w:sz="0" w:space="0" w:color="auto"/>
            <w:left w:val="none" w:sz="0" w:space="0" w:color="auto"/>
            <w:bottom w:val="none" w:sz="0" w:space="0" w:color="auto"/>
            <w:right w:val="none" w:sz="0" w:space="0" w:color="auto"/>
          </w:divBdr>
        </w:div>
        <w:div w:id="274872673">
          <w:marLeft w:val="850"/>
          <w:marRight w:val="0"/>
          <w:marTop w:val="255"/>
          <w:marBottom w:val="0"/>
          <w:divBdr>
            <w:top w:val="none" w:sz="0" w:space="0" w:color="auto"/>
            <w:left w:val="none" w:sz="0" w:space="0" w:color="auto"/>
            <w:bottom w:val="none" w:sz="0" w:space="0" w:color="auto"/>
            <w:right w:val="none" w:sz="0" w:space="0" w:color="auto"/>
          </w:divBdr>
        </w:div>
        <w:div w:id="622856221">
          <w:marLeft w:val="850"/>
          <w:marRight w:val="0"/>
          <w:marTop w:val="255"/>
          <w:marBottom w:val="0"/>
          <w:divBdr>
            <w:top w:val="none" w:sz="0" w:space="0" w:color="auto"/>
            <w:left w:val="none" w:sz="0" w:space="0" w:color="auto"/>
            <w:bottom w:val="none" w:sz="0" w:space="0" w:color="auto"/>
            <w:right w:val="none" w:sz="0" w:space="0" w:color="auto"/>
          </w:divBdr>
        </w:div>
        <w:div w:id="747074214">
          <w:marLeft w:val="1426"/>
          <w:marRight w:val="0"/>
          <w:marTop w:val="60"/>
          <w:marBottom w:val="0"/>
          <w:divBdr>
            <w:top w:val="none" w:sz="0" w:space="0" w:color="auto"/>
            <w:left w:val="none" w:sz="0" w:space="0" w:color="auto"/>
            <w:bottom w:val="none" w:sz="0" w:space="0" w:color="auto"/>
            <w:right w:val="none" w:sz="0" w:space="0" w:color="auto"/>
          </w:divBdr>
        </w:div>
        <w:div w:id="943615447">
          <w:marLeft w:val="1426"/>
          <w:marRight w:val="0"/>
          <w:marTop w:val="60"/>
          <w:marBottom w:val="0"/>
          <w:divBdr>
            <w:top w:val="none" w:sz="0" w:space="0" w:color="auto"/>
            <w:left w:val="none" w:sz="0" w:space="0" w:color="auto"/>
            <w:bottom w:val="none" w:sz="0" w:space="0" w:color="auto"/>
            <w:right w:val="none" w:sz="0" w:space="0" w:color="auto"/>
          </w:divBdr>
        </w:div>
        <w:div w:id="1570846982">
          <w:marLeft w:val="850"/>
          <w:marRight w:val="0"/>
          <w:marTop w:val="255"/>
          <w:marBottom w:val="0"/>
          <w:divBdr>
            <w:top w:val="none" w:sz="0" w:space="0" w:color="auto"/>
            <w:left w:val="none" w:sz="0" w:space="0" w:color="auto"/>
            <w:bottom w:val="none" w:sz="0" w:space="0" w:color="auto"/>
            <w:right w:val="none" w:sz="0" w:space="0" w:color="auto"/>
          </w:divBdr>
        </w:div>
        <w:div w:id="1766077150">
          <w:marLeft w:val="1426"/>
          <w:marRight w:val="0"/>
          <w:marTop w:val="60"/>
          <w:marBottom w:val="0"/>
          <w:divBdr>
            <w:top w:val="none" w:sz="0" w:space="0" w:color="auto"/>
            <w:left w:val="none" w:sz="0" w:space="0" w:color="auto"/>
            <w:bottom w:val="none" w:sz="0" w:space="0" w:color="auto"/>
            <w:right w:val="none" w:sz="0" w:space="0" w:color="auto"/>
          </w:divBdr>
        </w:div>
        <w:div w:id="2069497141">
          <w:marLeft w:val="1426"/>
          <w:marRight w:val="0"/>
          <w:marTop w:val="60"/>
          <w:marBottom w:val="0"/>
          <w:divBdr>
            <w:top w:val="none" w:sz="0" w:space="0" w:color="auto"/>
            <w:left w:val="none" w:sz="0" w:space="0" w:color="auto"/>
            <w:bottom w:val="none" w:sz="0" w:space="0" w:color="auto"/>
            <w:right w:val="none" w:sz="0" w:space="0" w:color="auto"/>
          </w:divBdr>
        </w:div>
      </w:divsChild>
    </w:div>
    <w:div w:id="93983980">
      <w:bodyDiv w:val="1"/>
      <w:marLeft w:val="0"/>
      <w:marRight w:val="0"/>
      <w:marTop w:val="0"/>
      <w:marBottom w:val="0"/>
      <w:divBdr>
        <w:top w:val="none" w:sz="0" w:space="0" w:color="auto"/>
        <w:left w:val="none" w:sz="0" w:space="0" w:color="auto"/>
        <w:bottom w:val="none" w:sz="0" w:space="0" w:color="auto"/>
        <w:right w:val="none" w:sz="0" w:space="0" w:color="auto"/>
      </w:divBdr>
    </w:div>
    <w:div w:id="135027055">
      <w:bodyDiv w:val="1"/>
      <w:marLeft w:val="0"/>
      <w:marRight w:val="0"/>
      <w:marTop w:val="0"/>
      <w:marBottom w:val="0"/>
      <w:divBdr>
        <w:top w:val="none" w:sz="0" w:space="0" w:color="auto"/>
        <w:left w:val="none" w:sz="0" w:space="0" w:color="auto"/>
        <w:bottom w:val="none" w:sz="0" w:space="0" w:color="auto"/>
        <w:right w:val="none" w:sz="0" w:space="0" w:color="auto"/>
      </w:divBdr>
      <w:divsChild>
        <w:div w:id="315232314">
          <w:marLeft w:val="1426"/>
          <w:marRight w:val="0"/>
          <w:marTop w:val="60"/>
          <w:marBottom w:val="0"/>
          <w:divBdr>
            <w:top w:val="none" w:sz="0" w:space="0" w:color="auto"/>
            <w:left w:val="none" w:sz="0" w:space="0" w:color="auto"/>
            <w:bottom w:val="none" w:sz="0" w:space="0" w:color="auto"/>
            <w:right w:val="none" w:sz="0" w:space="0" w:color="auto"/>
          </w:divBdr>
        </w:div>
        <w:div w:id="987369504">
          <w:marLeft w:val="1426"/>
          <w:marRight w:val="0"/>
          <w:marTop w:val="60"/>
          <w:marBottom w:val="0"/>
          <w:divBdr>
            <w:top w:val="none" w:sz="0" w:space="0" w:color="auto"/>
            <w:left w:val="none" w:sz="0" w:space="0" w:color="auto"/>
            <w:bottom w:val="none" w:sz="0" w:space="0" w:color="auto"/>
            <w:right w:val="none" w:sz="0" w:space="0" w:color="auto"/>
          </w:divBdr>
        </w:div>
        <w:div w:id="1398476414">
          <w:marLeft w:val="1426"/>
          <w:marRight w:val="0"/>
          <w:marTop w:val="60"/>
          <w:marBottom w:val="0"/>
          <w:divBdr>
            <w:top w:val="none" w:sz="0" w:space="0" w:color="auto"/>
            <w:left w:val="none" w:sz="0" w:space="0" w:color="auto"/>
            <w:bottom w:val="none" w:sz="0" w:space="0" w:color="auto"/>
            <w:right w:val="none" w:sz="0" w:space="0" w:color="auto"/>
          </w:divBdr>
        </w:div>
        <w:div w:id="1531381594">
          <w:marLeft w:val="1426"/>
          <w:marRight w:val="0"/>
          <w:marTop w:val="60"/>
          <w:marBottom w:val="0"/>
          <w:divBdr>
            <w:top w:val="none" w:sz="0" w:space="0" w:color="auto"/>
            <w:left w:val="none" w:sz="0" w:space="0" w:color="auto"/>
            <w:bottom w:val="none" w:sz="0" w:space="0" w:color="auto"/>
            <w:right w:val="none" w:sz="0" w:space="0" w:color="auto"/>
          </w:divBdr>
        </w:div>
        <w:div w:id="1615557414">
          <w:marLeft w:val="850"/>
          <w:marRight w:val="0"/>
          <w:marTop w:val="255"/>
          <w:marBottom w:val="0"/>
          <w:divBdr>
            <w:top w:val="none" w:sz="0" w:space="0" w:color="auto"/>
            <w:left w:val="none" w:sz="0" w:space="0" w:color="auto"/>
            <w:bottom w:val="none" w:sz="0" w:space="0" w:color="auto"/>
            <w:right w:val="none" w:sz="0" w:space="0" w:color="auto"/>
          </w:divBdr>
        </w:div>
        <w:div w:id="1879928440">
          <w:marLeft w:val="1426"/>
          <w:marRight w:val="0"/>
          <w:marTop w:val="60"/>
          <w:marBottom w:val="0"/>
          <w:divBdr>
            <w:top w:val="none" w:sz="0" w:space="0" w:color="auto"/>
            <w:left w:val="none" w:sz="0" w:space="0" w:color="auto"/>
            <w:bottom w:val="none" w:sz="0" w:space="0" w:color="auto"/>
            <w:right w:val="none" w:sz="0" w:space="0" w:color="auto"/>
          </w:divBdr>
        </w:div>
        <w:div w:id="1961449964">
          <w:marLeft w:val="850"/>
          <w:marRight w:val="0"/>
          <w:marTop w:val="255"/>
          <w:marBottom w:val="0"/>
          <w:divBdr>
            <w:top w:val="none" w:sz="0" w:space="0" w:color="auto"/>
            <w:left w:val="none" w:sz="0" w:space="0" w:color="auto"/>
            <w:bottom w:val="none" w:sz="0" w:space="0" w:color="auto"/>
            <w:right w:val="none" w:sz="0" w:space="0" w:color="auto"/>
          </w:divBdr>
        </w:div>
        <w:div w:id="2014842103">
          <w:marLeft w:val="850"/>
          <w:marRight w:val="0"/>
          <w:marTop w:val="255"/>
          <w:marBottom w:val="0"/>
          <w:divBdr>
            <w:top w:val="none" w:sz="0" w:space="0" w:color="auto"/>
            <w:left w:val="none" w:sz="0" w:space="0" w:color="auto"/>
            <w:bottom w:val="none" w:sz="0" w:space="0" w:color="auto"/>
            <w:right w:val="none" w:sz="0" w:space="0" w:color="auto"/>
          </w:divBdr>
        </w:div>
        <w:div w:id="2016766573">
          <w:marLeft w:val="1426"/>
          <w:marRight w:val="0"/>
          <w:marTop w:val="60"/>
          <w:marBottom w:val="0"/>
          <w:divBdr>
            <w:top w:val="none" w:sz="0" w:space="0" w:color="auto"/>
            <w:left w:val="none" w:sz="0" w:space="0" w:color="auto"/>
            <w:bottom w:val="none" w:sz="0" w:space="0" w:color="auto"/>
            <w:right w:val="none" w:sz="0" w:space="0" w:color="auto"/>
          </w:divBdr>
        </w:div>
        <w:div w:id="2044094308">
          <w:marLeft w:val="850"/>
          <w:marRight w:val="0"/>
          <w:marTop w:val="255"/>
          <w:marBottom w:val="0"/>
          <w:divBdr>
            <w:top w:val="none" w:sz="0" w:space="0" w:color="auto"/>
            <w:left w:val="none" w:sz="0" w:space="0" w:color="auto"/>
            <w:bottom w:val="none" w:sz="0" w:space="0" w:color="auto"/>
            <w:right w:val="none" w:sz="0" w:space="0" w:color="auto"/>
          </w:divBdr>
        </w:div>
      </w:divsChild>
    </w:div>
    <w:div w:id="190345830">
      <w:bodyDiv w:val="1"/>
      <w:marLeft w:val="0"/>
      <w:marRight w:val="0"/>
      <w:marTop w:val="0"/>
      <w:marBottom w:val="0"/>
      <w:divBdr>
        <w:top w:val="none" w:sz="0" w:space="0" w:color="auto"/>
        <w:left w:val="none" w:sz="0" w:space="0" w:color="auto"/>
        <w:bottom w:val="none" w:sz="0" w:space="0" w:color="auto"/>
        <w:right w:val="none" w:sz="0" w:space="0" w:color="auto"/>
      </w:divBdr>
    </w:div>
    <w:div w:id="201138020">
      <w:bodyDiv w:val="1"/>
      <w:marLeft w:val="0"/>
      <w:marRight w:val="0"/>
      <w:marTop w:val="0"/>
      <w:marBottom w:val="0"/>
      <w:divBdr>
        <w:top w:val="none" w:sz="0" w:space="0" w:color="auto"/>
        <w:left w:val="none" w:sz="0" w:space="0" w:color="auto"/>
        <w:bottom w:val="none" w:sz="0" w:space="0" w:color="auto"/>
        <w:right w:val="none" w:sz="0" w:space="0" w:color="auto"/>
      </w:divBdr>
      <w:divsChild>
        <w:div w:id="108816323">
          <w:marLeft w:val="1426"/>
          <w:marRight w:val="0"/>
          <w:marTop w:val="120"/>
          <w:marBottom w:val="0"/>
          <w:divBdr>
            <w:top w:val="none" w:sz="0" w:space="0" w:color="auto"/>
            <w:left w:val="none" w:sz="0" w:space="0" w:color="auto"/>
            <w:bottom w:val="none" w:sz="0" w:space="0" w:color="auto"/>
            <w:right w:val="none" w:sz="0" w:space="0" w:color="auto"/>
          </w:divBdr>
        </w:div>
        <w:div w:id="248514272">
          <w:marLeft w:val="1426"/>
          <w:marRight w:val="0"/>
          <w:marTop w:val="120"/>
          <w:marBottom w:val="0"/>
          <w:divBdr>
            <w:top w:val="none" w:sz="0" w:space="0" w:color="auto"/>
            <w:left w:val="none" w:sz="0" w:space="0" w:color="auto"/>
            <w:bottom w:val="none" w:sz="0" w:space="0" w:color="auto"/>
            <w:right w:val="none" w:sz="0" w:space="0" w:color="auto"/>
          </w:divBdr>
        </w:div>
        <w:div w:id="350256407">
          <w:marLeft w:val="1426"/>
          <w:marRight w:val="0"/>
          <w:marTop w:val="240"/>
          <w:marBottom w:val="0"/>
          <w:divBdr>
            <w:top w:val="none" w:sz="0" w:space="0" w:color="auto"/>
            <w:left w:val="none" w:sz="0" w:space="0" w:color="auto"/>
            <w:bottom w:val="none" w:sz="0" w:space="0" w:color="auto"/>
            <w:right w:val="none" w:sz="0" w:space="0" w:color="auto"/>
          </w:divBdr>
        </w:div>
        <w:div w:id="2142459838">
          <w:marLeft w:val="1426"/>
          <w:marRight w:val="0"/>
          <w:marTop w:val="120"/>
          <w:marBottom w:val="0"/>
          <w:divBdr>
            <w:top w:val="none" w:sz="0" w:space="0" w:color="auto"/>
            <w:left w:val="none" w:sz="0" w:space="0" w:color="auto"/>
            <w:bottom w:val="none" w:sz="0" w:space="0" w:color="auto"/>
            <w:right w:val="none" w:sz="0" w:space="0" w:color="auto"/>
          </w:divBdr>
        </w:div>
      </w:divsChild>
    </w:div>
    <w:div w:id="202135802">
      <w:bodyDiv w:val="1"/>
      <w:marLeft w:val="0"/>
      <w:marRight w:val="0"/>
      <w:marTop w:val="0"/>
      <w:marBottom w:val="0"/>
      <w:divBdr>
        <w:top w:val="none" w:sz="0" w:space="0" w:color="auto"/>
        <w:left w:val="none" w:sz="0" w:space="0" w:color="auto"/>
        <w:bottom w:val="none" w:sz="0" w:space="0" w:color="auto"/>
        <w:right w:val="none" w:sz="0" w:space="0" w:color="auto"/>
      </w:divBdr>
      <w:divsChild>
        <w:div w:id="317004280">
          <w:marLeft w:val="1426"/>
          <w:marRight w:val="0"/>
          <w:marTop w:val="255"/>
          <w:marBottom w:val="0"/>
          <w:divBdr>
            <w:top w:val="none" w:sz="0" w:space="0" w:color="auto"/>
            <w:left w:val="none" w:sz="0" w:space="0" w:color="auto"/>
            <w:bottom w:val="none" w:sz="0" w:space="0" w:color="auto"/>
            <w:right w:val="none" w:sz="0" w:space="0" w:color="auto"/>
          </w:divBdr>
        </w:div>
        <w:div w:id="391008455">
          <w:marLeft w:val="2405"/>
          <w:marRight w:val="0"/>
          <w:marTop w:val="0"/>
          <w:marBottom w:val="0"/>
          <w:divBdr>
            <w:top w:val="none" w:sz="0" w:space="0" w:color="auto"/>
            <w:left w:val="none" w:sz="0" w:space="0" w:color="auto"/>
            <w:bottom w:val="none" w:sz="0" w:space="0" w:color="auto"/>
            <w:right w:val="none" w:sz="0" w:space="0" w:color="auto"/>
          </w:divBdr>
        </w:div>
        <w:div w:id="421754898">
          <w:marLeft w:val="1426"/>
          <w:marRight w:val="0"/>
          <w:marTop w:val="255"/>
          <w:marBottom w:val="0"/>
          <w:divBdr>
            <w:top w:val="none" w:sz="0" w:space="0" w:color="auto"/>
            <w:left w:val="none" w:sz="0" w:space="0" w:color="auto"/>
            <w:bottom w:val="none" w:sz="0" w:space="0" w:color="auto"/>
            <w:right w:val="none" w:sz="0" w:space="0" w:color="auto"/>
          </w:divBdr>
        </w:div>
        <w:div w:id="425421827">
          <w:marLeft w:val="2146"/>
          <w:marRight w:val="0"/>
          <w:marTop w:val="0"/>
          <w:marBottom w:val="0"/>
          <w:divBdr>
            <w:top w:val="none" w:sz="0" w:space="0" w:color="auto"/>
            <w:left w:val="none" w:sz="0" w:space="0" w:color="auto"/>
            <w:bottom w:val="none" w:sz="0" w:space="0" w:color="auto"/>
            <w:right w:val="none" w:sz="0" w:space="0" w:color="auto"/>
          </w:divBdr>
        </w:div>
        <w:div w:id="431358862">
          <w:marLeft w:val="2146"/>
          <w:marRight w:val="0"/>
          <w:marTop w:val="0"/>
          <w:marBottom w:val="0"/>
          <w:divBdr>
            <w:top w:val="none" w:sz="0" w:space="0" w:color="auto"/>
            <w:left w:val="none" w:sz="0" w:space="0" w:color="auto"/>
            <w:bottom w:val="none" w:sz="0" w:space="0" w:color="auto"/>
            <w:right w:val="none" w:sz="0" w:space="0" w:color="auto"/>
          </w:divBdr>
        </w:div>
        <w:div w:id="557522023">
          <w:marLeft w:val="2146"/>
          <w:marRight w:val="0"/>
          <w:marTop w:val="0"/>
          <w:marBottom w:val="0"/>
          <w:divBdr>
            <w:top w:val="none" w:sz="0" w:space="0" w:color="auto"/>
            <w:left w:val="none" w:sz="0" w:space="0" w:color="auto"/>
            <w:bottom w:val="none" w:sz="0" w:space="0" w:color="auto"/>
            <w:right w:val="none" w:sz="0" w:space="0" w:color="auto"/>
          </w:divBdr>
        </w:div>
        <w:div w:id="650672807">
          <w:marLeft w:val="2405"/>
          <w:marRight w:val="0"/>
          <w:marTop w:val="0"/>
          <w:marBottom w:val="0"/>
          <w:divBdr>
            <w:top w:val="none" w:sz="0" w:space="0" w:color="auto"/>
            <w:left w:val="none" w:sz="0" w:space="0" w:color="auto"/>
            <w:bottom w:val="none" w:sz="0" w:space="0" w:color="auto"/>
            <w:right w:val="none" w:sz="0" w:space="0" w:color="auto"/>
          </w:divBdr>
        </w:div>
        <w:div w:id="748238386">
          <w:marLeft w:val="2146"/>
          <w:marRight w:val="0"/>
          <w:marTop w:val="0"/>
          <w:marBottom w:val="0"/>
          <w:divBdr>
            <w:top w:val="none" w:sz="0" w:space="0" w:color="auto"/>
            <w:left w:val="none" w:sz="0" w:space="0" w:color="auto"/>
            <w:bottom w:val="none" w:sz="0" w:space="0" w:color="auto"/>
            <w:right w:val="none" w:sz="0" w:space="0" w:color="auto"/>
          </w:divBdr>
        </w:div>
        <w:div w:id="767315728">
          <w:marLeft w:val="2146"/>
          <w:marRight w:val="0"/>
          <w:marTop w:val="0"/>
          <w:marBottom w:val="0"/>
          <w:divBdr>
            <w:top w:val="none" w:sz="0" w:space="0" w:color="auto"/>
            <w:left w:val="none" w:sz="0" w:space="0" w:color="auto"/>
            <w:bottom w:val="none" w:sz="0" w:space="0" w:color="auto"/>
            <w:right w:val="none" w:sz="0" w:space="0" w:color="auto"/>
          </w:divBdr>
        </w:div>
        <w:div w:id="774398130">
          <w:marLeft w:val="1426"/>
          <w:marRight w:val="0"/>
          <w:marTop w:val="255"/>
          <w:marBottom w:val="0"/>
          <w:divBdr>
            <w:top w:val="none" w:sz="0" w:space="0" w:color="auto"/>
            <w:left w:val="none" w:sz="0" w:space="0" w:color="auto"/>
            <w:bottom w:val="none" w:sz="0" w:space="0" w:color="auto"/>
            <w:right w:val="none" w:sz="0" w:space="0" w:color="auto"/>
          </w:divBdr>
        </w:div>
        <w:div w:id="1095709315">
          <w:marLeft w:val="1426"/>
          <w:marRight w:val="0"/>
          <w:marTop w:val="255"/>
          <w:marBottom w:val="0"/>
          <w:divBdr>
            <w:top w:val="none" w:sz="0" w:space="0" w:color="auto"/>
            <w:left w:val="none" w:sz="0" w:space="0" w:color="auto"/>
            <w:bottom w:val="none" w:sz="0" w:space="0" w:color="auto"/>
            <w:right w:val="none" w:sz="0" w:space="0" w:color="auto"/>
          </w:divBdr>
        </w:div>
        <w:div w:id="1168329919">
          <w:marLeft w:val="2146"/>
          <w:marRight w:val="0"/>
          <w:marTop w:val="0"/>
          <w:marBottom w:val="0"/>
          <w:divBdr>
            <w:top w:val="none" w:sz="0" w:space="0" w:color="auto"/>
            <w:left w:val="none" w:sz="0" w:space="0" w:color="auto"/>
            <w:bottom w:val="none" w:sz="0" w:space="0" w:color="auto"/>
            <w:right w:val="none" w:sz="0" w:space="0" w:color="auto"/>
          </w:divBdr>
        </w:div>
        <w:div w:id="1255095144">
          <w:marLeft w:val="2146"/>
          <w:marRight w:val="0"/>
          <w:marTop w:val="0"/>
          <w:marBottom w:val="0"/>
          <w:divBdr>
            <w:top w:val="none" w:sz="0" w:space="0" w:color="auto"/>
            <w:left w:val="none" w:sz="0" w:space="0" w:color="auto"/>
            <w:bottom w:val="none" w:sz="0" w:space="0" w:color="auto"/>
            <w:right w:val="none" w:sz="0" w:space="0" w:color="auto"/>
          </w:divBdr>
        </w:div>
        <w:div w:id="1491559799">
          <w:marLeft w:val="2146"/>
          <w:marRight w:val="0"/>
          <w:marTop w:val="0"/>
          <w:marBottom w:val="0"/>
          <w:divBdr>
            <w:top w:val="none" w:sz="0" w:space="0" w:color="auto"/>
            <w:left w:val="none" w:sz="0" w:space="0" w:color="auto"/>
            <w:bottom w:val="none" w:sz="0" w:space="0" w:color="auto"/>
            <w:right w:val="none" w:sz="0" w:space="0" w:color="auto"/>
          </w:divBdr>
        </w:div>
        <w:div w:id="1607080959">
          <w:marLeft w:val="2146"/>
          <w:marRight w:val="0"/>
          <w:marTop w:val="0"/>
          <w:marBottom w:val="0"/>
          <w:divBdr>
            <w:top w:val="none" w:sz="0" w:space="0" w:color="auto"/>
            <w:left w:val="none" w:sz="0" w:space="0" w:color="auto"/>
            <w:bottom w:val="none" w:sz="0" w:space="0" w:color="auto"/>
            <w:right w:val="none" w:sz="0" w:space="0" w:color="auto"/>
          </w:divBdr>
        </w:div>
        <w:div w:id="1714423460">
          <w:marLeft w:val="2146"/>
          <w:marRight w:val="0"/>
          <w:marTop w:val="0"/>
          <w:marBottom w:val="0"/>
          <w:divBdr>
            <w:top w:val="none" w:sz="0" w:space="0" w:color="auto"/>
            <w:left w:val="none" w:sz="0" w:space="0" w:color="auto"/>
            <w:bottom w:val="none" w:sz="0" w:space="0" w:color="auto"/>
            <w:right w:val="none" w:sz="0" w:space="0" w:color="auto"/>
          </w:divBdr>
        </w:div>
      </w:divsChild>
    </w:div>
    <w:div w:id="209539585">
      <w:bodyDiv w:val="1"/>
      <w:marLeft w:val="0"/>
      <w:marRight w:val="0"/>
      <w:marTop w:val="0"/>
      <w:marBottom w:val="0"/>
      <w:divBdr>
        <w:top w:val="none" w:sz="0" w:space="0" w:color="auto"/>
        <w:left w:val="none" w:sz="0" w:space="0" w:color="auto"/>
        <w:bottom w:val="none" w:sz="0" w:space="0" w:color="auto"/>
        <w:right w:val="none" w:sz="0" w:space="0" w:color="auto"/>
      </w:divBdr>
    </w:div>
    <w:div w:id="218634471">
      <w:bodyDiv w:val="1"/>
      <w:marLeft w:val="0"/>
      <w:marRight w:val="0"/>
      <w:marTop w:val="0"/>
      <w:marBottom w:val="0"/>
      <w:divBdr>
        <w:top w:val="none" w:sz="0" w:space="0" w:color="auto"/>
        <w:left w:val="none" w:sz="0" w:space="0" w:color="auto"/>
        <w:bottom w:val="none" w:sz="0" w:space="0" w:color="auto"/>
        <w:right w:val="none" w:sz="0" w:space="0" w:color="auto"/>
      </w:divBdr>
    </w:div>
    <w:div w:id="228031581">
      <w:bodyDiv w:val="1"/>
      <w:marLeft w:val="0"/>
      <w:marRight w:val="0"/>
      <w:marTop w:val="0"/>
      <w:marBottom w:val="0"/>
      <w:divBdr>
        <w:top w:val="none" w:sz="0" w:space="0" w:color="auto"/>
        <w:left w:val="none" w:sz="0" w:space="0" w:color="auto"/>
        <w:bottom w:val="none" w:sz="0" w:space="0" w:color="auto"/>
        <w:right w:val="none" w:sz="0" w:space="0" w:color="auto"/>
      </w:divBdr>
      <w:divsChild>
        <w:div w:id="523597635">
          <w:marLeft w:val="850"/>
          <w:marRight w:val="0"/>
          <w:marTop w:val="60"/>
          <w:marBottom w:val="0"/>
          <w:divBdr>
            <w:top w:val="none" w:sz="0" w:space="0" w:color="auto"/>
            <w:left w:val="none" w:sz="0" w:space="0" w:color="auto"/>
            <w:bottom w:val="none" w:sz="0" w:space="0" w:color="auto"/>
            <w:right w:val="none" w:sz="0" w:space="0" w:color="auto"/>
          </w:divBdr>
        </w:div>
        <w:div w:id="550502786">
          <w:marLeft w:val="1426"/>
          <w:marRight w:val="0"/>
          <w:marTop w:val="60"/>
          <w:marBottom w:val="0"/>
          <w:divBdr>
            <w:top w:val="none" w:sz="0" w:space="0" w:color="auto"/>
            <w:left w:val="none" w:sz="0" w:space="0" w:color="auto"/>
            <w:bottom w:val="none" w:sz="0" w:space="0" w:color="auto"/>
            <w:right w:val="none" w:sz="0" w:space="0" w:color="auto"/>
          </w:divBdr>
        </w:div>
        <w:div w:id="872307401">
          <w:marLeft w:val="1426"/>
          <w:marRight w:val="0"/>
          <w:marTop w:val="60"/>
          <w:marBottom w:val="0"/>
          <w:divBdr>
            <w:top w:val="none" w:sz="0" w:space="0" w:color="auto"/>
            <w:left w:val="none" w:sz="0" w:space="0" w:color="auto"/>
            <w:bottom w:val="none" w:sz="0" w:space="0" w:color="auto"/>
            <w:right w:val="none" w:sz="0" w:space="0" w:color="auto"/>
          </w:divBdr>
        </w:div>
        <w:div w:id="919604038">
          <w:marLeft w:val="1426"/>
          <w:marRight w:val="0"/>
          <w:marTop w:val="60"/>
          <w:marBottom w:val="0"/>
          <w:divBdr>
            <w:top w:val="none" w:sz="0" w:space="0" w:color="auto"/>
            <w:left w:val="none" w:sz="0" w:space="0" w:color="auto"/>
            <w:bottom w:val="none" w:sz="0" w:space="0" w:color="auto"/>
            <w:right w:val="none" w:sz="0" w:space="0" w:color="auto"/>
          </w:divBdr>
        </w:div>
        <w:div w:id="1486117923">
          <w:marLeft w:val="850"/>
          <w:marRight w:val="0"/>
          <w:marTop w:val="60"/>
          <w:marBottom w:val="0"/>
          <w:divBdr>
            <w:top w:val="none" w:sz="0" w:space="0" w:color="auto"/>
            <w:left w:val="none" w:sz="0" w:space="0" w:color="auto"/>
            <w:bottom w:val="none" w:sz="0" w:space="0" w:color="auto"/>
            <w:right w:val="none" w:sz="0" w:space="0" w:color="auto"/>
          </w:divBdr>
        </w:div>
        <w:div w:id="1493567813">
          <w:marLeft w:val="1426"/>
          <w:marRight w:val="0"/>
          <w:marTop w:val="60"/>
          <w:marBottom w:val="0"/>
          <w:divBdr>
            <w:top w:val="none" w:sz="0" w:space="0" w:color="auto"/>
            <w:left w:val="none" w:sz="0" w:space="0" w:color="auto"/>
            <w:bottom w:val="none" w:sz="0" w:space="0" w:color="auto"/>
            <w:right w:val="none" w:sz="0" w:space="0" w:color="auto"/>
          </w:divBdr>
        </w:div>
        <w:div w:id="1648784171">
          <w:marLeft w:val="850"/>
          <w:marRight w:val="0"/>
          <w:marTop w:val="60"/>
          <w:marBottom w:val="0"/>
          <w:divBdr>
            <w:top w:val="none" w:sz="0" w:space="0" w:color="auto"/>
            <w:left w:val="none" w:sz="0" w:space="0" w:color="auto"/>
            <w:bottom w:val="none" w:sz="0" w:space="0" w:color="auto"/>
            <w:right w:val="none" w:sz="0" w:space="0" w:color="auto"/>
          </w:divBdr>
        </w:div>
        <w:div w:id="1907835853">
          <w:marLeft w:val="1426"/>
          <w:marRight w:val="0"/>
          <w:marTop w:val="60"/>
          <w:marBottom w:val="0"/>
          <w:divBdr>
            <w:top w:val="none" w:sz="0" w:space="0" w:color="auto"/>
            <w:left w:val="none" w:sz="0" w:space="0" w:color="auto"/>
            <w:bottom w:val="none" w:sz="0" w:space="0" w:color="auto"/>
            <w:right w:val="none" w:sz="0" w:space="0" w:color="auto"/>
          </w:divBdr>
        </w:div>
        <w:div w:id="2029257633">
          <w:marLeft w:val="1426"/>
          <w:marRight w:val="0"/>
          <w:marTop w:val="60"/>
          <w:marBottom w:val="0"/>
          <w:divBdr>
            <w:top w:val="none" w:sz="0" w:space="0" w:color="auto"/>
            <w:left w:val="none" w:sz="0" w:space="0" w:color="auto"/>
            <w:bottom w:val="none" w:sz="0" w:space="0" w:color="auto"/>
            <w:right w:val="none" w:sz="0" w:space="0" w:color="auto"/>
          </w:divBdr>
        </w:div>
        <w:div w:id="2136211903">
          <w:marLeft w:val="1426"/>
          <w:marRight w:val="0"/>
          <w:marTop w:val="60"/>
          <w:marBottom w:val="0"/>
          <w:divBdr>
            <w:top w:val="none" w:sz="0" w:space="0" w:color="auto"/>
            <w:left w:val="none" w:sz="0" w:space="0" w:color="auto"/>
            <w:bottom w:val="none" w:sz="0" w:space="0" w:color="auto"/>
            <w:right w:val="none" w:sz="0" w:space="0" w:color="auto"/>
          </w:divBdr>
        </w:div>
      </w:divsChild>
    </w:div>
    <w:div w:id="229536349">
      <w:bodyDiv w:val="1"/>
      <w:marLeft w:val="0"/>
      <w:marRight w:val="0"/>
      <w:marTop w:val="0"/>
      <w:marBottom w:val="0"/>
      <w:divBdr>
        <w:top w:val="none" w:sz="0" w:space="0" w:color="auto"/>
        <w:left w:val="none" w:sz="0" w:space="0" w:color="auto"/>
        <w:bottom w:val="none" w:sz="0" w:space="0" w:color="auto"/>
        <w:right w:val="none" w:sz="0" w:space="0" w:color="auto"/>
      </w:divBdr>
    </w:div>
    <w:div w:id="267470592">
      <w:bodyDiv w:val="1"/>
      <w:marLeft w:val="0"/>
      <w:marRight w:val="0"/>
      <w:marTop w:val="0"/>
      <w:marBottom w:val="0"/>
      <w:divBdr>
        <w:top w:val="none" w:sz="0" w:space="0" w:color="auto"/>
        <w:left w:val="none" w:sz="0" w:space="0" w:color="auto"/>
        <w:bottom w:val="none" w:sz="0" w:space="0" w:color="auto"/>
        <w:right w:val="none" w:sz="0" w:space="0" w:color="auto"/>
      </w:divBdr>
      <w:divsChild>
        <w:div w:id="225918211">
          <w:marLeft w:val="1267"/>
          <w:marRight w:val="0"/>
          <w:marTop w:val="120"/>
          <w:marBottom w:val="0"/>
          <w:divBdr>
            <w:top w:val="none" w:sz="0" w:space="0" w:color="auto"/>
            <w:left w:val="none" w:sz="0" w:space="0" w:color="auto"/>
            <w:bottom w:val="none" w:sz="0" w:space="0" w:color="auto"/>
            <w:right w:val="none" w:sz="0" w:space="0" w:color="auto"/>
          </w:divBdr>
        </w:div>
        <w:div w:id="527059837">
          <w:marLeft w:val="850"/>
          <w:marRight w:val="0"/>
          <w:marTop w:val="60"/>
          <w:marBottom w:val="0"/>
          <w:divBdr>
            <w:top w:val="none" w:sz="0" w:space="0" w:color="auto"/>
            <w:left w:val="none" w:sz="0" w:space="0" w:color="auto"/>
            <w:bottom w:val="none" w:sz="0" w:space="0" w:color="auto"/>
            <w:right w:val="none" w:sz="0" w:space="0" w:color="auto"/>
          </w:divBdr>
        </w:div>
        <w:div w:id="533887098">
          <w:marLeft w:val="1426"/>
          <w:marRight w:val="0"/>
          <w:marTop w:val="120"/>
          <w:marBottom w:val="0"/>
          <w:divBdr>
            <w:top w:val="none" w:sz="0" w:space="0" w:color="auto"/>
            <w:left w:val="none" w:sz="0" w:space="0" w:color="auto"/>
            <w:bottom w:val="none" w:sz="0" w:space="0" w:color="auto"/>
            <w:right w:val="none" w:sz="0" w:space="0" w:color="auto"/>
          </w:divBdr>
        </w:div>
        <w:div w:id="656763608">
          <w:marLeft w:val="2146"/>
          <w:marRight w:val="0"/>
          <w:marTop w:val="120"/>
          <w:marBottom w:val="0"/>
          <w:divBdr>
            <w:top w:val="none" w:sz="0" w:space="0" w:color="auto"/>
            <w:left w:val="none" w:sz="0" w:space="0" w:color="auto"/>
            <w:bottom w:val="none" w:sz="0" w:space="0" w:color="auto"/>
            <w:right w:val="none" w:sz="0" w:space="0" w:color="auto"/>
          </w:divBdr>
        </w:div>
        <w:div w:id="658074965">
          <w:marLeft w:val="1267"/>
          <w:marRight w:val="0"/>
          <w:marTop w:val="120"/>
          <w:marBottom w:val="0"/>
          <w:divBdr>
            <w:top w:val="none" w:sz="0" w:space="0" w:color="auto"/>
            <w:left w:val="none" w:sz="0" w:space="0" w:color="auto"/>
            <w:bottom w:val="none" w:sz="0" w:space="0" w:color="auto"/>
            <w:right w:val="none" w:sz="0" w:space="0" w:color="auto"/>
          </w:divBdr>
        </w:div>
        <w:div w:id="1184587644">
          <w:marLeft w:val="1426"/>
          <w:marRight w:val="0"/>
          <w:marTop w:val="120"/>
          <w:marBottom w:val="0"/>
          <w:divBdr>
            <w:top w:val="none" w:sz="0" w:space="0" w:color="auto"/>
            <w:left w:val="none" w:sz="0" w:space="0" w:color="auto"/>
            <w:bottom w:val="none" w:sz="0" w:space="0" w:color="auto"/>
            <w:right w:val="none" w:sz="0" w:space="0" w:color="auto"/>
          </w:divBdr>
        </w:div>
        <w:div w:id="1286353780">
          <w:marLeft w:val="1426"/>
          <w:marRight w:val="0"/>
          <w:marTop w:val="120"/>
          <w:marBottom w:val="0"/>
          <w:divBdr>
            <w:top w:val="none" w:sz="0" w:space="0" w:color="auto"/>
            <w:left w:val="none" w:sz="0" w:space="0" w:color="auto"/>
            <w:bottom w:val="none" w:sz="0" w:space="0" w:color="auto"/>
            <w:right w:val="none" w:sz="0" w:space="0" w:color="auto"/>
          </w:divBdr>
        </w:div>
        <w:div w:id="1702898870">
          <w:marLeft w:val="1267"/>
          <w:marRight w:val="0"/>
          <w:marTop w:val="120"/>
          <w:marBottom w:val="0"/>
          <w:divBdr>
            <w:top w:val="none" w:sz="0" w:space="0" w:color="auto"/>
            <w:left w:val="none" w:sz="0" w:space="0" w:color="auto"/>
            <w:bottom w:val="none" w:sz="0" w:space="0" w:color="auto"/>
            <w:right w:val="none" w:sz="0" w:space="0" w:color="auto"/>
          </w:divBdr>
        </w:div>
        <w:div w:id="1895851370">
          <w:marLeft w:val="850"/>
          <w:marRight w:val="0"/>
          <w:marTop w:val="60"/>
          <w:marBottom w:val="0"/>
          <w:divBdr>
            <w:top w:val="none" w:sz="0" w:space="0" w:color="auto"/>
            <w:left w:val="none" w:sz="0" w:space="0" w:color="auto"/>
            <w:bottom w:val="none" w:sz="0" w:space="0" w:color="auto"/>
            <w:right w:val="none" w:sz="0" w:space="0" w:color="auto"/>
          </w:divBdr>
        </w:div>
      </w:divsChild>
    </w:div>
    <w:div w:id="282149895">
      <w:bodyDiv w:val="1"/>
      <w:marLeft w:val="0"/>
      <w:marRight w:val="0"/>
      <w:marTop w:val="0"/>
      <w:marBottom w:val="0"/>
      <w:divBdr>
        <w:top w:val="none" w:sz="0" w:space="0" w:color="auto"/>
        <w:left w:val="none" w:sz="0" w:space="0" w:color="auto"/>
        <w:bottom w:val="none" w:sz="0" w:space="0" w:color="auto"/>
        <w:right w:val="none" w:sz="0" w:space="0" w:color="auto"/>
      </w:divBdr>
      <w:divsChild>
        <w:div w:id="37779123">
          <w:marLeft w:val="850"/>
          <w:marRight w:val="0"/>
          <w:marTop w:val="60"/>
          <w:marBottom w:val="0"/>
          <w:divBdr>
            <w:top w:val="none" w:sz="0" w:space="0" w:color="auto"/>
            <w:left w:val="none" w:sz="0" w:space="0" w:color="auto"/>
            <w:bottom w:val="none" w:sz="0" w:space="0" w:color="auto"/>
            <w:right w:val="none" w:sz="0" w:space="0" w:color="auto"/>
          </w:divBdr>
        </w:div>
        <w:div w:id="90905273">
          <w:marLeft w:val="504"/>
          <w:marRight w:val="0"/>
          <w:marTop w:val="60"/>
          <w:marBottom w:val="0"/>
          <w:divBdr>
            <w:top w:val="none" w:sz="0" w:space="0" w:color="auto"/>
            <w:left w:val="none" w:sz="0" w:space="0" w:color="auto"/>
            <w:bottom w:val="none" w:sz="0" w:space="0" w:color="auto"/>
            <w:right w:val="none" w:sz="0" w:space="0" w:color="auto"/>
          </w:divBdr>
        </w:div>
        <w:div w:id="328556069">
          <w:marLeft w:val="850"/>
          <w:marRight w:val="0"/>
          <w:marTop w:val="60"/>
          <w:marBottom w:val="0"/>
          <w:divBdr>
            <w:top w:val="none" w:sz="0" w:space="0" w:color="auto"/>
            <w:left w:val="none" w:sz="0" w:space="0" w:color="auto"/>
            <w:bottom w:val="none" w:sz="0" w:space="0" w:color="auto"/>
            <w:right w:val="none" w:sz="0" w:space="0" w:color="auto"/>
          </w:divBdr>
        </w:div>
        <w:div w:id="436490056">
          <w:marLeft w:val="504"/>
          <w:marRight w:val="0"/>
          <w:marTop w:val="60"/>
          <w:marBottom w:val="0"/>
          <w:divBdr>
            <w:top w:val="none" w:sz="0" w:space="0" w:color="auto"/>
            <w:left w:val="none" w:sz="0" w:space="0" w:color="auto"/>
            <w:bottom w:val="none" w:sz="0" w:space="0" w:color="auto"/>
            <w:right w:val="none" w:sz="0" w:space="0" w:color="auto"/>
          </w:divBdr>
        </w:div>
        <w:div w:id="689721053">
          <w:marLeft w:val="850"/>
          <w:marRight w:val="0"/>
          <w:marTop w:val="60"/>
          <w:marBottom w:val="0"/>
          <w:divBdr>
            <w:top w:val="none" w:sz="0" w:space="0" w:color="auto"/>
            <w:left w:val="none" w:sz="0" w:space="0" w:color="auto"/>
            <w:bottom w:val="none" w:sz="0" w:space="0" w:color="auto"/>
            <w:right w:val="none" w:sz="0" w:space="0" w:color="auto"/>
          </w:divBdr>
        </w:div>
        <w:div w:id="1196042313">
          <w:marLeft w:val="850"/>
          <w:marRight w:val="0"/>
          <w:marTop w:val="60"/>
          <w:marBottom w:val="0"/>
          <w:divBdr>
            <w:top w:val="none" w:sz="0" w:space="0" w:color="auto"/>
            <w:left w:val="none" w:sz="0" w:space="0" w:color="auto"/>
            <w:bottom w:val="none" w:sz="0" w:space="0" w:color="auto"/>
            <w:right w:val="none" w:sz="0" w:space="0" w:color="auto"/>
          </w:divBdr>
        </w:div>
        <w:div w:id="1489788084">
          <w:marLeft w:val="850"/>
          <w:marRight w:val="0"/>
          <w:marTop w:val="60"/>
          <w:marBottom w:val="0"/>
          <w:divBdr>
            <w:top w:val="none" w:sz="0" w:space="0" w:color="auto"/>
            <w:left w:val="none" w:sz="0" w:space="0" w:color="auto"/>
            <w:bottom w:val="none" w:sz="0" w:space="0" w:color="auto"/>
            <w:right w:val="none" w:sz="0" w:space="0" w:color="auto"/>
          </w:divBdr>
        </w:div>
        <w:div w:id="1696619036">
          <w:marLeft w:val="850"/>
          <w:marRight w:val="0"/>
          <w:marTop w:val="60"/>
          <w:marBottom w:val="0"/>
          <w:divBdr>
            <w:top w:val="none" w:sz="0" w:space="0" w:color="auto"/>
            <w:left w:val="none" w:sz="0" w:space="0" w:color="auto"/>
            <w:bottom w:val="none" w:sz="0" w:space="0" w:color="auto"/>
            <w:right w:val="none" w:sz="0" w:space="0" w:color="auto"/>
          </w:divBdr>
        </w:div>
        <w:div w:id="1814712647">
          <w:marLeft w:val="850"/>
          <w:marRight w:val="0"/>
          <w:marTop w:val="60"/>
          <w:marBottom w:val="0"/>
          <w:divBdr>
            <w:top w:val="none" w:sz="0" w:space="0" w:color="auto"/>
            <w:left w:val="none" w:sz="0" w:space="0" w:color="auto"/>
            <w:bottom w:val="none" w:sz="0" w:space="0" w:color="auto"/>
            <w:right w:val="none" w:sz="0" w:space="0" w:color="auto"/>
          </w:divBdr>
        </w:div>
        <w:div w:id="1823697754">
          <w:marLeft w:val="504"/>
          <w:marRight w:val="0"/>
          <w:marTop w:val="60"/>
          <w:marBottom w:val="0"/>
          <w:divBdr>
            <w:top w:val="none" w:sz="0" w:space="0" w:color="auto"/>
            <w:left w:val="none" w:sz="0" w:space="0" w:color="auto"/>
            <w:bottom w:val="none" w:sz="0" w:space="0" w:color="auto"/>
            <w:right w:val="none" w:sz="0" w:space="0" w:color="auto"/>
          </w:divBdr>
        </w:div>
        <w:div w:id="1830948864">
          <w:marLeft w:val="850"/>
          <w:marRight w:val="0"/>
          <w:marTop w:val="60"/>
          <w:marBottom w:val="0"/>
          <w:divBdr>
            <w:top w:val="none" w:sz="0" w:space="0" w:color="auto"/>
            <w:left w:val="none" w:sz="0" w:space="0" w:color="auto"/>
            <w:bottom w:val="none" w:sz="0" w:space="0" w:color="auto"/>
            <w:right w:val="none" w:sz="0" w:space="0" w:color="auto"/>
          </w:divBdr>
        </w:div>
        <w:div w:id="1880167922">
          <w:marLeft w:val="850"/>
          <w:marRight w:val="0"/>
          <w:marTop w:val="60"/>
          <w:marBottom w:val="0"/>
          <w:divBdr>
            <w:top w:val="none" w:sz="0" w:space="0" w:color="auto"/>
            <w:left w:val="none" w:sz="0" w:space="0" w:color="auto"/>
            <w:bottom w:val="none" w:sz="0" w:space="0" w:color="auto"/>
            <w:right w:val="none" w:sz="0" w:space="0" w:color="auto"/>
          </w:divBdr>
        </w:div>
      </w:divsChild>
    </w:div>
    <w:div w:id="309405910">
      <w:bodyDiv w:val="1"/>
      <w:marLeft w:val="0"/>
      <w:marRight w:val="0"/>
      <w:marTop w:val="0"/>
      <w:marBottom w:val="0"/>
      <w:divBdr>
        <w:top w:val="none" w:sz="0" w:space="0" w:color="auto"/>
        <w:left w:val="none" w:sz="0" w:space="0" w:color="auto"/>
        <w:bottom w:val="none" w:sz="0" w:space="0" w:color="auto"/>
        <w:right w:val="none" w:sz="0" w:space="0" w:color="auto"/>
      </w:divBdr>
      <w:divsChild>
        <w:div w:id="512455059">
          <w:marLeft w:val="1843"/>
          <w:marRight w:val="0"/>
          <w:marTop w:val="0"/>
          <w:marBottom w:val="0"/>
          <w:divBdr>
            <w:top w:val="none" w:sz="0" w:space="0" w:color="auto"/>
            <w:left w:val="none" w:sz="0" w:space="0" w:color="auto"/>
            <w:bottom w:val="none" w:sz="0" w:space="0" w:color="auto"/>
            <w:right w:val="none" w:sz="0" w:space="0" w:color="auto"/>
          </w:divBdr>
        </w:div>
        <w:div w:id="601302513">
          <w:marLeft w:val="1843"/>
          <w:marRight w:val="0"/>
          <w:marTop w:val="0"/>
          <w:marBottom w:val="0"/>
          <w:divBdr>
            <w:top w:val="none" w:sz="0" w:space="0" w:color="auto"/>
            <w:left w:val="none" w:sz="0" w:space="0" w:color="auto"/>
            <w:bottom w:val="none" w:sz="0" w:space="0" w:color="auto"/>
            <w:right w:val="none" w:sz="0" w:space="0" w:color="auto"/>
          </w:divBdr>
        </w:div>
        <w:div w:id="685980294">
          <w:marLeft w:val="1843"/>
          <w:marRight w:val="0"/>
          <w:marTop w:val="0"/>
          <w:marBottom w:val="0"/>
          <w:divBdr>
            <w:top w:val="none" w:sz="0" w:space="0" w:color="auto"/>
            <w:left w:val="none" w:sz="0" w:space="0" w:color="auto"/>
            <w:bottom w:val="none" w:sz="0" w:space="0" w:color="auto"/>
            <w:right w:val="none" w:sz="0" w:space="0" w:color="auto"/>
          </w:divBdr>
        </w:div>
        <w:div w:id="785612509">
          <w:marLeft w:val="1843"/>
          <w:marRight w:val="0"/>
          <w:marTop w:val="0"/>
          <w:marBottom w:val="0"/>
          <w:divBdr>
            <w:top w:val="none" w:sz="0" w:space="0" w:color="auto"/>
            <w:left w:val="none" w:sz="0" w:space="0" w:color="auto"/>
            <w:bottom w:val="none" w:sz="0" w:space="0" w:color="auto"/>
            <w:right w:val="none" w:sz="0" w:space="0" w:color="auto"/>
          </w:divBdr>
        </w:div>
        <w:div w:id="839274229">
          <w:marLeft w:val="1843"/>
          <w:marRight w:val="0"/>
          <w:marTop w:val="0"/>
          <w:marBottom w:val="0"/>
          <w:divBdr>
            <w:top w:val="none" w:sz="0" w:space="0" w:color="auto"/>
            <w:left w:val="none" w:sz="0" w:space="0" w:color="auto"/>
            <w:bottom w:val="none" w:sz="0" w:space="0" w:color="auto"/>
            <w:right w:val="none" w:sz="0" w:space="0" w:color="auto"/>
          </w:divBdr>
        </w:div>
        <w:div w:id="954025887">
          <w:marLeft w:val="1843"/>
          <w:marRight w:val="0"/>
          <w:marTop w:val="0"/>
          <w:marBottom w:val="0"/>
          <w:divBdr>
            <w:top w:val="none" w:sz="0" w:space="0" w:color="auto"/>
            <w:left w:val="none" w:sz="0" w:space="0" w:color="auto"/>
            <w:bottom w:val="none" w:sz="0" w:space="0" w:color="auto"/>
            <w:right w:val="none" w:sz="0" w:space="0" w:color="auto"/>
          </w:divBdr>
        </w:div>
        <w:div w:id="1050037516">
          <w:marLeft w:val="1843"/>
          <w:marRight w:val="0"/>
          <w:marTop w:val="0"/>
          <w:marBottom w:val="0"/>
          <w:divBdr>
            <w:top w:val="none" w:sz="0" w:space="0" w:color="auto"/>
            <w:left w:val="none" w:sz="0" w:space="0" w:color="auto"/>
            <w:bottom w:val="none" w:sz="0" w:space="0" w:color="auto"/>
            <w:right w:val="none" w:sz="0" w:space="0" w:color="auto"/>
          </w:divBdr>
        </w:div>
        <w:div w:id="1789474170">
          <w:marLeft w:val="1843"/>
          <w:marRight w:val="0"/>
          <w:marTop w:val="0"/>
          <w:marBottom w:val="0"/>
          <w:divBdr>
            <w:top w:val="none" w:sz="0" w:space="0" w:color="auto"/>
            <w:left w:val="none" w:sz="0" w:space="0" w:color="auto"/>
            <w:bottom w:val="none" w:sz="0" w:space="0" w:color="auto"/>
            <w:right w:val="none" w:sz="0" w:space="0" w:color="auto"/>
          </w:divBdr>
        </w:div>
        <w:div w:id="1862011651">
          <w:marLeft w:val="1843"/>
          <w:marRight w:val="0"/>
          <w:marTop w:val="0"/>
          <w:marBottom w:val="0"/>
          <w:divBdr>
            <w:top w:val="none" w:sz="0" w:space="0" w:color="auto"/>
            <w:left w:val="none" w:sz="0" w:space="0" w:color="auto"/>
            <w:bottom w:val="none" w:sz="0" w:space="0" w:color="auto"/>
            <w:right w:val="none" w:sz="0" w:space="0" w:color="auto"/>
          </w:divBdr>
        </w:div>
      </w:divsChild>
    </w:div>
    <w:div w:id="310983830">
      <w:bodyDiv w:val="1"/>
      <w:marLeft w:val="0"/>
      <w:marRight w:val="0"/>
      <w:marTop w:val="0"/>
      <w:marBottom w:val="0"/>
      <w:divBdr>
        <w:top w:val="none" w:sz="0" w:space="0" w:color="auto"/>
        <w:left w:val="none" w:sz="0" w:space="0" w:color="auto"/>
        <w:bottom w:val="none" w:sz="0" w:space="0" w:color="auto"/>
        <w:right w:val="none" w:sz="0" w:space="0" w:color="auto"/>
      </w:divBdr>
      <w:divsChild>
        <w:div w:id="386103408">
          <w:marLeft w:val="979"/>
          <w:marRight w:val="0"/>
          <w:marTop w:val="120"/>
          <w:marBottom w:val="0"/>
          <w:divBdr>
            <w:top w:val="none" w:sz="0" w:space="0" w:color="auto"/>
            <w:left w:val="none" w:sz="0" w:space="0" w:color="auto"/>
            <w:bottom w:val="none" w:sz="0" w:space="0" w:color="auto"/>
            <w:right w:val="none" w:sz="0" w:space="0" w:color="auto"/>
          </w:divBdr>
        </w:div>
        <w:div w:id="1098794399">
          <w:marLeft w:val="979"/>
          <w:marRight w:val="0"/>
          <w:marTop w:val="120"/>
          <w:marBottom w:val="0"/>
          <w:divBdr>
            <w:top w:val="none" w:sz="0" w:space="0" w:color="auto"/>
            <w:left w:val="none" w:sz="0" w:space="0" w:color="auto"/>
            <w:bottom w:val="none" w:sz="0" w:space="0" w:color="auto"/>
            <w:right w:val="none" w:sz="0" w:space="0" w:color="auto"/>
          </w:divBdr>
        </w:div>
        <w:div w:id="1471749504">
          <w:marLeft w:val="979"/>
          <w:marRight w:val="0"/>
          <w:marTop w:val="120"/>
          <w:marBottom w:val="0"/>
          <w:divBdr>
            <w:top w:val="none" w:sz="0" w:space="0" w:color="auto"/>
            <w:left w:val="none" w:sz="0" w:space="0" w:color="auto"/>
            <w:bottom w:val="none" w:sz="0" w:space="0" w:color="auto"/>
            <w:right w:val="none" w:sz="0" w:space="0" w:color="auto"/>
          </w:divBdr>
        </w:div>
      </w:divsChild>
    </w:div>
    <w:div w:id="346444826">
      <w:bodyDiv w:val="1"/>
      <w:marLeft w:val="0"/>
      <w:marRight w:val="0"/>
      <w:marTop w:val="0"/>
      <w:marBottom w:val="0"/>
      <w:divBdr>
        <w:top w:val="none" w:sz="0" w:space="0" w:color="auto"/>
        <w:left w:val="none" w:sz="0" w:space="0" w:color="auto"/>
        <w:bottom w:val="none" w:sz="0" w:space="0" w:color="auto"/>
        <w:right w:val="none" w:sz="0" w:space="0" w:color="auto"/>
      </w:divBdr>
    </w:div>
    <w:div w:id="347678903">
      <w:bodyDiv w:val="1"/>
      <w:marLeft w:val="0"/>
      <w:marRight w:val="0"/>
      <w:marTop w:val="0"/>
      <w:marBottom w:val="0"/>
      <w:divBdr>
        <w:top w:val="none" w:sz="0" w:space="0" w:color="auto"/>
        <w:left w:val="none" w:sz="0" w:space="0" w:color="auto"/>
        <w:bottom w:val="none" w:sz="0" w:space="0" w:color="auto"/>
        <w:right w:val="none" w:sz="0" w:space="0" w:color="auto"/>
      </w:divBdr>
    </w:div>
    <w:div w:id="372198721">
      <w:bodyDiv w:val="1"/>
      <w:marLeft w:val="0"/>
      <w:marRight w:val="0"/>
      <w:marTop w:val="0"/>
      <w:marBottom w:val="0"/>
      <w:divBdr>
        <w:top w:val="none" w:sz="0" w:space="0" w:color="auto"/>
        <w:left w:val="none" w:sz="0" w:space="0" w:color="auto"/>
        <w:bottom w:val="none" w:sz="0" w:space="0" w:color="auto"/>
        <w:right w:val="none" w:sz="0" w:space="0" w:color="auto"/>
      </w:divBdr>
    </w:div>
    <w:div w:id="431125407">
      <w:bodyDiv w:val="1"/>
      <w:marLeft w:val="0"/>
      <w:marRight w:val="0"/>
      <w:marTop w:val="0"/>
      <w:marBottom w:val="0"/>
      <w:divBdr>
        <w:top w:val="none" w:sz="0" w:space="0" w:color="auto"/>
        <w:left w:val="none" w:sz="0" w:space="0" w:color="auto"/>
        <w:bottom w:val="none" w:sz="0" w:space="0" w:color="auto"/>
        <w:right w:val="none" w:sz="0" w:space="0" w:color="auto"/>
      </w:divBdr>
    </w:div>
    <w:div w:id="446197893">
      <w:bodyDiv w:val="1"/>
      <w:marLeft w:val="0"/>
      <w:marRight w:val="0"/>
      <w:marTop w:val="0"/>
      <w:marBottom w:val="0"/>
      <w:divBdr>
        <w:top w:val="none" w:sz="0" w:space="0" w:color="auto"/>
        <w:left w:val="none" w:sz="0" w:space="0" w:color="auto"/>
        <w:bottom w:val="none" w:sz="0" w:space="0" w:color="auto"/>
        <w:right w:val="none" w:sz="0" w:space="0" w:color="auto"/>
      </w:divBdr>
    </w:div>
    <w:div w:id="463891038">
      <w:bodyDiv w:val="1"/>
      <w:marLeft w:val="0"/>
      <w:marRight w:val="0"/>
      <w:marTop w:val="0"/>
      <w:marBottom w:val="0"/>
      <w:divBdr>
        <w:top w:val="none" w:sz="0" w:space="0" w:color="auto"/>
        <w:left w:val="none" w:sz="0" w:space="0" w:color="auto"/>
        <w:bottom w:val="none" w:sz="0" w:space="0" w:color="auto"/>
        <w:right w:val="none" w:sz="0" w:space="0" w:color="auto"/>
      </w:divBdr>
    </w:div>
    <w:div w:id="468087750">
      <w:bodyDiv w:val="1"/>
      <w:marLeft w:val="0"/>
      <w:marRight w:val="0"/>
      <w:marTop w:val="0"/>
      <w:marBottom w:val="0"/>
      <w:divBdr>
        <w:top w:val="none" w:sz="0" w:space="0" w:color="auto"/>
        <w:left w:val="none" w:sz="0" w:space="0" w:color="auto"/>
        <w:bottom w:val="none" w:sz="0" w:space="0" w:color="auto"/>
        <w:right w:val="none" w:sz="0" w:space="0" w:color="auto"/>
      </w:divBdr>
    </w:div>
    <w:div w:id="480779211">
      <w:bodyDiv w:val="1"/>
      <w:marLeft w:val="0"/>
      <w:marRight w:val="0"/>
      <w:marTop w:val="0"/>
      <w:marBottom w:val="0"/>
      <w:divBdr>
        <w:top w:val="none" w:sz="0" w:space="0" w:color="auto"/>
        <w:left w:val="none" w:sz="0" w:space="0" w:color="auto"/>
        <w:bottom w:val="none" w:sz="0" w:space="0" w:color="auto"/>
        <w:right w:val="none" w:sz="0" w:space="0" w:color="auto"/>
      </w:divBdr>
      <w:divsChild>
        <w:div w:id="84545840">
          <w:marLeft w:val="1426"/>
          <w:marRight w:val="0"/>
          <w:marTop w:val="60"/>
          <w:marBottom w:val="0"/>
          <w:divBdr>
            <w:top w:val="none" w:sz="0" w:space="0" w:color="auto"/>
            <w:left w:val="none" w:sz="0" w:space="0" w:color="auto"/>
            <w:bottom w:val="none" w:sz="0" w:space="0" w:color="auto"/>
            <w:right w:val="none" w:sz="0" w:space="0" w:color="auto"/>
          </w:divBdr>
        </w:div>
        <w:div w:id="365176711">
          <w:marLeft w:val="1426"/>
          <w:marRight w:val="0"/>
          <w:marTop w:val="60"/>
          <w:marBottom w:val="0"/>
          <w:divBdr>
            <w:top w:val="none" w:sz="0" w:space="0" w:color="auto"/>
            <w:left w:val="none" w:sz="0" w:space="0" w:color="auto"/>
            <w:bottom w:val="none" w:sz="0" w:space="0" w:color="auto"/>
            <w:right w:val="none" w:sz="0" w:space="0" w:color="auto"/>
          </w:divBdr>
        </w:div>
        <w:div w:id="473840171">
          <w:marLeft w:val="1426"/>
          <w:marRight w:val="0"/>
          <w:marTop w:val="60"/>
          <w:marBottom w:val="0"/>
          <w:divBdr>
            <w:top w:val="none" w:sz="0" w:space="0" w:color="auto"/>
            <w:left w:val="none" w:sz="0" w:space="0" w:color="auto"/>
            <w:bottom w:val="none" w:sz="0" w:space="0" w:color="auto"/>
            <w:right w:val="none" w:sz="0" w:space="0" w:color="auto"/>
          </w:divBdr>
        </w:div>
        <w:div w:id="1212185009">
          <w:marLeft w:val="1426"/>
          <w:marRight w:val="0"/>
          <w:marTop w:val="60"/>
          <w:marBottom w:val="0"/>
          <w:divBdr>
            <w:top w:val="none" w:sz="0" w:space="0" w:color="auto"/>
            <w:left w:val="none" w:sz="0" w:space="0" w:color="auto"/>
            <w:bottom w:val="none" w:sz="0" w:space="0" w:color="auto"/>
            <w:right w:val="none" w:sz="0" w:space="0" w:color="auto"/>
          </w:divBdr>
        </w:div>
        <w:div w:id="1259368427">
          <w:marLeft w:val="850"/>
          <w:marRight w:val="0"/>
          <w:marTop w:val="60"/>
          <w:marBottom w:val="0"/>
          <w:divBdr>
            <w:top w:val="none" w:sz="0" w:space="0" w:color="auto"/>
            <w:left w:val="none" w:sz="0" w:space="0" w:color="auto"/>
            <w:bottom w:val="none" w:sz="0" w:space="0" w:color="auto"/>
            <w:right w:val="none" w:sz="0" w:space="0" w:color="auto"/>
          </w:divBdr>
        </w:div>
        <w:div w:id="1358309290">
          <w:marLeft w:val="850"/>
          <w:marRight w:val="0"/>
          <w:marTop w:val="60"/>
          <w:marBottom w:val="0"/>
          <w:divBdr>
            <w:top w:val="none" w:sz="0" w:space="0" w:color="auto"/>
            <w:left w:val="none" w:sz="0" w:space="0" w:color="auto"/>
            <w:bottom w:val="none" w:sz="0" w:space="0" w:color="auto"/>
            <w:right w:val="none" w:sz="0" w:space="0" w:color="auto"/>
          </w:divBdr>
        </w:div>
        <w:div w:id="1569266354">
          <w:marLeft w:val="1426"/>
          <w:marRight w:val="0"/>
          <w:marTop w:val="60"/>
          <w:marBottom w:val="0"/>
          <w:divBdr>
            <w:top w:val="none" w:sz="0" w:space="0" w:color="auto"/>
            <w:left w:val="none" w:sz="0" w:space="0" w:color="auto"/>
            <w:bottom w:val="none" w:sz="0" w:space="0" w:color="auto"/>
            <w:right w:val="none" w:sz="0" w:space="0" w:color="auto"/>
          </w:divBdr>
        </w:div>
        <w:div w:id="1594241499">
          <w:marLeft w:val="1426"/>
          <w:marRight w:val="0"/>
          <w:marTop w:val="60"/>
          <w:marBottom w:val="0"/>
          <w:divBdr>
            <w:top w:val="none" w:sz="0" w:space="0" w:color="auto"/>
            <w:left w:val="none" w:sz="0" w:space="0" w:color="auto"/>
            <w:bottom w:val="none" w:sz="0" w:space="0" w:color="auto"/>
            <w:right w:val="none" w:sz="0" w:space="0" w:color="auto"/>
          </w:divBdr>
        </w:div>
        <w:div w:id="1596817033">
          <w:marLeft w:val="1426"/>
          <w:marRight w:val="0"/>
          <w:marTop w:val="60"/>
          <w:marBottom w:val="0"/>
          <w:divBdr>
            <w:top w:val="none" w:sz="0" w:space="0" w:color="auto"/>
            <w:left w:val="none" w:sz="0" w:space="0" w:color="auto"/>
            <w:bottom w:val="none" w:sz="0" w:space="0" w:color="auto"/>
            <w:right w:val="none" w:sz="0" w:space="0" w:color="auto"/>
          </w:divBdr>
        </w:div>
        <w:div w:id="1708331259">
          <w:marLeft w:val="850"/>
          <w:marRight w:val="0"/>
          <w:marTop w:val="60"/>
          <w:marBottom w:val="0"/>
          <w:divBdr>
            <w:top w:val="none" w:sz="0" w:space="0" w:color="auto"/>
            <w:left w:val="none" w:sz="0" w:space="0" w:color="auto"/>
            <w:bottom w:val="none" w:sz="0" w:space="0" w:color="auto"/>
            <w:right w:val="none" w:sz="0" w:space="0" w:color="auto"/>
          </w:divBdr>
        </w:div>
      </w:divsChild>
    </w:div>
    <w:div w:id="485632650">
      <w:bodyDiv w:val="1"/>
      <w:marLeft w:val="0"/>
      <w:marRight w:val="0"/>
      <w:marTop w:val="0"/>
      <w:marBottom w:val="0"/>
      <w:divBdr>
        <w:top w:val="none" w:sz="0" w:space="0" w:color="auto"/>
        <w:left w:val="none" w:sz="0" w:space="0" w:color="auto"/>
        <w:bottom w:val="none" w:sz="0" w:space="0" w:color="auto"/>
        <w:right w:val="none" w:sz="0" w:space="0" w:color="auto"/>
      </w:divBdr>
      <w:divsChild>
        <w:div w:id="215244800">
          <w:marLeft w:val="1426"/>
          <w:marRight w:val="0"/>
          <w:marTop w:val="60"/>
          <w:marBottom w:val="0"/>
          <w:divBdr>
            <w:top w:val="none" w:sz="0" w:space="0" w:color="auto"/>
            <w:left w:val="none" w:sz="0" w:space="0" w:color="auto"/>
            <w:bottom w:val="none" w:sz="0" w:space="0" w:color="auto"/>
            <w:right w:val="none" w:sz="0" w:space="0" w:color="auto"/>
          </w:divBdr>
        </w:div>
        <w:div w:id="467863322">
          <w:marLeft w:val="850"/>
          <w:marRight w:val="0"/>
          <w:marTop w:val="60"/>
          <w:marBottom w:val="0"/>
          <w:divBdr>
            <w:top w:val="none" w:sz="0" w:space="0" w:color="auto"/>
            <w:left w:val="none" w:sz="0" w:space="0" w:color="auto"/>
            <w:bottom w:val="none" w:sz="0" w:space="0" w:color="auto"/>
            <w:right w:val="none" w:sz="0" w:space="0" w:color="auto"/>
          </w:divBdr>
        </w:div>
        <w:div w:id="656226522">
          <w:marLeft w:val="1426"/>
          <w:marRight w:val="0"/>
          <w:marTop w:val="60"/>
          <w:marBottom w:val="0"/>
          <w:divBdr>
            <w:top w:val="none" w:sz="0" w:space="0" w:color="auto"/>
            <w:left w:val="none" w:sz="0" w:space="0" w:color="auto"/>
            <w:bottom w:val="none" w:sz="0" w:space="0" w:color="auto"/>
            <w:right w:val="none" w:sz="0" w:space="0" w:color="auto"/>
          </w:divBdr>
        </w:div>
        <w:div w:id="834615219">
          <w:marLeft w:val="1426"/>
          <w:marRight w:val="0"/>
          <w:marTop w:val="60"/>
          <w:marBottom w:val="0"/>
          <w:divBdr>
            <w:top w:val="none" w:sz="0" w:space="0" w:color="auto"/>
            <w:left w:val="none" w:sz="0" w:space="0" w:color="auto"/>
            <w:bottom w:val="none" w:sz="0" w:space="0" w:color="auto"/>
            <w:right w:val="none" w:sz="0" w:space="0" w:color="auto"/>
          </w:divBdr>
        </w:div>
        <w:div w:id="844393693">
          <w:marLeft w:val="850"/>
          <w:marRight w:val="0"/>
          <w:marTop w:val="180"/>
          <w:marBottom w:val="0"/>
          <w:divBdr>
            <w:top w:val="none" w:sz="0" w:space="0" w:color="auto"/>
            <w:left w:val="none" w:sz="0" w:space="0" w:color="auto"/>
            <w:bottom w:val="none" w:sz="0" w:space="0" w:color="auto"/>
            <w:right w:val="none" w:sz="0" w:space="0" w:color="auto"/>
          </w:divBdr>
        </w:div>
        <w:div w:id="1012300707">
          <w:marLeft w:val="850"/>
          <w:marRight w:val="0"/>
          <w:marTop w:val="180"/>
          <w:marBottom w:val="0"/>
          <w:divBdr>
            <w:top w:val="none" w:sz="0" w:space="0" w:color="auto"/>
            <w:left w:val="none" w:sz="0" w:space="0" w:color="auto"/>
            <w:bottom w:val="none" w:sz="0" w:space="0" w:color="auto"/>
            <w:right w:val="none" w:sz="0" w:space="0" w:color="auto"/>
          </w:divBdr>
        </w:div>
        <w:div w:id="1091657830">
          <w:marLeft w:val="1426"/>
          <w:marRight w:val="0"/>
          <w:marTop w:val="60"/>
          <w:marBottom w:val="0"/>
          <w:divBdr>
            <w:top w:val="none" w:sz="0" w:space="0" w:color="auto"/>
            <w:left w:val="none" w:sz="0" w:space="0" w:color="auto"/>
            <w:bottom w:val="none" w:sz="0" w:space="0" w:color="auto"/>
            <w:right w:val="none" w:sz="0" w:space="0" w:color="auto"/>
          </w:divBdr>
        </w:div>
        <w:div w:id="1599026186">
          <w:marLeft w:val="1426"/>
          <w:marRight w:val="0"/>
          <w:marTop w:val="60"/>
          <w:marBottom w:val="0"/>
          <w:divBdr>
            <w:top w:val="none" w:sz="0" w:space="0" w:color="auto"/>
            <w:left w:val="none" w:sz="0" w:space="0" w:color="auto"/>
            <w:bottom w:val="none" w:sz="0" w:space="0" w:color="auto"/>
            <w:right w:val="none" w:sz="0" w:space="0" w:color="auto"/>
          </w:divBdr>
        </w:div>
        <w:div w:id="1736515183">
          <w:marLeft w:val="1426"/>
          <w:marRight w:val="0"/>
          <w:marTop w:val="60"/>
          <w:marBottom w:val="0"/>
          <w:divBdr>
            <w:top w:val="none" w:sz="0" w:space="0" w:color="auto"/>
            <w:left w:val="none" w:sz="0" w:space="0" w:color="auto"/>
            <w:bottom w:val="none" w:sz="0" w:space="0" w:color="auto"/>
            <w:right w:val="none" w:sz="0" w:space="0" w:color="auto"/>
          </w:divBdr>
        </w:div>
        <w:div w:id="1823232647">
          <w:marLeft w:val="1426"/>
          <w:marRight w:val="0"/>
          <w:marTop w:val="60"/>
          <w:marBottom w:val="0"/>
          <w:divBdr>
            <w:top w:val="none" w:sz="0" w:space="0" w:color="auto"/>
            <w:left w:val="none" w:sz="0" w:space="0" w:color="auto"/>
            <w:bottom w:val="none" w:sz="0" w:space="0" w:color="auto"/>
            <w:right w:val="none" w:sz="0" w:space="0" w:color="auto"/>
          </w:divBdr>
        </w:div>
        <w:div w:id="2130734405">
          <w:marLeft w:val="1426"/>
          <w:marRight w:val="0"/>
          <w:marTop w:val="60"/>
          <w:marBottom w:val="0"/>
          <w:divBdr>
            <w:top w:val="none" w:sz="0" w:space="0" w:color="auto"/>
            <w:left w:val="none" w:sz="0" w:space="0" w:color="auto"/>
            <w:bottom w:val="none" w:sz="0" w:space="0" w:color="auto"/>
            <w:right w:val="none" w:sz="0" w:space="0" w:color="auto"/>
          </w:divBdr>
        </w:div>
      </w:divsChild>
    </w:div>
    <w:div w:id="529882338">
      <w:bodyDiv w:val="1"/>
      <w:marLeft w:val="0"/>
      <w:marRight w:val="0"/>
      <w:marTop w:val="0"/>
      <w:marBottom w:val="0"/>
      <w:divBdr>
        <w:top w:val="none" w:sz="0" w:space="0" w:color="auto"/>
        <w:left w:val="none" w:sz="0" w:space="0" w:color="auto"/>
        <w:bottom w:val="none" w:sz="0" w:space="0" w:color="auto"/>
        <w:right w:val="none" w:sz="0" w:space="0" w:color="auto"/>
      </w:divBdr>
    </w:div>
    <w:div w:id="530146813">
      <w:bodyDiv w:val="1"/>
      <w:marLeft w:val="0"/>
      <w:marRight w:val="0"/>
      <w:marTop w:val="0"/>
      <w:marBottom w:val="0"/>
      <w:divBdr>
        <w:top w:val="none" w:sz="0" w:space="0" w:color="auto"/>
        <w:left w:val="none" w:sz="0" w:space="0" w:color="auto"/>
        <w:bottom w:val="none" w:sz="0" w:space="0" w:color="auto"/>
        <w:right w:val="none" w:sz="0" w:space="0" w:color="auto"/>
      </w:divBdr>
    </w:div>
    <w:div w:id="535625905">
      <w:bodyDiv w:val="1"/>
      <w:marLeft w:val="0"/>
      <w:marRight w:val="0"/>
      <w:marTop w:val="0"/>
      <w:marBottom w:val="0"/>
      <w:divBdr>
        <w:top w:val="none" w:sz="0" w:space="0" w:color="auto"/>
        <w:left w:val="none" w:sz="0" w:space="0" w:color="auto"/>
        <w:bottom w:val="none" w:sz="0" w:space="0" w:color="auto"/>
        <w:right w:val="none" w:sz="0" w:space="0" w:color="auto"/>
      </w:divBdr>
    </w:div>
    <w:div w:id="538670513">
      <w:bodyDiv w:val="1"/>
      <w:marLeft w:val="0"/>
      <w:marRight w:val="0"/>
      <w:marTop w:val="0"/>
      <w:marBottom w:val="0"/>
      <w:divBdr>
        <w:top w:val="none" w:sz="0" w:space="0" w:color="auto"/>
        <w:left w:val="none" w:sz="0" w:space="0" w:color="auto"/>
        <w:bottom w:val="none" w:sz="0" w:space="0" w:color="auto"/>
        <w:right w:val="none" w:sz="0" w:space="0" w:color="auto"/>
      </w:divBdr>
    </w:div>
    <w:div w:id="548341428">
      <w:bodyDiv w:val="1"/>
      <w:marLeft w:val="0"/>
      <w:marRight w:val="0"/>
      <w:marTop w:val="0"/>
      <w:marBottom w:val="0"/>
      <w:divBdr>
        <w:top w:val="none" w:sz="0" w:space="0" w:color="auto"/>
        <w:left w:val="none" w:sz="0" w:space="0" w:color="auto"/>
        <w:bottom w:val="none" w:sz="0" w:space="0" w:color="auto"/>
        <w:right w:val="none" w:sz="0" w:space="0" w:color="auto"/>
      </w:divBdr>
    </w:div>
    <w:div w:id="571694327">
      <w:bodyDiv w:val="1"/>
      <w:marLeft w:val="0"/>
      <w:marRight w:val="0"/>
      <w:marTop w:val="0"/>
      <w:marBottom w:val="0"/>
      <w:divBdr>
        <w:top w:val="none" w:sz="0" w:space="0" w:color="auto"/>
        <w:left w:val="none" w:sz="0" w:space="0" w:color="auto"/>
        <w:bottom w:val="none" w:sz="0" w:space="0" w:color="auto"/>
        <w:right w:val="none" w:sz="0" w:space="0" w:color="auto"/>
      </w:divBdr>
    </w:div>
    <w:div w:id="592014335">
      <w:bodyDiv w:val="1"/>
      <w:marLeft w:val="0"/>
      <w:marRight w:val="0"/>
      <w:marTop w:val="0"/>
      <w:marBottom w:val="0"/>
      <w:divBdr>
        <w:top w:val="none" w:sz="0" w:space="0" w:color="auto"/>
        <w:left w:val="none" w:sz="0" w:space="0" w:color="auto"/>
        <w:bottom w:val="none" w:sz="0" w:space="0" w:color="auto"/>
        <w:right w:val="none" w:sz="0" w:space="0" w:color="auto"/>
      </w:divBdr>
    </w:div>
    <w:div w:id="622812865">
      <w:bodyDiv w:val="1"/>
      <w:marLeft w:val="0"/>
      <w:marRight w:val="0"/>
      <w:marTop w:val="0"/>
      <w:marBottom w:val="0"/>
      <w:divBdr>
        <w:top w:val="none" w:sz="0" w:space="0" w:color="auto"/>
        <w:left w:val="none" w:sz="0" w:space="0" w:color="auto"/>
        <w:bottom w:val="none" w:sz="0" w:space="0" w:color="auto"/>
        <w:right w:val="none" w:sz="0" w:space="0" w:color="auto"/>
      </w:divBdr>
      <w:divsChild>
        <w:div w:id="61485232">
          <w:marLeft w:val="1973"/>
          <w:marRight w:val="0"/>
          <w:marTop w:val="0"/>
          <w:marBottom w:val="0"/>
          <w:divBdr>
            <w:top w:val="none" w:sz="0" w:space="0" w:color="auto"/>
            <w:left w:val="none" w:sz="0" w:space="0" w:color="auto"/>
            <w:bottom w:val="none" w:sz="0" w:space="0" w:color="auto"/>
            <w:right w:val="none" w:sz="0" w:space="0" w:color="auto"/>
          </w:divBdr>
        </w:div>
        <w:div w:id="324675827">
          <w:marLeft w:val="1973"/>
          <w:marRight w:val="0"/>
          <w:marTop w:val="40"/>
          <w:marBottom w:val="0"/>
          <w:divBdr>
            <w:top w:val="none" w:sz="0" w:space="0" w:color="auto"/>
            <w:left w:val="none" w:sz="0" w:space="0" w:color="auto"/>
            <w:bottom w:val="none" w:sz="0" w:space="0" w:color="auto"/>
            <w:right w:val="none" w:sz="0" w:space="0" w:color="auto"/>
          </w:divBdr>
        </w:div>
        <w:div w:id="386075591">
          <w:marLeft w:val="1973"/>
          <w:marRight w:val="0"/>
          <w:marTop w:val="40"/>
          <w:marBottom w:val="0"/>
          <w:divBdr>
            <w:top w:val="none" w:sz="0" w:space="0" w:color="auto"/>
            <w:left w:val="none" w:sz="0" w:space="0" w:color="auto"/>
            <w:bottom w:val="none" w:sz="0" w:space="0" w:color="auto"/>
            <w:right w:val="none" w:sz="0" w:space="0" w:color="auto"/>
          </w:divBdr>
        </w:div>
        <w:div w:id="606623087">
          <w:marLeft w:val="1973"/>
          <w:marRight w:val="0"/>
          <w:marTop w:val="0"/>
          <w:marBottom w:val="0"/>
          <w:divBdr>
            <w:top w:val="none" w:sz="0" w:space="0" w:color="auto"/>
            <w:left w:val="none" w:sz="0" w:space="0" w:color="auto"/>
            <w:bottom w:val="none" w:sz="0" w:space="0" w:color="auto"/>
            <w:right w:val="none" w:sz="0" w:space="0" w:color="auto"/>
          </w:divBdr>
        </w:div>
        <w:div w:id="852299115">
          <w:marLeft w:val="850"/>
          <w:marRight w:val="0"/>
          <w:marTop w:val="60"/>
          <w:marBottom w:val="0"/>
          <w:divBdr>
            <w:top w:val="none" w:sz="0" w:space="0" w:color="auto"/>
            <w:left w:val="none" w:sz="0" w:space="0" w:color="auto"/>
            <w:bottom w:val="none" w:sz="0" w:space="0" w:color="auto"/>
            <w:right w:val="none" w:sz="0" w:space="0" w:color="auto"/>
          </w:divBdr>
        </w:div>
        <w:div w:id="883101995">
          <w:marLeft w:val="1973"/>
          <w:marRight w:val="0"/>
          <w:marTop w:val="40"/>
          <w:marBottom w:val="0"/>
          <w:divBdr>
            <w:top w:val="none" w:sz="0" w:space="0" w:color="auto"/>
            <w:left w:val="none" w:sz="0" w:space="0" w:color="auto"/>
            <w:bottom w:val="none" w:sz="0" w:space="0" w:color="auto"/>
            <w:right w:val="none" w:sz="0" w:space="0" w:color="auto"/>
          </w:divBdr>
        </w:div>
        <w:div w:id="929194703">
          <w:marLeft w:val="1685"/>
          <w:marRight w:val="0"/>
          <w:marTop w:val="120"/>
          <w:marBottom w:val="0"/>
          <w:divBdr>
            <w:top w:val="none" w:sz="0" w:space="0" w:color="auto"/>
            <w:left w:val="none" w:sz="0" w:space="0" w:color="auto"/>
            <w:bottom w:val="none" w:sz="0" w:space="0" w:color="auto"/>
            <w:right w:val="none" w:sz="0" w:space="0" w:color="auto"/>
          </w:divBdr>
        </w:div>
        <w:div w:id="996689398">
          <w:marLeft w:val="1973"/>
          <w:marRight w:val="0"/>
          <w:marTop w:val="40"/>
          <w:marBottom w:val="0"/>
          <w:divBdr>
            <w:top w:val="none" w:sz="0" w:space="0" w:color="auto"/>
            <w:left w:val="none" w:sz="0" w:space="0" w:color="auto"/>
            <w:bottom w:val="none" w:sz="0" w:space="0" w:color="auto"/>
            <w:right w:val="none" w:sz="0" w:space="0" w:color="auto"/>
          </w:divBdr>
        </w:div>
        <w:div w:id="996763497">
          <w:marLeft w:val="1685"/>
          <w:marRight w:val="0"/>
          <w:marTop w:val="120"/>
          <w:marBottom w:val="0"/>
          <w:divBdr>
            <w:top w:val="none" w:sz="0" w:space="0" w:color="auto"/>
            <w:left w:val="none" w:sz="0" w:space="0" w:color="auto"/>
            <w:bottom w:val="none" w:sz="0" w:space="0" w:color="auto"/>
            <w:right w:val="none" w:sz="0" w:space="0" w:color="auto"/>
          </w:divBdr>
        </w:div>
        <w:div w:id="1496261212">
          <w:marLeft w:val="1973"/>
          <w:marRight w:val="0"/>
          <w:marTop w:val="40"/>
          <w:marBottom w:val="0"/>
          <w:divBdr>
            <w:top w:val="none" w:sz="0" w:space="0" w:color="auto"/>
            <w:left w:val="none" w:sz="0" w:space="0" w:color="auto"/>
            <w:bottom w:val="none" w:sz="0" w:space="0" w:color="auto"/>
            <w:right w:val="none" w:sz="0" w:space="0" w:color="auto"/>
          </w:divBdr>
        </w:div>
        <w:div w:id="1582183294">
          <w:marLeft w:val="1685"/>
          <w:marRight w:val="0"/>
          <w:marTop w:val="120"/>
          <w:marBottom w:val="0"/>
          <w:divBdr>
            <w:top w:val="none" w:sz="0" w:space="0" w:color="auto"/>
            <w:left w:val="none" w:sz="0" w:space="0" w:color="auto"/>
            <w:bottom w:val="none" w:sz="0" w:space="0" w:color="auto"/>
            <w:right w:val="none" w:sz="0" w:space="0" w:color="auto"/>
          </w:divBdr>
        </w:div>
        <w:div w:id="2049719186">
          <w:marLeft w:val="1685"/>
          <w:marRight w:val="0"/>
          <w:marTop w:val="120"/>
          <w:marBottom w:val="0"/>
          <w:divBdr>
            <w:top w:val="none" w:sz="0" w:space="0" w:color="auto"/>
            <w:left w:val="none" w:sz="0" w:space="0" w:color="auto"/>
            <w:bottom w:val="none" w:sz="0" w:space="0" w:color="auto"/>
            <w:right w:val="none" w:sz="0" w:space="0" w:color="auto"/>
          </w:divBdr>
        </w:div>
        <w:div w:id="2135831658">
          <w:marLeft w:val="1973"/>
          <w:marRight w:val="0"/>
          <w:marTop w:val="40"/>
          <w:marBottom w:val="0"/>
          <w:divBdr>
            <w:top w:val="none" w:sz="0" w:space="0" w:color="auto"/>
            <w:left w:val="none" w:sz="0" w:space="0" w:color="auto"/>
            <w:bottom w:val="none" w:sz="0" w:space="0" w:color="auto"/>
            <w:right w:val="none" w:sz="0" w:space="0" w:color="auto"/>
          </w:divBdr>
        </w:div>
      </w:divsChild>
    </w:div>
    <w:div w:id="631521445">
      <w:bodyDiv w:val="1"/>
      <w:marLeft w:val="0"/>
      <w:marRight w:val="0"/>
      <w:marTop w:val="0"/>
      <w:marBottom w:val="0"/>
      <w:divBdr>
        <w:top w:val="none" w:sz="0" w:space="0" w:color="auto"/>
        <w:left w:val="none" w:sz="0" w:space="0" w:color="auto"/>
        <w:bottom w:val="none" w:sz="0" w:space="0" w:color="auto"/>
        <w:right w:val="none" w:sz="0" w:space="0" w:color="auto"/>
      </w:divBdr>
      <w:divsChild>
        <w:div w:id="235870120">
          <w:marLeft w:val="1354"/>
          <w:marRight w:val="0"/>
          <w:marTop w:val="0"/>
          <w:marBottom w:val="0"/>
          <w:divBdr>
            <w:top w:val="none" w:sz="0" w:space="0" w:color="auto"/>
            <w:left w:val="none" w:sz="0" w:space="0" w:color="auto"/>
            <w:bottom w:val="none" w:sz="0" w:space="0" w:color="auto"/>
            <w:right w:val="none" w:sz="0" w:space="0" w:color="auto"/>
          </w:divBdr>
        </w:div>
        <w:div w:id="316765435">
          <w:marLeft w:val="1354"/>
          <w:marRight w:val="0"/>
          <w:marTop w:val="0"/>
          <w:marBottom w:val="0"/>
          <w:divBdr>
            <w:top w:val="none" w:sz="0" w:space="0" w:color="auto"/>
            <w:left w:val="none" w:sz="0" w:space="0" w:color="auto"/>
            <w:bottom w:val="none" w:sz="0" w:space="0" w:color="auto"/>
            <w:right w:val="none" w:sz="0" w:space="0" w:color="auto"/>
          </w:divBdr>
        </w:div>
        <w:div w:id="319240600">
          <w:marLeft w:val="1354"/>
          <w:marRight w:val="0"/>
          <w:marTop w:val="0"/>
          <w:marBottom w:val="0"/>
          <w:divBdr>
            <w:top w:val="none" w:sz="0" w:space="0" w:color="auto"/>
            <w:left w:val="none" w:sz="0" w:space="0" w:color="auto"/>
            <w:bottom w:val="none" w:sz="0" w:space="0" w:color="auto"/>
            <w:right w:val="none" w:sz="0" w:space="0" w:color="auto"/>
          </w:divBdr>
        </w:div>
        <w:div w:id="588733521">
          <w:marLeft w:val="1354"/>
          <w:marRight w:val="0"/>
          <w:marTop w:val="0"/>
          <w:marBottom w:val="0"/>
          <w:divBdr>
            <w:top w:val="none" w:sz="0" w:space="0" w:color="auto"/>
            <w:left w:val="none" w:sz="0" w:space="0" w:color="auto"/>
            <w:bottom w:val="none" w:sz="0" w:space="0" w:color="auto"/>
            <w:right w:val="none" w:sz="0" w:space="0" w:color="auto"/>
          </w:divBdr>
        </w:div>
        <w:div w:id="667826422">
          <w:marLeft w:val="1354"/>
          <w:marRight w:val="0"/>
          <w:marTop w:val="0"/>
          <w:marBottom w:val="0"/>
          <w:divBdr>
            <w:top w:val="none" w:sz="0" w:space="0" w:color="auto"/>
            <w:left w:val="none" w:sz="0" w:space="0" w:color="auto"/>
            <w:bottom w:val="none" w:sz="0" w:space="0" w:color="auto"/>
            <w:right w:val="none" w:sz="0" w:space="0" w:color="auto"/>
          </w:divBdr>
        </w:div>
        <w:div w:id="768619567">
          <w:marLeft w:val="763"/>
          <w:marRight w:val="0"/>
          <w:marTop w:val="0"/>
          <w:marBottom w:val="0"/>
          <w:divBdr>
            <w:top w:val="none" w:sz="0" w:space="0" w:color="auto"/>
            <w:left w:val="none" w:sz="0" w:space="0" w:color="auto"/>
            <w:bottom w:val="none" w:sz="0" w:space="0" w:color="auto"/>
            <w:right w:val="none" w:sz="0" w:space="0" w:color="auto"/>
          </w:divBdr>
        </w:div>
        <w:div w:id="785074996">
          <w:marLeft w:val="1354"/>
          <w:marRight w:val="0"/>
          <w:marTop w:val="0"/>
          <w:marBottom w:val="0"/>
          <w:divBdr>
            <w:top w:val="none" w:sz="0" w:space="0" w:color="auto"/>
            <w:left w:val="none" w:sz="0" w:space="0" w:color="auto"/>
            <w:bottom w:val="none" w:sz="0" w:space="0" w:color="auto"/>
            <w:right w:val="none" w:sz="0" w:space="0" w:color="auto"/>
          </w:divBdr>
        </w:div>
        <w:div w:id="818151692">
          <w:marLeft w:val="1354"/>
          <w:marRight w:val="0"/>
          <w:marTop w:val="0"/>
          <w:marBottom w:val="0"/>
          <w:divBdr>
            <w:top w:val="none" w:sz="0" w:space="0" w:color="auto"/>
            <w:left w:val="none" w:sz="0" w:space="0" w:color="auto"/>
            <w:bottom w:val="none" w:sz="0" w:space="0" w:color="auto"/>
            <w:right w:val="none" w:sz="0" w:space="0" w:color="auto"/>
          </w:divBdr>
        </w:div>
        <w:div w:id="892350028">
          <w:marLeft w:val="1987"/>
          <w:marRight w:val="0"/>
          <w:marTop w:val="0"/>
          <w:marBottom w:val="0"/>
          <w:divBdr>
            <w:top w:val="none" w:sz="0" w:space="0" w:color="auto"/>
            <w:left w:val="none" w:sz="0" w:space="0" w:color="auto"/>
            <w:bottom w:val="none" w:sz="0" w:space="0" w:color="auto"/>
            <w:right w:val="none" w:sz="0" w:space="0" w:color="auto"/>
          </w:divBdr>
        </w:div>
        <w:div w:id="940603873">
          <w:marLeft w:val="763"/>
          <w:marRight w:val="0"/>
          <w:marTop w:val="0"/>
          <w:marBottom w:val="0"/>
          <w:divBdr>
            <w:top w:val="none" w:sz="0" w:space="0" w:color="auto"/>
            <w:left w:val="none" w:sz="0" w:space="0" w:color="auto"/>
            <w:bottom w:val="none" w:sz="0" w:space="0" w:color="auto"/>
            <w:right w:val="none" w:sz="0" w:space="0" w:color="auto"/>
          </w:divBdr>
        </w:div>
        <w:div w:id="963198883">
          <w:marLeft w:val="1354"/>
          <w:marRight w:val="0"/>
          <w:marTop w:val="0"/>
          <w:marBottom w:val="0"/>
          <w:divBdr>
            <w:top w:val="none" w:sz="0" w:space="0" w:color="auto"/>
            <w:left w:val="none" w:sz="0" w:space="0" w:color="auto"/>
            <w:bottom w:val="none" w:sz="0" w:space="0" w:color="auto"/>
            <w:right w:val="none" w:sz="0" w:space="0" w:color="auto"/>
          </w:divBdr>
        </w:div>
        <w:div w:id="977421377">
          <w:marLeft w:val="763"/>
          <w:marRight w:val="0"/>
          <w:marTop w:val="0"/>
          <w:marBottom w:val="0"/>
          <w:divBdr>
            <w:top w:val="none" w:sz="0" w:space="0" w:color="auto"/>
            <w:left w:val="none" w:sz="0" w:space="0" w:color="auto"/>
            <w:bottom w:val="none" w:sz="0" w:space="0" w:color="auto"/>
            <w:right w:val="none" w:sz="0" w:space="0" w:color="auto"/>
          </w:divBdr>
        </w:div>
        <w:div w:id="1203519316">
          <w:marLeft w:val="1354"/>
          <w:marRight w:val="0"/>
          <w:marTop w:val="0"/>
          <w:marBottom w:val="0"/>
          <w:divBdr>
            <w:top w:val="none" w:sz="0" w:space="0" w:color="auto"/>
            <w:left w:val="none" w:sz="0" w:space="0" w:color="auto"/>
            <w:bottom w:val="none" w:sz="0" w:space="0" w:color="auto"/>
            <w:right w:val="none" w:sz="0" w:space="0" w:color="auto"/>
          </w:divBdr>
        </w:div>
        <w:div w:id="1417627000">
          <w:marLeft w:val="1354"/>
          <w:marRight w:val="0"/>
          <w:marTop w:val="0"/>
          <w:marBottom w:val="0"/>
          <w:divBdr>
            <w:top w:val="none" w:sz="0" w:space="0" w:color="auto"/>
            <w:left w:val="none" w:sz="0" w:space="0" w:color="auto"/>
            <w:bottom w:val="none" w:sz="0" w:space="0" w:color="auto"/>
            <w:right w:val="none" w:sz="0" w:space="0" w:color="auto"/>
          </w:divBdr>
        </w:div>
        <w:div w:id="1567690274">
          <w:marLeft w:val="763"/>
          <w:marRight w:val="0"/>
          <w:marTop w:val="0"/>
          <w:marBottom w:val="0"/>
          <w:divBdr>
            <w:top w:val="none" w:sz="0" w:space="0" w:color="auto"/>
            <w:left w:val="none" w:sz="0" w:space="0" w:color="auto"/>
            <w:bottom w:val="none" w:sz="0" w:space="0" w:color="auto"/>
            <w:right w:val="none" w:sz="0" w:space="0" w:color="auto"/>
          </w:divBdr>
        </w:div>
        <w:div w:id="1605917630">
          <w:marLeft w:val="1987"/>
          <w:marRight w:val="0"/>
          <w:marTop w:val="0"/>
          <w:marBottom w:val="0"/>
          <w:divBdr>
            <w:top w:val="none" w:sz="0" w:space="0" w:color="auto"/>
            <w:left w:val="none" w:sz="0" w:space="0" w:color="auto"/>
            <w:bottom w:val="none" w:sz="0" w:space="0" w:color="auto"/>
            <w:right w:val="none" w:sz="0" w:space="0" w:color="auto"/>
          </w:divBdr>
        </w:div>
        <w:div w:id="2055883979">
          <w:marLeft w:val="1354"/>
          <w:marRight w:val="0"/>
          <w:marTop w:val="0"/>
          <w:marBottom w:val="0"/>
          <w:divBdr>
            <w:top w:val="none" w:sz="0" w:space="0" w:color="auto"/>
            <w:left w:val="none" w:sz="0" w:space="0" w:color="auto"/>
            <w:bottom w:val="none" w:sz="0" w:space="0" w:color="auto"/>
            <w:right w:val="none" w:sz="0" w:space="0" w:color="auto"/>
          </w:divBdr>
        </w:div>
      </w:divsChild>
    </w:div>
    <w:div w:id="648901365">
      <w:bodyDiv w:val="1"/>
      <w:marLeft w:val="0"/>
      <w:marRight w:val="0"/>
      <w:marTop w:val="0"/>
      <w:marBottom w:val="0"/>
      <w:divBdr>
        <w:top w:val="none" w:sz="0" w:space="0" w:color="auto"/>
        <w:left w:val="none" w:sz="0" w:space="0" w:color="auto"/>
        <w:bottom w:val="none" w:sz="0" w:space="0" w:color="auto"/>
        <w:right w:val="none" w:sz="0" w:space="0" w:color="auto"/>
      </w:divBdr>
      <w:divsChild>
        <w:div w:id="768044337">
          <w:marLeft w:val="1166"/>
          <w:marRight w:val="0"/>
          <w:marTop w:val="120"/>
          <w:marBottom w:val="0"/>
          <w:divBdr>
            <w:top w:val="none" w:sz="0" w:space="0" w:color="auto"/>
            <w:left w:val="none" w:sz="0" w:space="0" w:color="auto"/>
            <w:bottom w:val="none" w:sz="0" w:space="0" w:color="auto"/>
            <w:right w:val="none" w:sz="0" w:space="0" w:color="auto"/>
          </w:divBdr>
        </w:div>
        <w:div w:id="1620062346">
          <w:marLeft w:val="1166"/>
          <w:marRight w:val="0"/>
          <w:marTop w:val="120"/>
          <w:marBottom w:val="0"/>
          <w:divBdr>
            <w:top w:val="none" w:sz="0" w:space="0" w:color="auto"/>
            <w:left w:val="none" w:sz="0" w:space="0" w:color="auto"/>
            <w:bottom w:val="none" w:sz="0" w:space="0" w:color="auto"/>
            <w:right w:val="none" w:sz="0" w:space="0" w:color="auto"/>
          </w:divBdr>
        </w:div>
        <w:div w:id="1773435715">
          <w:marLeft w:val="1166"/>
          <w:marRight w:val="0"/>
          <w:marTop w:val="120"/>
          <w:marBottom w:val="0"/>
          <w:divBdr>
            <w:top w:val="none" w:sz="0" w:space="0" w:color="auto"/>
            <w:left w:val="none" w:sz="0" w:space="0" w:color="auto"/>
            <w:bottom w:val="none" w:sz="0" w:space="0" w:color="auto"/>
            <w:right w:val="none" w:sz="0" w:space="0" w:color="auto"/>
          </w:divBdr>
        </w:div>
      </w:divsChild>
    </w:div>
    <w:div w:id="666205057">
      <w:bodyDiv w:val="1"/>
      <w:marLeft w:val="0"/>
      <w:marRight w:val="0"/>
      <w:marTop w:val="0"/>
      <w:marBottom w:val="0"/>
      <w:divBdr>
        <w:top w:val="none" w:sz="0" w:space="0" w:color="auto"/>
        <w:left w:val="none" w:sz="0" w:space="0" w:color="auto"/>
        <w:bottom w:val="none" w:sz="0" w:space="0" w:color="auto"/>
        <w:right w:val="none" w:sz="0" w:space="0" w:color="auto"/>
      </w:divBdr>
    </w:div>
    <w:div w:id="674772436">
      <w:bodyDiv w:val="1"/>
      <w:marLeft w:val="0"/>
      <w:marRight w:val="0"/>
      <w:marTop w:val="0"/>
      <w:marBottom w:val="0"/>
      <w:divBdr>
        <w:top w:val="none" w:sz="0" w:space="0" w:color="auto"/>
        <w:left w:val="none" w:sz="0" w:space="0" w:color="auto"/>
        <w:bottom w:val="none" w:sz="0" w:space="0" w:color="auto"/>
        <w:right w:val="none" w:sz="0" w:space="0" w:color="auto"/>
      </w:divBdr>
      <w:divsChild>
        <w:div w:id="151725388">
          <w:marLeft w:val="1426"/>
          <w:marRight w:val="0"/>
          <w:marTop w:val="60"/>
          <w:marBottom w:val="0"/>
          <w:divBdr>
            <w:top w:val="none" w:sz="0" w:space="0" w:color="auto"/>
            <w:left w:val="none" w:sz="0" w:space="0" w:color="auto"/>
            <w:bottom w:val="none" w:sz="0" w:space="0" w:color="auto"/>
            <w:right w:val="none" w:sz="0" w:space="0" w:color="auto"/>
          </w:divBdr>
        </w:div>
        <w:div w:id="168906100">
          <w:marLeft w:val="1426"/>
          <w:marRight w:val="0"/>
          <w:marTop w:val="60"/>
          <w:marBottom w:val="0"/>
          <w:divBdr>
            <w:top w:val="none" w:sz="0" w:space="0" w:color="auto"/>
            <w:left w:val="none" w:sz="0" w:space="0" w:color="auto"/>
            <w:bottom w:val="none" w:sz="0" w:space="0" w:color="auto"/>
            <w:right w:val="none" w:sz="0" w:space="0" w:color="auto"/>
          </w:divBdr>
        </w:div>
        <w:div w:id="269901012">
          <w:marLeft w:val="1685"/>
          <w:marRight w:val="0"/>
          <w:marTop w:val="60"/>
          <w:marBottom w:val="0"/>
          <w:divBdr>
            <w:top w:val="none" w:sz="0" w:space="0" w:color="auto"/>
            <w:left w:val="none" w:sz="0" w:space="0" w:color="auto"/>
            <w:bottom w:val="none" w:sz="0" w:space="0" w:color="auto"/>
            <w:right w:val="none" w:sz="0" w:space="0" w:color="auto"/>
          </w:divBdr>
        </w:div>
        <w:div w:id="288780976">
          <w:marLeft w:val="1426"/>
          <w:marRight w:val="0"/>
          <w:marTop w:val="60"/>
          <w:marBottom w:val="0"/>
          <w:divBdr>
            <w:top w:val="none" w:sz="0" w:space="0" w:color="auto"/>
            <w:left w:val="none" w:sz="0" w:space="0" w:color="auto"/>
            <w:bottom w:val="none" w:sz="0" w:space="0" w:color="auto"/>
            <w:right w:val="none" w:sz="0" w:space="0" w:color="auto"/>
          </w:divBdr>
        </w:div>
        <w:div w:id="346442351">
          <w:marLeft w:val="1685"/>
          <w:marRight w:val="0"/>
          <w:marTop w:val="60"/>
          <w:marBottom w:val="0"/>
          <w:divBdr>
            <w:top w:val="none" w:sz="0" w:space="0" w:color="auto"/>
            <w:left w:val="none" w:sz="0" w:space="0" w:color="auto"/>
            <w:bottom w:val="none" w:sz="0" w:space="0" w:color="auto"/>
            <w:right w:val="none" w:sz="0" w:space="0" w:color="auto"/>
          </w:divBdr>
        </w:div>
        <w:div w:id="378433029">
          <w:marLeft w:val="1426"/>
          <w:marRight w:val="0"/>
          <w:marTop w:val="60"/>
          <w:marBottom w:val="0"/>
          <w:divBdr>
            <w:top w:val="none" w:sz="0" w:space="0" w:color="auto"/>
            <w:left w:val="none" w:sz="0" w:space="0" w:color="auto"/>
            <w:bottom w:val="none" w:sz="0" w:space="0" w:color="auto"/>
            <w:right w:val="none" w:sz="0" w:space="0" w:color="auto"/>
          </w:divBdr>
        </w:div>
        <w:div w:id="497119201">
          <w:marLeft w:val="1426"/>
          <w:marRight w:val="0"/>
          <w:marTop w:val="60"/>
          <w:marBottom w:val="0"/>
          <w:divBdr>
            <w:top w:val="none" w:sz="0" w:space="0" w:color="auto"/>
            <w:left w:val="none" w:sz="0" w:space="0" w:color="auto"/>
            <w:bottom w:val="none" w:sz="0" w:space="0" w:color="auto"/>
            <w:right w:val="none" w:sz="0" w:space="0" w:color="auto"/>
          </w:divBdr>
        </w:div>
        <w:div w:id="549807368">
          <w:marLeft w:val="1426"/>
          <w:marRight w:val="0"/>
          <w:marTop w:val="60"/>
          <w:marBottom w:val="0"/>
          <w:divBdr>
            <w:top w:val="none" w:sz="0" w:space="0" w:color="auto"/>
            <w:left w:val="none" w:sz="0" w:space="0" w:color="auto"/>
            <w:bottom w:val="none" w:sz="0" w:space="0" w:color="auto"/>
            <w:right w:val="none" w:sz="0" w:space="0" w:color="auto"/>
          </w:divBdr>
        </w:div>
        <w:div w:id="1609701738">
          <w:marLeft w:val="1426"/>
          <w:marRight w:val="0"/>
          <w:marTop w:val="60"/>
          <w:marBottom w:val="0"/>
          <w:divBdr>
            <w:top w:val="none" w:sz="0" w:space="0" w:color="auto"/>
            <w:left w:val="none" w:sz="0" w:space="0" w:color="auto"/>
            <w:bottom w:val="none" w:sz="0" w:space="0" w:color="auto"/>
            <w:right w:val="none" w:sz="0" w:space="0" w:color="auto"/>
          </w:divBdr>
        </w:div>
      </w:divsChild>
    </w:div>
    <w:div w:id="705105696">
      <w:bodyDiv w:val="1"/>
      <w:marLeft w:val="0"/>
      <w:marRight w:val="0"/>
      <w:marTop w:val="0"/>
      <w:marBottom w:val="0"/>
      <w:divBdr>
        <w:top w:val="none" w:sz="0" w:space="0" w:color="auto"/>
        <w:left w:val="none" w:sz="0" w:space="0" w:color="auto"/>
        <w:bottom w:val="none" w:sz="0" w:space="0" w:color="auto"/>
        <w:right w:val="none" w:sz="0" w:space="0" w:color="auto"/>
      </w:divBdr>
    </w:div>
    <w:div w:id="784347024">
      <w:bodyDiv w:val="1"/>
      <w:marLeft w:val="0"/>
      <w:marRight w:val="0"/>
      <w:marTop w:val="0"/>
      <w:marBottom w:val="0"/>
      <w:divBdr>
        <w:top w:val="none" w:sz="0" w:space="0" w:color="auto"/>
        <w:left w:val="none" w:sz="0" w:space="0" w:color="auto"/>
        <w:bottom w:val="none" w:sz="0" w:space="0" w:color="auto"/>
        <w:right w:val="none" w:sz="0" w:space="0" w:color="auto"/>
      </w:divBdr>
    </w:div>
    <w:div w:id="820852648">
      <w:bodyDiv w:val="1"/>
      <w:marLeft w:val="0"/>
      <w:marRight w:val="0"/>
      <w:marTop w:val="0"/>
      <w:marBottom w:val="0"/>
      <w:divBdr>
        <w:top w:val="none" w:sz="0" w:space="0" w:color="auto"/>
        <w:left w:val="none" w:sz="0" w:space="0" w:color="auto"/>
        <w:bottom w:val="none" w:sz="0" w:space="0" w:color="auto"/>
        <w:right w:val="none" w:sz="0" w:space="0" w:color="auto"/>
      </w:divBdr>
    </w:div>
    <w:div w:id="858082300">
      <w:bodyDiv w:val="1"/>
      <w:marLeft w:val="0"/>
      <w:marRight w:val="0"/>
      <w:marTop w:val="0"/>
      <w:marBottom w:val="0"/>
      <w:divBdr>
        <w:top w:val="none" w:sz="0" w:space="0" w:color="auto"/>
        <w:left w:val="none" w:sz="0" w:space="0" w:color="auto"/>
        <w:bottom w:val="none" w:sz="0" w:space="0" w:color="auto"/>
        <w:right w:val="none" w:sz="0" w:space="0" w:color="auto"/>
      </w:divBdr>
      <w:divsChild>
        <w:div w:id="325716470">
          <w:marLeft w:val="1685"/>
          <w:marRight w:val="0"/>
          <w:marTop w:val="60"/>
          <w:marBottom w:val="0"/>
          <w:divBdr>
            <w:top w:val="none" w:sz="0" w:space="0" w:color="auto"/>
            <w:left w:val="none" w:sz="0" w:space="0" w:color="auto"/>
            <w:bottom w:val="none" w:sz="0" w:space="0" w:color="auto"/>
            <w:right w:val="none" w:sz="0" w:space="0" w:color="auto"/>
          </w:divBdr>
        </w:div>
        <w:div w:id="453449490">
          <w:marLeft w:val="1685"/>
          <w:marRight w:val="0"/>
          <w:marTop w:val="60"/>
          <w:marBottom w:val="0"/>
          <w:divBdr>
            <w:top w:val="none" w:sz="0" w:space="0" w:color="auto"/>
            <w:left w:val="none" w:sz="0" w:space="0" w:color="auto"/>
            <w:bottom w:val="none" w:sz="0" w:space="0" w:color="auto"/>
            <w:right w:val="none" w:sz="0" w:space="0" w:color="auto"/>
          </w:divBdr>
        </w:div>
        <w:div w:id="585505560">
          <w:marLeft w:val="1685"/>
          <w:marRight w:val="0"/>
          <w:marTop w:val="60"/>
          <w:marBottom w:val="0"/>
          <w:divBdr>
            <w:top w:val="none" w:sz="0" w:space="0" w:color="auto"/>
            <w:left w:val="none" w:sz="0" w:space="0" w:color="auto"/>
            <w:bottom w:val="none" w:sz="0" w:space="0" w:color="auto"/>
            <w:right w:val="none" w:sz="0" w:space="0" w:color="auto"/>
          </w:divBdr>
        </w:div>
      </w:divsChild>
    </w:div>
    <w:div w:id="867723150">
      <w:bodyDiv w:val="1"/>
      <w:marLeft w:val="0"/>
      <w:marRight w:val="0"/>
      <w:marTop w:val="0"/>
      <w:marBottom w:val="0"/>
      <w:divBdr>
        <w:top w:val="none" w:sz="0" w:space="0" w:color="auto"/>
        <w:left w:val="none" w:sz="0" w:space="0" w:color="auto"/>
        <w:bottom w:val="none" w:sz="0" w:space="0" w:color="auto"/>
        <w:right w:val="none" w:sz="0" w:space="0" w:color="auto"/>
      </w:divBdr>
    </w:div>
    <w:div w:id="875702479">
      <w:bodyDiv w:val="1"/>
      <w:marLeft w:val="0"/>
      <w:marRight w:val="0"/>
      <w:marTop w:val="0"/>
      <w:marBottom w:val="0"/>
      <w:divBdr>
        <w:top w:val="none" w:sz="0" w:space="0" w:color="auto"/>
        <w:left w:val="none" w:sz="0" w:space="0" w:color="auto"/>
        <w:bottom w:val="none" w:sz="0" w:space="0" w:color="auto"/>
        <w:right w:val="none" w:sz="0" w:space="0" w:color="auto"/>
      </w:divBdr>
    </w:div>
    <w:div w:id="886457464">
      <w:bodyDiv w:val="1"/>
      <w:marLeft w:val="0"/>
      <w:marRight w:val="0"/>
      <w:marTop w:val="0"/>
      <w:marBottom w:val="0"/>
      <w:divBdr>
        <w:top w:val="none" w:sz="0" w:space="0" w:color="auto"/>
        <w:left w:val="none" w:sz="0" w:space="0" w:color="auto"/>
        <w:bottom w:val="none" w:sz="0" w:space="0" w:color="auto"/>
        <w:right w:val="none" w:sz="0" w:space="0" w:color="auto"/>
      </w:divBdr>
    </w:div>
    <w:div w:id="903175601">
      <w:bodyDiv w:val="1"/>
      <w:marLeft w:val="0"/>
      <w:marRight w:val="0"/>
      <w:marTop w:val="0"/>
      <w:marBottom w:val="0"/>
      <w:divBdr>
        <w:top w:val="none" w:sz="0" w:space="0" w:color="auto"/>
        <w:left w:val="none" w:sz="0" w:space="0" w:color="auto"/>
        <w:bottom w:val="none" w:sz="0" w:space="0" w:color="auto"/>
        <w:right w:val="none" w:sz="0" w:space="0" w:color="auto"/>
      </w:divBdr>
    </w:div>
    <w:div w:id="918370659">
      <w:bodyDiv w:val="1"/>
      <w:marLeft w:val="0"/>
      <w:marRight w:val="0"/>
      <w:marTop w:val="0"/>
      <w:marBottom w:val="0"/>
      <w:divBdr>
        <w:top w:val="none" w:sz="0" w:space="0" w:color="auto"/>
        <w:left w:val="none" w:sz="0" w:space="0" w:color="auto"/>
        <w:bottom w:val="none" w:sz="0" w:space="0" w:color="auto"/>
        <w:right w:val="none" w:sz="0" w:space="0" w:color="auto"/>
      </w:divBdr>
      <w:divsChild>
        <w:div w:id="91052071">
          <w:marLeft w:val="1426"/>
          <w:marRight w:val="0"/>
          <w:marTop w:val="180"/>
          <w:marBottom w:val="0"/>
          <w:divBdr>
            <w:top w:val="none" w:sz="0" w:space="0" w:color="auto"/>
            <w:left w:val="none" w:sz="0" w:space="0" w:color="auto"/>
            <w:bottom w:val="none" w:sz="0" w:space="0" w:color="auto"/>
            <w:right w:val="none" w:sz="0" w:space="0" w:color="auto"/>
          </w:divBdr>
        </w:div>
        <w:div w:id="501623712">
          <w:marLeft w:val="1843"/>
          <w:marRight w:val="0"/>
          <w:marTop w:val="0"/>
          <w:marBottom w:val="0"/>
          <w:divBdr>
            <w:top w:val="none" w:sz="0" w:space="0" w:color="auto"/>
            <w:left w:val="none" w:sz="0" w:space="0" w:color="auto"/>
            <w:bottom w:val="none" w:sz="0" w:space="0" w:color="auto"/>
            <w:right w:val="none" w:sz="0" w:space="0" w:color="auto"/>
          </w:divBdr>
        </w:div>
        <w:div w:id="994145364">
          <w:marLeft w:val="1426"/>
          <w:marRight w:val="0"/>
          <w:marTop w:val="180"/>
          <w:marBottom w:val="0"/>
          <w:divBdr>
            <w:top w:val="none" w:sz="0" w:space="0" w:color="auto"/>
            <w:left w:val="none" w:sz="0" w:space="0" w:color="auto"/>
            <w:bottom w:val="none" w:sz="0" w:space="0" w:color="auto"/>
            <w:right w:val="none" w:sz="0" w:space="0" w:color="auto"/>
          </w:divBdr>
        </w:div>
        <w:div w:id="1263756645">
          <w:marLeft w:val="1973"/>
          <w:marRight w:val="0"/>
          <w:marTop w:val="0"/>
          <w:marBottom w:val="0"/>
          <w:divBdr>
            <w:top w:val="none" w:sz="0" w:space="0" w:color="auto"/>
            <w:left w:val="none" w:sz="0" w:space="0" w:color="auto"/>
            <w:bottom w:val="none" w:sz="0" w:space="0" w:color="auto"/>
            <w:right w:val="none" w:sz="0" w:space="0" w:color="auto"/>
          </w:divBdr>
        </w:div>
        <w:div w:id="1579710767">
          <w:marLeft w:val="1843"/>
          <w:marRight w:val="0"/>
          <w:marTop w:val="0"/>
          <w:marBottom w:val="0"/>
          <w:divBdr>
            <w:top w:val="none" w:sz="0" w:space="0" w:color="auto"/>
            <w:left w:val="none" w:sz="0" w:space="0" w:color="auto"/>
            <w:bottom w:val="none" w:sz="0" w:space="0" w:color="auto"/>
            <w:right w:val="none" w:sz="0" w:space="0" w:color="auto"/>
          </w:divBdr>
        </w:div>
        <w:div w:id="1640261672">
          <w:marLeft w:val="1843"/>
          <w:marRight w:val="0"/>
          <w:marTop w:val="0"/>
          <w:marBottom w:val="0"/>
          <w:divBdr>
            <w:top w:val="none" w:sz="0" w:space="0" w:color="auto"/>
            <w:left w:val="none" w:sz="0" w:space="0" w:color="auto"/>
            <w:bottom w:val="none" w:sz="0" w:space="0" w:color="auto"/>
            <w:right w:val="none" w:sz="0" w:space="0" w:color="auto"/>
          </w:divBdr>
        </w:div>
        <w:div w:id="2026469993">
          <w:marLeft w:val="1973"/>
          <w:marRight w:val="0"/>
          <w:marTop w:val="0"/>
          <w:marBottom w:val="0"/>
          <w:divBdr>
            <w:top w:val="none" w:sz="0" w:space="0" w:color="auto"/>
            <w:left w:val="none" w:sz="0" w:space="0" w:color="auto"/>
            <w:bottom w:val="none" w:sz="0" w:space="0" w:color="auto"/>
            <w:right w:val="none" w:sz="0" w:space="0" w:color="auto"/>
          </w:divBdr>
        </w:div>
        <w:div w:id="2040621659">
          <w:marLeft w:val="1426"/>
          <w:marRight w:val="0"/>
          <w:marTop w:val="180"/>
          <w:marBottom w:val="0"/>
          <w:divBdr>
            <w:top w:val="none" w:sz="0" w:space="0" w:color="auto"/>
            <w:left w:val="none" w:sz="0" w:space="0" w:color="auto"/>
            <w:bottom w:val="none" w:sz="0" w:space="0" w:color="auto"/>
            <w:right w:val="none" w:sz="0" w:space="0" w:color="auto"/>
          </w:divBdr>
        </w:div>
      </w:divsChild>
    </w:div>
    <w:div w:id="931082413">
      <w:bodyDiv w:val="1"/>
      <w:marLeft w:val="0"/>
      <w:marRight w:val="0"/>
      <w:marTop w:val="0"/>
      <w:marBottom w:val="0"/>
      <w:divBdr>
        <w:top w:val="none" w:sz="0" w:space="0" w:color="auto"/>
        <w:left w:val="none" w:sz="0" w:space="0" w:color="auto"/>
        <w:bottom w:val="none" w:sz="0" w:space="0" w:color="auto"/>
        <w:right w:val="none" w:sz="0" w:space="0" w:color="auto"/>
      </w:divBdr>
      <w:divsChild>
        <w:div w:id="72894178">
          <w:marLeft w:val="1987"/>
          <w:marRight w:val="0"/>
          <w:marTop w:val="0"/>
          <w:marBottom w:val="0"/>
          <w:divBdr>
            <w:top w:val="none" w:sz="0" w:space="0" w:color="auto"/>
            <w:left w:val="none" w:sz="0" w:space="0" w:color="auto"/>
            <w:bottom w:val="none" w:sz="0" w:space="0" w:color="auto"/>
            <w:right w:val="none" w:sz="0" w:space="0" w:color="auto"/>
          </w:divBdr>
        </w:div>
        <w:div w:id="525020029">
          <w:marLeft w:val="1397"/>
          <w:marRight w:val="0"/>
          <w:marTop w:val="0"/>
          <w:marBottom w:val="0"/>
          <w:divBdr>
            <w:top w:val="none" w:sz="0" w:space="0" w:color="auto"/>
            <w:left w:val="none" w:sz="0" w:space="0" w:color="auto"/>
            <w:bottom w:val="none" w:sz="0" w:space="0" w:color="auto"/>
            <w:right w:val="none" w:sz="0" w:space="0" w:color="auto"/>
          </w:divBdr>
        </w:div>
        <w:div w:id="599215323">
          <w:marLeft w:val="1397"/>
          <w:marRight w:val="0"/>
          <w:marTop w:val="0"/>
          <w:marBottom w:val="0"/>
          <w:divBdr>
            <w:top w:val="none" w:sz="0" w:space="0" w:color="auto"/>
            <w:left w:val="none" w:sz="0" w:space="0" w:color="auto"/>
            <w:bottom w:val="none" w:sz="0" w:space="0" w:color="auto"/>
            <w:right w:val="none" w:sz="0" w:space="0" w:color="auto"/>
          </w:divBdr>
        </w:div>
        <w:div w:id="657464892">
          <w:marLeft w:val="1987"/>
          <w:marRight w:val="0"/>
          <w:marTop w:val="0"/>
          <w:marBottom w:val="0"/>
          <w:divBdr>
            <w:top w:val="none" w:sz="0" w:space="0" w:color="auto"/>
            <w:left w:val="none" w:sz="0" w:space="0" w:color="auto"/>
            <w:bottom w:val="none" w:sz="0" w:space="0" w:color="auto"/>
            <w:right w:val="none" w:sz="0" w:space="0" w:color="auto"/>
          </w:divBdr>
        </w:div>
        <w:div w:id="887498500">
          <w:marLeft w:val="1987"/>
          <w:marRight w:val="0"/>
          <w:marTop w:val="0"/>
          <w:marBottom w:val="0"/>
          <w:divBdr>
            <w:top w:val="none" w:sz="0" w:space="0" w:color="auto"/>
            <w:left w:val="none" w:sz="0" w:space="0" w:color="auto"/>
            <w:bottom w:val="none" w:sz="0" w:space="0" w:color="auto"/>
            <w:right w:val="none" w:sz="0" w:space="0" w:color="auto"/>
          </w:divBdr>
        </w:div>
        <w:div w:id="1120998416">
          <w:marLeft w:val="1987"/>
          <w:marRight w:val="0"/>
          <w:marTop w:val="0"/>
          <w:marBottom w:val="0"/>
          <w:divBdr>
            <w:top w:val="none" w:sz="0" w:space="0" w:color="auto"/>
            <w:left w:val="none" w:sz="0" w:space="0" w:color="auto"/>
            <w:bottom w:val="none" w:sz="0" w:space="0" w:color="auto"/>
            <w:right w:val="none" w:sz="0" w:space="0" w:color="auto"/>
          </w:divBdr>
        </w:div>
        <w:div w:id="1140422022">
          <w:marLeft w:val="1987"/>
          <w:marRight w:val="0"/>
          <w:marTop w:val="0"/>
          <w:marBottom w:val="0"/>
          <w:divBdr>
            <w:top w:val="none" w:sz="0" w:space="0" w:color="auto"/>
            <w:left w:val="none" w:sz="0" w:space="0" w:color="auto"/>
            <w:bottom w:val="none" w:sz="0" w:space="0" w:color="auto"/>
            <w:right w:val="none" w:sz="0" w:space="0" w:color="auto"/>
          </w:divBdr>
        </w:div>
        <w:div w:id="1199201224">
          <w:marLeft w:val="1987"/>
          <w:marRight w:val="0"/>
          <w:marTop w:val="0"/>
          <w:marBottom w:val="0"/>
          <w:divBdr>
            <w:top w:val="none" w:sz="0" w:space="0" w:color="auto"/>
            <w:left w:val="none" w:sz="0" w:space="0" w:color="auto"/>
            <w:bottom w:val="none" w:sz="0" w:space="0" w:color="auto"/>
            <w:right w:val="none" w:sz="0" w:space="0" w:color="auto"/>
          </w:divBdr>
        </w:div>
        <w:div w:id="1383941916">
          <w:marLeft w:val="1397"/>
          <w:marRight w:val="0"/>
          <w:marTop w:val="0"/>
          <w:marBottom w:val="0"/>
          <w:divBdr>
            <w:top w:val="none" w:sz="0" w:space="0" w:color="auto"/>
            <w:left w:val="none" w:sz="0" w:space="0" w:color="auto"/>
            <w:bottom w:val="none" w:sz="0" w:space="0" w:color="auto"/>
            <w:right w:val="none" w:sz="0" w:space="0" w:color="auto"/>
          </w:divBdr>
        </w:div>
        <w:div w:id="1516186126">
          <w:marLeft w:val="1987"/>
          <w:marRight w:val="0"/>
          <w:marTop w:val="0"/>
          <w:marBottom w:val="0"/>
          <w:divBdr>
            <w:top w:val="none" w:sz="0" w:space="0" w:color="auto"/>
            <w:left w:val="none" w:sz="0" w:space="0" w:color="auto"/>
            <w:bottom w:val="none" w:sz="0" w:space="0" w:color="auto"/>
            <w:right w:val="none" w:sz="0" w:space="0" w:color="auto"/>
          </w:divBdr>
        </w:div>
        <w:div w:id="1599287595">
          <w:marLeft w:val="1987"/>
          <w:marRight w:val="0"/>
          <w:marTop w:val="0"/>
          <w:marBottom w:val="0"/>
          <w:divBdr>
            <w:top w:val="none" w:sz="0" w:space="0" w:color="auto"/>
            <w:left w:val="none" w:sz="0" w:space="0" w:color="auto"/>
            <w:bottom w:val="none" w:sz="0" w:space="0" w:color="auto"/>
            <w:right w:val="none" w:sz="0" w:space="0" w:color="auto"/>
          </w:divBdr>
        </w:div>
        <w:div w:id="1729769450">
          <w:marLeft w:val="1987"/>
          <w:marRight w:val="0"/>
          <w:marTop w:val="0"/>
          <w:marBottom w:val="0"/>
          <w:divBdr>
            <w:top w:val="none" w:sz="0" w:space="0" w:color="auto"/>
            <w:left w:val="none" w:sz="0" w:space="0" w:color="auto"/>
            <w:bottom w:val="none" w:sz="0" w:space="0" w:color="auto"/>
            <w:right w:val="none" w:sz="0" w:space="0" w:color="auto"/>
          </w:divBdr>
        </w:div>
        <w:div w:id="1936742167">
          <w:marLeft w:val="1987"/>
          <w:marRight w:val="0"/>
          <w:marTop w:val="0"/>
          <w:marBottom w:val="0"/>
          <w:divBdr>
            <w:top w:val="none" w:sz="0" w:space="0" w:color="auto"/>
            <w:left w:val="none" w:sz="0" w:space="0" w:color="auto"/>
            <w:bottom w:val="none" w:sz="0" w:space="0" w:color="auto"/>
            <w:right w:val="none" w:sz="0" w:space="0" w:color="auto"/>
          </w:divBdr>
        </w:div>
        <w:div w:id="2023967294">
          <w:marLeft w:val="1397"/>
          <w:marRight w:val="0"/>
          <w:marTop w:val="0"/>
          <w:marBottom w:val="0"/>
          <w:divBdr>
            <w:top w:val="none" w:sz="0" w:space="0" w:color="auto"/>
            <w:left w:val="none" w:sz="0" w:space="0" w:color="auto"/>
            <w:bottom w:val="none" w:sz="0" w:space="0" w:color="auto"/>
            <w:right w:val="none" w:sz="0" w:space="0" w:color="auto"/>
          </w:divBdr>
        </w:div>
        <w:div w:id="2085911577">
          <w:marLeft w:val="1987"/>
          <w:marRight w:val="0"/>
          <w:marTop w:val="0"/>
          <w:marBottom w:val="0"/>
          <w:divBdr>
            <w:top w:val="none" w:sz="0" w:space="0" w:color="auto"/>
            <w:left w:val="none" w:sz="0" w:space="0" w:color="auto"/>
            <w:bottom w:val="none" w:sz="0" w:space="0" w:color="auto"/>
            <w:right w:val="none" w:sz="0" w:space="0" w:color="auto"/>
          </w:divBdr>
        </w:div>
      </w:divsChild>
    </w:div>
    <w:div w:id="940067950">
      <w:bodyDiv w:val="1"/>
      <w:marLeft w:val="0"/>
      <w:marRight w:val="0"/>
      <w:marTop w:val="0"/>
      <w:marBottom w:val="0"/>
      <w:divBdr>
        <w:top w:val="none" w:sz="0" w:space="0" w:color="auto"/>
        <w:left w:val="none" w:sz="0" w:space="0" w:color="auto"/>
        <w:bottom w:val="none" w:sz="0" w:space="0" w:color="auto"/>
        <w:right w:val="none" w:sz="0" w:space="0" w:color="auto"/>
      </w:divBdr>
    </w:div>
    <w:div w:id="968897244">
      <w:bodyDiv w:val="1"/>
      <w:marLeft w:val="0"/>
      <w:marRight w:val="0"/>
      <w:marTop w:val="0"/>
      <w:marBottom w:val="0"/>
      <w:divBdr>
        <w:top w:val="none" w:sz="0" w:space="0" w:color="auto"/>
        <w:left w:val="none" w:sz="0" w:space="0" w:color="auto"/>
        <w:bottom w:val="none" w:sz="0" w:space="0" w:color="auto"/>
        <w:right w:val="none" w:sz="0" w:space="0" w:color="auto"/>
      </w:divBdr>
    </w:div>
    <w:div w:id="977606296">
      <w:bodyDiv w:val="1"/>
      <w:marLeft w:val="0"/>
      <w:marRight w:val="0"/>
      <w:marTop w:val="0"/>
      <w:marBottom w:val="0"/>
      <w:divBdr>
        <w:top w:val="none" w:sz="0" w:space="0" w:color="auto"/>
        <w:left w:val="none" w:sz="0" w:space="0" w:color="auto"/>
        <w:bottom w:val="none" w:sz="0" w:space="0" w:color="auto"/>
        <w:right w:val="none" w:sz="0" w:space="0" w:color="auto"/>
      </w:divBdr>
    </w:div>
    <w:div w:id="987635302">
      <w:bodyDiv w:val="1"/>
      <w:marLeft w:val="0"/>
      <w:marRight w:val="0"/>
      <w:marTop w:val="0"/>
      <w:marBottom w:val="0"/>
      <w:divBdr>
        <w:top w:val="none" w:sz="0" w:space="0" w:color="auto"/>
        <w:left w:val="none" w:sz="0" w:space="0" w:color="auto"/>
        <w:bottom w:val="none" w:sz="0" w:space="0" w:color="auto"/>
        <w:right w:val="none" w:sz="0" w:space="0" w:color="auto"/>
      </w:divBdr>
      <w:divsChild>
        <w:div w:id="280502074">
          <w:marLeft w:val="1426"/>
          <w:marRight w:val="0"/>
          <w:marTop w:val="0"/>
          <w:marBottom w:val="0"/>
          <w:divBdr>
            <w:top w:val="none" w:sz="0" w:space="0" w:color="auto"/>
            <w:left w:val="none" w:sz="0" w:space="0" w:color="auto"/>
            <w:bottom w:val="none" w:sz="0" w:space="0" w:color="auto"/>
            <w:right w:val="none" w:sz="0" w:space="0" w:color="auto"/>
          </w:divBdr>
        </w:div>
        <w:div w:id="355272738">
          <w:marLeft w:val="1426"/>
          <w:marRight w:val="0"/>
          <w:marTop w:val="0"/>
          <w:marBottom w:val="0"/>
          <w:divBdr>
            <w:top w:val="none" w:sz="0" w:space="0" w:color="auto"/>
            <w:left w:val="none" w:sz="0" w:space="0" w:color="auto"/>
            <w:bottom w:val="none" w:sz="0" w:space="0" w:color="auto"/>
            <w:right w:val="none" w:sz="0" w:space="0" w:color="auto"/>
          </w:divBdr>
        </w:div>
        <w:div w:id="389111647">
          <w:marLeft w:val="1426"/>
          <w:marRight w:val="0"/>
          <w:marTop w:val="0"/>
          <w:marBottom w:val="0"/>
          <w:divBdr>
            <w:top w:val="none" w:sz="0" w:space="0" w:color="auto"/>
            <w:left w:val="none" w:sz="0" w:space="0" w:color="auto"/>
            <w:bottom w:val="none" w:sz="0" w:space="0" w:color="auto"/>
            <w:right w:val="none" w:sz="0" w:space="0" w:color="auto"/>
          </w:divBdr>
        </w:div>
        <w:div w:id="456292779">
          <w:marLeft w:val="1426"/>
          <w:marRight w:val="0"/>
          <w:marTop w:val="0"/>
          <w:marBottom w:val="0"/>
          <w:divBdr>
            <w:top w:val="none" w:sz="0" w:space="0" w:color="auto"/>
            <w:left w:val="none" w:sz="0" w:space="0" w:color="auto"/>
            <w:bottom w:val="none" w:sz="0" w:space="0" w:color="auto"/>
            <w:right w:val="none" w:sz="0" w:space="0" w:color="auto"/>
          </w:divBdr>
        </w:div>
        <w:div w:id="1031612022">
          <w:marLeft w:val="1426"/>
          <w:marRight w:val="0"/>
          <w:marTop w:val="0"/>
          <w:marBottom w:val="0"/>
          <w:divBdr>
            <w:top w:val="none" w:sz="0" w:space="0" w:color="auto"/>
            <w:left w:val="none" w:sz="0" w:space="0" w:color="auto"/>
            <w:bottom w:val="none" w:sz="0" w:space="0" w:color="auto"/>
            <w:right w:val="none" w:sz="0" w:space="0" w:color="auto"/>
          </w:divBdr>
        </w:div>
        <w:div w:id="1627659271">
          <w:marLeft w:val="1426"/>
          <w:marRight w:val="0"/>
          <w:marTop w:val="0"/>
          <w:marBottom w:val="0"/>
          <w:divBdr>
            <w:top w:val="none" w:sz="0" w:space="0" w:color="auto"/>
            <w:left w:val="none" w:sz="0" w:space="0" w:color="auto"/>
            <w:bottom w:val="none" w:sz="0" w:space="0" w:color="auto"/>
            <w:right w:val="none" w:sz="0" w:space="0" w:color="auto"/>
          </w:divBdr>
        </w:div>
        <w:div w:id="2107967766">
          <w:marLeft w:val="1426"/>
          <w:marRight w:val="0"/>
          <w:marTop w:val="0"/>
          <w:marBottom w:val="0"/>
          <w:divBdr>
            <w:top w:val="none" w:sz="0" w:space="0" w:color="auto"/>
            <w:left w:val="none" w:sz="0" w:space="0" w:color="auto"/>
            <w:bottom w:val="none" w:sz="0" w:space="0" w:color="auto"/>
            <w:right w:val="none" w:sz="0" w:space="0" w:color="auto"/>
          </w:divBdr>
        </w:div>
      </w:divsChild>
    </w:div>
    <w:div w:id="994257113">
      <w:bodyDiv w:val="1"/>
      <w:marLeft w:val="0"/>
      <w:marRight w:val="0"/>
      <w:marTop w:val="0"/>
      <w:marBottom w:val="0"/>
      <w:divBdr>
        <w:top w:val="none" w:sz="0" w:space="0" w:color="auto"/>
        <w:left w:val="none" w:sz="0" w:space="0" w:color="auto"/>
        <w:bottom w:val="none" w:sz="0" w:space="0" w:color="auto"/>
        <w:right w:val="none" w:sz="0" w:space="0" w:color="auto"/>
      </w:divBdr>
      <w:divsChild>
        <w:div w:id="38016238">
          <w:marLeft w:val="1166"/>
          <w:marRight w:val="0"/>
          <w:marTop w:val="120"/>
          <w:marBottom w:val="0"/>
          <w:divBdr>
            <w:top w:val="none" w:sz="0" w:space="0" w:color="auto"/>
            <w:left w:val="none" w:sz="0" w:space="0" w:color="auto"/>
            <w:bottom w:val="none" w:sz="0" w:space="0" w:color="auto"/>
            <w:right w:val="none" w:sz="0" w:space="0" w:color="auto"/>
          </w:divBdr>
        </w:div>
        <w:div w:id="147333719">
          <w:marLeft w:val="1800"/>
          <w:marRight w:val="0"/>
          <w:marTop w:val="120"/>
          <w:marBottom w:val="0"/>
          <w:divBdr>
            <w:top w:val="none" w:sz="0" w:space="0" w:color="auto"/>
            <w:left w:val="none" w:sz="0" w:space="0" w:color="auto"/>
            <w:bottom w:val="none" w:sz="0" w:space="0" w:color="auto"/>
            <w:right w:val="none" w:sz="0" w:space="0" w:color="auto"/>
          </w:divBdr>
        </w:div>
        <w:div w:id="155267585">
          <w:marLeft w:val="1166"/>
          <w:marRight w:val="0"/>
          <w:marTop w:val="240"/>
          <w:marBottom w:val="0"/>
          <w:divBdr>
            <w:top w:val="none" w:sz="0" w:space="0" w:color="auto"/>
            <w:left w:val="none" w:sz="0" w:space="0" w:color="auto"/>
            <w:bottom w:val="none" w:sz="0" w:space="0" w:color="auto"/>
            <w:right w:val="none" w:sz="0" w:space="0" w:color="auto"/>
          </w:divBdr>
        </w:div>
        <w:div w:id="510727706">
          <w:marLeft w:val="1800"/>
          <w:marRight w:val="0"/>
          <w:marTop w:val="120"/>
          <w:marBottom w:val="0"/>
          <w:divBdr>
            <w:top w:val="none" w:sz="0" w:space="0" w:color="auto"/>
            <w:left w:val="none" w:sz="0" w:space="0" w:color="auto"/>
            <w:bottom w:val="none" w:sz="0" w:space="0" w:color="auto"/>
            <w:right w:val="none" w:sz="0" w:space="0" w:color="auto"/>
          </w:divBdr>
        </w:div>
        <w:div w:id="792484757">
          <w:marLeft w:val="1800"/>
          <w:marRight w:val="0"/>
          <w:marTop w:val="120"/>
          <w:marBottom w:val="0"/>
          <w:divBdr>
            <w:top w:val="none" w:sz="0" w:space="0" w:color="auto"/>
            <w:left w:val="none" w:sz="0" w:space="0" w:color="auto"/>
            <w:bottom w:val="none" w:sz="0" w:space="0" w:color="auto"/>
            <w:right w:val="none" w:sz="0" w:space="0" w:color="auto"/>
          </w:divBdr>
        </w:div>
        <w:div w:id="940455798">
          <w:marLeft w:val="1166"/>
          <w:marRight w:val="0"/>
          <w:marTop w:val="240"/>
          <w:marBottom w:val="0"/>
          <w:divBdr>
            <w:top w:val="none" w:sz="0" w:space="0" w:color="auto"/>
            <w:left w:val="none" w:sz="0" w:space="0" w:color="auto"/>
            <w:bottom w:val="none" w:sz="0" w:space="0" w:color="auto"/>
            <w:right w:val="none" w:sz="0" w:space="0" w:color="auto"/>
          </w:divBdr>
        </w:div>
        <w:div w:id="1111322087">
          <w:marLeft w:val="1800"/>
          <w:marRight w:val="0"/>
          <w:marTop w:val="120"/>
          <w:marBottom w:val="0"/>
          <w:divBdr>
            <w:top w:val="none" w:sz="0" w:space="0" w:color="auto"/>
            <w:left w:val="none" w:sz="0" w:space="0" w:color="auto"/>
            <w:bottom w:val="none" w:sz="0" w:space="0" w:color="auto"/>
            <w:right w:val="none" w:sz="0" w:space="0" w:color="auto"/>
          </w:divBdr>
        </w:div>
        <w:div w:id="1213536386">
          <w:marLeft w:val="1800"/>
          <w:marRight w:val="0"/>
          <w:marTop w:val="120"/>
          <w:marBottom w:val="0"/>
          <w:divBdr>
            <w:top w:val="none" w:sz="0" w:space="0" w:color="auto"/>
            <w:left w:val="none" w:sz="0" w:space="0" w:color="auto"/>
            <w:bottom w:val="none" w:sz="0" w:space="0" w:color="auto"/>
            <w:right w:val="none" w:sz="0" w:space="0" w:color="auto"/>
          </w:divBdr>
        </w:div>
        <w:div w:id="1872106622">
          <w:marLeft w:val="1800"/>
          <w:marRight w:val="0"/>
          <w:marTop w:val="120"/>
          <w:marBottom w:val="0"/>
          <w:divBdr>
            <w:top w:val="none" w:sz="0" w:space="0" w:color="auto"/>
            <w:left w:val="none" w:sz="0" w:space="0" w:color="auto"/>
            <w:bottom w:val="none" w:sz="0" w:space="0" w:color="auto"/>
            <w:right w:val="none" w:sz="0" w:space="0" w:color="auto"/>
          </w:divBdr>
        </w:div>
      </w:divsChild>
    </w:div>
    <w:div w:id="1018656481">
      <w:bodyDiv w:val="1"/>
      <w:marLeft w:val="0"/>
      <w:marRight w:val="0"/>
      <w:marTop w:val="0"/>
      <w:marBottom w:val="0"/>
      <w:divBdr>
        <w:top w:val="none" w:sz="0" w:space="0" w:color="auto"/>
        <w:left w:val="none" w:sz="0" w:space="0" w:color="auto"/>
        <w:bottom w:val="none" w:sz="0" w:space="0" w:color="auto"/>
        <w:right w:val="none" w:sz="0" w:space="0" w:color="auto"/>
      </w:divBdr>
      <w:divsChild>
        <w:div w:id="106587795">
          <w:marLeft w:val="1426"/>
          <w:marRight w:val="0"/>
          <w:marTop w:val="0"/>
          <w:marBottom w:val="0"/>
          <w:divBdr>
            <w:top w:val="none" w:sz="0" w:space="0" w:color="auto"/>
            <w:left w:val="none" w:sz="0" w:space="0" w:color="auto"/>
            <w:bottom w:val="none" w:sz="0" w:space="0" w:color="auto"/>
            <w:right w:val="none" w:sz="0" w:space="0" w:color="auto"/>
          </w:divBdr>
        </w:div>
        <w:div w:id="303122839">
          <w:marLeft w:val="1426"/>
          <w:marRight w:val="0"/>
          <w:marTop w:val="0"/>
          <w:marBottom w:val="0"/>
          <w:divBdr>
            <w:top w:val="none" w:sz="0" w:space="0" w:color="auto"/>
            <w:left w:val="none" w:sz="0" w:space="0" w:color="auto"/>
            <w:bottom w:val="none" w:sz="0" w:space="0" w:color="auto"/>
            <w:right w:val="none" w:sz="0" w:space="0" w:color="auto"/>
          </w:divBdr>
        </w:div>
        <w:div w:id="784151885">
          <w:marLeft w:val="1426"/>
          <w:marRight w:val="0"/>
          <w:marTop w:val="0"/>
          <w:marBottom w:val="0"/>
          <w:divBdr>
            <w:top w:val="none" w:sz="0" w:space="0" w:color="auto"/>
            <w:left w:val="none" w:sz="0" w:space="0" w:color="auto"/>
            <w:bottom w:val="none" w:sz="0" w:space="0" w:color="auto"/>
            <w:right w:val="none" w:sz="0" w:space="0" w:color="auto"/>
          </w:divBdr>
        </w:div>
        <w:div w:id="1011444559">
          <w:marLeft w:val="1426"/>
          <w:marRight w:val="0"/>
          <w:marTop w:val="0"/>
          <w:marBottom w:val="0"/>
          <w:divBdr>
            <w:top w:val="none" w:sz="0" w:space="0" w:color="auto"/>
            <w:left w:val="none" w:sz="0" w:space="0" w:color="auto"/>
            <w:bottom w:val="none" w:sz="0" w:space="0" w:color="auto"/>
            <w:right w:val="none" w:sz="0" w:space="0" w:color="auto"/>
          </w:divBdr>
        </w:div>
        <w:div w:id="1123311232">
          <w:marLeft w:val="1426"/>
          <w:marRight w:val="0"/>
          <w:marTop w:val="0"/>
          <w:marBottom w:val="0"/>
          <w:divBdr>
            <w:top w:val="none" w:sz="0" w:space="0" w:color="auto"/>
            <w:left w:val="none" w:sz="0" w:space="0" w:color="auto"/>
            <w:bottom w:val="none" w:sz="0" w:space="0" w:color="auto"/>
            <w:right w:val="none" w:sz="0" w:space="0" w:color="auto"/>
          </w:divBdr>
        </w:div>
        <w:div w:id="1129864283">
          <w:marLeft w:val="1195"/>
          <w:marRight w:val="0"/>
          <w:marTop w:val="0"/>
          <w:marBottom w:val="0"/>
          <w:divBdr>
            <w:top w:val="none" w:sz="0" w:space="0" w:color="auto"/>
            <w:left w:val="none" w:sz="0" w:space="0" w:color="auto"/>
            <w:bottom w:val="none" w:sz="0" w:space="0" w:color="auto"/>
            <w:right w:val="none" w:sz="0" w:space="0" w:color="auto"/>
          </w:divBdr>
        </w:div>
        <w:div w:id="1199929133">
          <w:marLeft w:val="1426"/>
          <w:marRight w:val="0"/>
          <w:marTop w:val="0"/>
          <w:marBottom w:val="0"/>
          <w:divBdr>
            <w:top w:val="none" w:sz="0" w:space="0" w:color="auto"/>
            <w:left w:val="none" w:sz="0" w:space="0" w:color="auto"/>
            <w:bottom w:val="none" w:sz="0" w:space="0" w:color="auto"/>
            <w:right w:val="none" w:sz="0" w:space="0" w:color="auto"/>
          </w:divBdr>
        </w:div>
        <w:div w:id="1293050587">
          <w:marLeft w:val="1195"/>
          <w:marRight w:val="0"/>
          <w:marTop w:val="0"/>
          <w:marBottom w:val="0"/>
          <w:divBdr>
            <w:top w:val="none" w:sz="0" w:space="0" w:color="auto"/>
            <w:left w:val="none" w:sz="0" w:space="0" w:color="auto"/>
            <w:bottom w:val="none" w:sz="0" w:space="0" w:color="auto"/>
            <w:right w:val="none" w:sz="0" w:space="0" w:color="auto"/>
          </w:divBdr>
        </w:div>
        <w:div w:id="1420324830">
          <w:marLeft w:val="1426"/>
          <w:marRight w:val="0"/>
          <w:marTop w:val="0"/>
          <w:marBottom w:val="0"/>
          <w:divBdr>
            <w:top w:val="none" w:sz="0" w:space="0" w:color="auto"/>
            <w:left w:val="none" w:sz="0" w:space="0" w:color="auto"/>
            <w:bottom w:val="none" w:sz="0" w:space="0" w:color="auto"/>
            <w:right w:val="none" w:sz="0" w:space="0" w:color="auto"/>
          </w:divBdr>
        </w:div>
        <w:div w:id="1552300941">
          <w:marLeft w:val="1426"/>
          <w:marRight w:val="0"/>
          <w:marTop w:val="0"/>
          <w:marBottom w:val="0"/>
          <w:divBdr>
            <w:top w:val="none" w:sz="0" w:space="0" w:color="auto"/>
            <w:left w:val="none" w:sz="0" w:space="0" w:color="auto"/>
            <w:bottom w:val="none" w:sz="0" w:space="0" w:color="auto"/>
            <w:right w:val="none" w:sz="0" w:space="0" w:color="auto"/>
          </w:divBdr>
        </w:div>
        <w:div w:id="1670020177">
          <w:marLeft w:val="1426"/>
          <w:marRight w:val="0"/>
          <w:marTop w:val="0"/>
          <w:marBottom w:val="0"/>
          <w:divBdr>
            <w:top w:val="none" w:sz="0" w:space="0" w:color="auto"/>
            <w:left w:val="none" w:sz="0" w:space="0" w:color="auto"/>
            <w:bottom w:val="none" w:sz="0" w:space="0" w:color="auto"/>
            <w:right w:val="none" w:sz="0" w:space="0" w:color="auto"/>
          </w:divBdr>
        </w:div>
        <w:div w:id="1847164586">
          <w:marLeft w:val="1426"/>
          <w:marRight w:val="0"/>
          <w:marTop w:val="0"/>
          <w:marBottom w:val="0"/>
          <w:divBdr>
            <w:top w:val="none" w:sz="0" w:space="0" w:color="auto"/>
            <w:left w:val="none" w:sz="0" w:space="0" w:color="auto"/>
            <w:bottom w:val="none" w:sz="0" w:space="0" w:color="auto"/>
            <w:right w:val="none" w:sz="0" w:space="0" w:color="auto"/>
          </w:divBdr>
        </w:div>
        <w:div w:id="1920406409">
          <w:marLeft w:val="1195"/>
          <w:marRight w:val="0"/>
          <w:marTop w:val="0"/>
          <w:marBottom w:val="0"/>
          <w:divBdr>
            <w:top w:val="none" w:sz="0" w:space="0" w:color="auto"/>
            <w:left w:val="none" w:sz="0" w:space="0" w:color="auto"/>
            <w:bottom w:val="none" w:sz="0" w:space="0" w:color="auto"/>
            <w:right w:val="none" w:sz="0" w:space="0" w:color="auto"/>
          </w:divBdr>
        </w:div>
        <w:div w:id="2097824074">
          <w:marLeft w:val="1426"/>
          <w:marRight w:val="0"/>
          <w:marTop w:val="0"/>
          <w:marBottom w:val="0"/>
          <w:divBdr>
            <w:top w:val="none" w:sz="0" w:space="0" w:color="auto"/>
            <w:left w:val="none" w:sz="0" w:space="0" w:color="auto"/>
            <w:bottom w:val="none" w:sz="0" w:space="0" w:color="auto"/>
            <w:right w:val="none" w:sz="0" w:space="0" w:color="auto"/>
          </w:divBdr>
        </w:div>
      </w:divsChild>
    </w:div>
    <w:div w:id="1038893885">
      <w:bodyDiv w:val="1"/>
      <w:marLeft w:val="0"/>
      <w:marRight w:val="0"/>
      <w:marTop w:val="0"/>
      <w:marBottom w:val="0"/>
      <w:divBdr>
        <w:top w:val="none" w:sz="0" w:space="0" w:color="auto"/>
        <w:left w:val="none" w:sz="0" w:space="0" w:color="auto"/>
        <w:bottom w:val="none" w:sz="0" w:space="0" w:color="auto"/>
        <w:right w:val="none" w:sz="0" w:space="0" w:color="auto"/>
      </w:divBdr>
    </w:div>
    <w:div w:id="1062370079">
      <w:bodyDiv w:val="1"/>
      <w:marLeft w:val="0"/>
      <w:marRight w:val="0"/>
      <w:marTop w:val="0"/>
      <w:marBottom w:val="0"/>
      <w:divBdr>
        <w:top w:val="none" w:sz="0" w:space="0" w:color="auto"/>
        <w:left w:val="none" w:sz="0" w:space="0" w:color="auto"/>
        <w:bottom w:val="none" w:sz="0" w:space="0" w:color="auto"/>
        <w:right w:val="none" w:sz="0" w:space="0" w:color="auto"/>
      </w:divBdr>
      <w:divsChild>
        <w:div w:id="622616165">
          <w:marLeft w:val="1685"/>
          <w:marRight w:val="0"/>
          <w:marTop w:val="0"/>
          <w:marBottom w:val="0"/>
          <w:divBdr>
            <w:top w:val="none" w:sz="0" w:space="0" w:color="auto"/>
            <w:left w:val="none" w:sz="0" w:space="0" w:color="auto"/>
            <w:bottom w:val="none" w:sz="0" w:space="0" w:color="auto"/>
            <w:right w:val="none" w:sz="0" w:space="0" w:color="auto"/>
          </w:divBdr>
        </w:div>
        <w:div w:id="739640651">
          <w:marLeft w:val="1685"/>
          <w:marRight w:val="0"/>
          <w:marTop w:val="60"/>
          <w:marBottom w:val="0"/>
          <w:divBdr>
            <w:top w:val="none" w:sz="0" w:space="0" w:color="auto"/>
            <w:left w:val="none" w:sz="0" w:space="0" w:color="auto"/>
            <w:bottom w:val="none" w:sz="0" w:space="0" w:color="auto"/>
            <w:right w:val="none" w:sz="0" w:space="0" w:color="auto"/>
          </w:divBdr>
        </w:div>
        <w:div w:id="789670742">
          <w:marLeft w:val="1685"/>
          <w:marRight w:val="0"/>
          <w:marTop w:val="0"/>
          <w:marBottom w:val="0"/>
          <w:divBdr>
            <w:top w:val="none" w:sz="0" w:space="0" w:color="auto"/>
            <w:left w:val="none" w:sz="0" w:space="0" w:color="auto"/>
            <w:bottom w:val="none" w:sz="0" w:space="0" w:color="auto"/>
            <w:right w:val="none" w:sz="0" w:space="0" w:color="auto"/>
          </w:divBdr>
        </w:div>
        <w:div w:id="814224177">
          <w:marLeft w:val="850"/>
          <w:marRight w:val="0"/>
          <w:marTop w:val="60"/>
          <w:marBottom w:val="0"/>
          <w:divBdr>
            <w:top w:val="none" w:sz="0" w:space="0" w:color="auto"/>
            <w:left w:val="none" w:sz="0" w:space="0" w:color="auto"/>
            <w:bottom w:val="none" w:sz="0" w:space="0" w:color="auto"/>
            <w:right w:val="none" w:sz="0" w:space="0" w:color="auto"/>
          </w:divBdr>
        </w:div>
        <w:div w:id="843012732">
          <w:marLeft w:val="850"/>
          <w:marRight w:val="0"/>
          <w:marTop w:val="60"/>
          <w:marBottom w:val="0"/>
          <w:divBdr>
            <w:top w:val="none" w:sz="0" w:space="0" w:color="auto"/>
            <w:left w:val="none" w:sz="0" w:space="0" w:color="auto"/>
            <w:bottom w:val="none" w:sz="0" w:space="0" w:color="auto"/>
            <w:right w:val="none" w:sz="0" w:space="0" w:color="auto"/>
          </w:divBdr>
        </w:div>
        <w:div w:id="1068771313">
          <w:marLeft w:val="1685"/>
          <w:marRight w:val="0"/>
          <w:marTop w:val="60"/>
          <w:marBottom w:val="0"/>
          <w:divBdr>
            <w:top w:val="none" w:sz="0" w:space="0" w:color="auto"/>
            <w:left w:val="none" w:sz="0" w:space="0" w:color="auto"/>
            <w:bottom w:val="none" w:sz="0" w:space="0" w:color="auto"/>
            <w:right w:val="none" w:sz="0" w:space="0" w:color="auto"/>
          </w:divBdr>
        </w:div>
        <w:div w:id="1168517361">
          <w:marLeft w:val="1685"/>
          <w:marRight w:val="0"/>
          <w:marTop w:val="0"/>
          <w:marBottom w:val="0"/>
          <w:divBdr>
            <w:top w:val="none" w:sz="0" w:space="0" w:color="auto"/>
            <w:left w:val="none" w:sz="0" w:space="0" w:color="auto"/>
            <w:bottom w:val="none" w:sz="0" w:space="0" w:color="auto"/>
            <w:right w:val="none" w:sz="0" w:space="0" w:color="auto"/>
          </w:divBdr>
        </w:div>
        <w:div w:id="1286422298">
          <w:marLeft w:val="850"/>
          <w:marRight w:val="0"/>
          <w:marTop w:val="60"/>
          <w:marBottom w:val="0"/>
          <w:divBdr>
            <w:top w:val="none" w:sz="0" w:space="0" w:color="auto"/>
            <w:left w:val="none" w:sz="0" w:space="0" w:color="auto"/>
            <w:bottom w:val="none" w:sz="0" w:space="0" w:color="auto"/>
            <w:right w:val="none" w:sz="0" w:space="0" w:color="auto"/>
          </w:divBdr>
        </w:div>
        <w:div w:id="1868718157">
          <w:marLeft w:val="1685"/>
          <w:marRight w:val="0"/>
          <w:marTop w:val="60"/>
          <w:marBottom w:val="0"/>
          <w:divBdr>
            <w:top w:val="none" w:sz="0" w:space="0" w:color="auto"/>
            <w:left w:val="none" w:sz="0" w:space="0" w:color="auto"/>
            <w:bottom w:val="none" w:sz="0" w:space="0" w:color="auto"/>
            <w:right w:val="none" w:sz="0" w:space="0" w:color="auto"/>
          </w:divBdr>
        </w:div>
        <w:div w:id="1922568305">
          <w:marLeft w:val="1685"/>
          <w:marRight w:val="0"/>
          <w:marTop w:val="60"/>
          <w:marBottom w:val="0"/>
          <w:divBdr>
            <w:top w:val="none" w:sz="0" w:space="0" w:color="auto"/>
            <w:left w:val="none" w:sz="0" w:space="0" w:color="auto"/>
            <w:bottom w:val="none" w:sz="0" w:space="0" w:color="auto"/>
            <w:right w:val="none" w:sz="0" w:space="0" w:color="auto"/>
          </w:divBdr>
        </w:div>
        <w:div w:id="1923484524">
          <w:marLeft w:val="850"/>
          <w:marRight w:val="0"/>
          <w:marTop w:val="60"/>
          <w:marBottom w:val="0"/>
          <w:divBdr>
            <w:top w:val="none" w:sz="0" w:space="0" w:color="auto"/>
            <w:left w:val="none" w:sz="0" w:space="0" w:color="auto"/>
            <w:bottom w:val="none" w:sz="0" w:space="0" w:color="auto"/>
            <w:right w:val="none" w:sz="0" w:space="0" w:color="auto"/>
          </w:divBdr>
        </w:div>
        <w:div w:id="1944528614">
          <w:marLeft w:val="850"/>
          <w:marRight w:val="0"/>
          <w:marTop w:val="60"/>
          <w:marBottom w:val="0"/>
          <w:divBdr>
            <w:top w:val="none" w:sz="0" w:space="0" w:color="auto"/>
            <w:left w:val="none" w:sz="0" w:space="0" w:color="auto"/>
            <w:bottom w:val="none" w:sz="0" w:space="0" w:color="auto"/>
            <w:right w:val="none" w:sz="0" w:space="0" w:color="auto"/>
          </w:divBdr>
        </w:div>
      </w:divsChild>
    </w:div>
    <w:div w:id="1071849224">
      <w:bodyDiv w:val="1"/>
      <w:marLeft w:val="0"/>
      <w:marRight w:val="0"/>
      <w:marTop w:val="0"/>
      <w:marBottom w:val="0"/>
      <w:divBdr>
        <w:top w:val="none" w:sz="0" w:space="0" w:color="auto"/>
        <w:left w:val="none" w:sz="0" w:space="0" w:color="auto"/>
        <w:bottom w:val="none" w:sz="0" w:space="0" w:color="auto"/>
        <w:right w:val="none" w:sz="0" w:space="0" w:color="auto"/>
      </w:divBdr>
      <w:divsChild>
        <w:div w:id="678237966">
          <w:marLeft w:val="850"/>
          <w:marRight w:val="0"/>
          <w:marTop w:val="60"/>
          <w:marBottom w:val="0"/>
          <w:divBdr>
            <w:top w:val="none" w:sz="0" w:space="0" w:color="auto"/>
            <w:left w:val="none" w:sz="0" w:space="0" w:color="auto"/>
            <w:bottom w:val="none" w:sz="0" w:space="0" w:color="auto"/>
            <w:right w:val="none" w:sz="0" w:space="0" w:color="auto"/>
          </w:divBdr>
        </w:div>
        <w:div w:id="819738321">
          <w:marLeft w:val="850"/>
          <w:marRight w:val="0"/>
          <w:marTop w:val="60"/>
          <w:marBottom w:val="0"/>
          <w:divBdr>
            <w:top w:val="none" w:sz="0" w:space="0" w:color="auto"/>
            <w:left w:val="none" w:sz="0" w:space="0" w:color="auto"/>
            <w:bottom w:val="none" w:sz="0" w:space="0" w:color="auto"/>
            <w:right w:val="none" w:sz="0" w:space="0" w:color="auto"/>
          </w:divBdr>
        </w:div>
        <w:div w:id="1138375506">
          <w:marLeft w:val="850"/>
          <w:marRight w:val="0"/>
          <w:marTop w:val="60"/>
          <w:marBottom w:val="0"/>
          <w:divBdr>
            <w:top w:val="none" w:sz="0" w:space="0" w:color="auto"/>
            <w:left w:val="none" w:sz="0" w:space="0" w:color="auto"/>
            <w:bottom w:val="none" w:sz="0" w:space="0" w:color="auto"/>
            <w:right w:val="none" w:sz="0" w:space="0" w:color="auto"/>
          </w:divBdr>
        </w:div>
        <w:div w:id="1294557749">
          <w:marLeft w:val="850"/>
          <w:marRight w:val="0"/>
          <w:marTop w:val="60"/>
          <w:marBottom w:val="0"/>
          <w:divBdr>
            <w:top w:val="none" w:sz="0" w:space="0" w:color="auto"/>
            <w:left w:val="none" w:sz="0" w:space="0" w:color="auto"/>
            <w:bottom w:val="none" w:sz="0" w:space="0" w:color="auto"/>
            <w:right w:val="none" w:sz="0" w:space="0" w:color="auto"/>
          </w:divBdr>
        </w:div>
        <w:div w:id="1373649389">
          <w:marLeft w:val="850"/>
          <w:marRight w:val="0"/>
          <w:marTop w:val="60"/>
          <w:marBottom w:val="0"/>
          <w:divBdr>
            <w:top w:val="none" w:sz="0" w:space="0" w:color="auto"/>
            <w:left w:val="none" w:sz="0" w:space="0" w:color="auto"/>
            <w:bottom w:val="none" w:sz="0" w:space="0" w:color="auto"/>
            <w:right w:val="none" w:sz="0" w:space="0" w:color="auto"/>
          </w:divBdr>
        </w:div>
        <w:div w:id="1441340232">
          <w:marLeft w:val="850"/>
          <w:marRight w:val="0"/>
          <w:marTop w:val="60"/>
          <w:marBottom w:val="0"/>
          <w:divBdr>
            <w:top w:val="none" w:sz="0" w:space="0" w:color="auto"/>
            <w:left w:val="none" w:sz="0" w:space="0" w:color="auto"/>
            <w:bottom w:val="none" w:sz="0" w:space="0" w:color="auto"/>
            <w:right w:val="none" w:sz="0" w:space="0" w:color="auto"/>
          </w:divBdr>
        </w:div>
        <w:div w:id="1482229619">
          <w:marLeft w:val="850"/>
          <w:marRight w:val="0"/>
          <w:marTop w:val="60"/>
          <w:marBottom w:val="0"/>
          <w:divBdr>
            <w:top w:val="none" w:sz="0" w:space="0" w:color="auto"/>
            <w:left w:val="none" w:sz="0" w:space="0" w:color="auto"/>
            <w:bottom w:val="none" w:sz="0" w:space="0" w:color="auto"/>
            <w:right w:val="none" w:sz="0" w:space="0" w:color="auto"/>
          </w:divBdr>
        </w:div>
      </w:divsChild>
    </w:div>
    <w:div w:id="1095637379">
      <w:bodyDiv w:val="1"/>
      <w:marLeft w:val="0"/>
      <w:marRight w:val="0"/>
      <w:marTop w:val="0"/>
      <w:marBottom w:val="0"/>
      <w:divBdr>
        <w:top w:val="none" w:sz="0" w:space="0" w:color="auto"/>
        <w:left w:val="none" w:sz="0" w:space="0" w:color="auto"/>
        <w:bottom w:val="none" w:sz="0" w:space="0" w:color="auto"/>
        <w:right w:val="none" w:sz="0" w:space="0" w:color="auto"/>
      </w:divBdr>
    </w:div>
    <w:div w:id="1097679799">
      <w:bodyDiv w:val="1"/>
      <w:marLeft w:val="0"/>
      <w:marRight w:val="0"/>
      <w:marTop w:val="0"/>
      <w:marBottom w:val="0"/>
      <w:divBdr>
        <w:top w:val="none" w:sz="0" w:space="0" w:color="auto"/>
        <w:left w:val="none" w:sz="0" w:space="0" w:color="auto"/>
        <w:bottom w:val="none" w:sz="0" w:space="0" w:color="auto"/>
        <w:right w:val="none" w:sz="0" w:space="0" w:color="auto"/>
      </w:divBdr>
      <w:divsChild>
        <w:div w:id="74717160">
          <w:marLeft w:val="1123"/>
          <w:marRight w:val="0"/>
          <w:marTop w:val="60"/>
          <w:marBottom w:val="0"/>
          <w:divBdr>
            <w:top w:val="none" w:sz="0" w:space="0" w:color="auto"/>
            <w:left w:val="none" w:sz="0" w:space="0" w:color="auto"/>
            <w:bottom w:val="none" w:sz="0" w:space="0" w:color="auto"/>
            <w:right w:val="none" w:sz="0" w:space="0" w:color="auto"/>
          </w:divBdr>
        </w:div>
        <w:div w:id="163131347">
          <w:marLeft w:val="1123"/>
          <w:marRight w:val="0"/>
          <w:marTop w:val="60"/>
          <w:marBottom w:val="0"/>
          <w:divBdr>
            <w:top w:val="none" w:sz="0" w:space="0" w:color="auto"/>
            <w:left w:val="none" w:sz="0" w:space="0" w:color="auto"/>
            <w:bottom w:val="none" w:sz="0" w:space="0" w:color="auto"/>
            <w:right w:val="none" w:sz="0" w:space="0" w:color="auto"/>
          </w:divBdr>
        </w:div>
        <w:div w:id="192889576">
          <w:marLeft w:val="1123"/>
          <w:marRight w:val="0"/>
          <w:marTop w:val="60"/>
          <w:marBottom w:val="0"/>
          <w:divBdr>
            <w:top w:val="none" w:sz="0" w:space="0" w:color="auto"/>
            <w:left w:val="none" w:sz="0" w:space="0" w:color="auto"/>
            <w:bottom w:val="none" w:sz="0" w:space="0" w:color="auto"/>
            <w:right w:val="none" w:sz="0" w:space="0" w:color="auto"/>
          </w:divBdr>
        </w:div>
        <w:div w:id="405229804">
          <w:marLeft w:val="1123"/>
          <w:marRight w:val="0"/>
          <w:marTop w:val="60"/>
          <w:marBottom w:val="0"/>
          <w:divBdr>
            <w:top w:val="none" w:sz="0" w:space="0" w:color="auto"/>
            <w:left w:val="none" w:sz="0" w:space="0" w:color="auto"/>
            <w:bottom w:val="none" w:sz="0" w:space="0" w:color="auto"/>
            <w:right w:val="none" w:sz="0" w:space="0" w:color="auto"/>
          </w:divBdr>
        </w:div>
        <w:div w:id="639531826">
          <w:marLeft w:val="1123"/>
          <w:marRight w:val="0"/>
          <w:marTop w:val="60"/>
          <w:marBottom w:val="0"/>
          <w:divBdr>
            <w:top w:val="none" w:sz="0" w:space="0" w:color="auto"/>
            <w:left w:val="none" w:sz="0" w:space="0" w:color="auto"/>
            <w:bottom w:val="none" w:sz="0" w:space="0" w:color="auto"/>
            <w:right w:val="none" w:sz="0" w:space="0" w:color="auto"/>
          </w:divBdr>
        </w:div>
        <w:div w:id="772827438">
          <w:marLeft w:val="547"/>
          <w:marRight w:val="0"/>
          <w:marTop w:val="160"/>
          <w:marBottom w:val="0"/>
          <w:divBdr>
            <w:top w:val="none" w:sz="0" w:space="0" w:color="auto"/>
            <w:left w:val="none" w:sz="0" w:space="0" w:color="auto"/>
            <w:bottom w:val="none" w:sz="0" w:space="0" w:color="auto"/>
            <w:right w:val="none" w:sz="0" w:space="0" w:color="auto"/>
          </w:divBdr>
        </w:div>
        <w:div w:id="777724698">
          <w:marLeft w:val="1123"/>
          <w:marRight w:val="0"/>
          <w:marTop w:val="60"/>
          <w:marBottom w:val="0"/>
          <w:divBdr>
            <w:top w:val="none" w:sz="0" w:space="0" w:color="auto"/>
            <w:left w:val="none" w:sz="0" w:space="0" w:color="auto"/>
            <w:bottom w:val="none" w:sz="0" w:space="0" w:color="auto"/>
            <w:right w:val="none" w:sz="0" w:space="0" w:color="auto"/>
          </w:divBdr>
        </w:div>
        <w:div w:id="797337717">
          <w:marLeft w:val="547"/>
          <w:marRight w:val="0"/>
          <w:marTop w:val="400"/>
          <w:marBottom w:val="0"/>
          <w:divBdr>
            <w:top w:val="none" w:sz="0" w:space="0" w:color="auto"/>
            <w:left w:val="none" w:sz="0" w:space="0" w:color="auto"/>
            <w:bottom w:val="none" w:sz="0" w:space="0" w:color="auto"/>
            <w:right w:val="none" w:sz="0" w:space="0" w:color="auto"/>
          </w:divBdr>
        </w:div>
        <w:div w:id="1254625856">
          <w:marLeft w:val="1123"/>
          <w:marRight w:val="0"/>
          <w:marTop w:val="60"/>
          <w:marBottom w:val="0"/>
          <w:divBdr>
            <w:top w:val="none" w:sz="0" w:space="0" w:color="auto"/>
            <w:left w:val="none" w:sz="0" w:space="0" w:color="auto"/>
            <w:bottom w:val="none" w:sz="0" w:space="0" w:color="auto"/>
            <w:right w:val="none" w:sz="0" w:space="0" w:color="auto"/>
          </w:divBdr>
        </w:div>
        <w:div w:id="1867910269">
          <w:marLeft w:val="1123"/>
          <w:marRight w:val="0"/>
          <w:marTop w:val="60"/>
          <w:marBottom w:val="0"/>
          <w:divBdr>
            <w:top w:val="none" w:sz="0" w:space="0" w:color="auto"/>
            <w:left w:val="none" w:sz="0" w:space="0" w:color="auto"/>
            <w:bottom w:val="none" w:sz="0" w:space="0" w:color="auto"/>
            <w:right w:val="none" w:sz="0" w:space="0" w:color="auto"/>
          </w:divBdr>
        </w:div>
      </w:divsChild>
    </w:div>
    <w:div w:id="1289972962">
      <w:bodyDiv w:val="1"/>
      <w:marLeft w:val="0"/>
      <w:marRight w:val="0"/>
      <w:marTop w:val="0"/>
      <w:marBottom w:val="0"/>
      <w:divBdr>
        <w:top w:val="none" w:sz="0" w:space="0" w:color="auto"/>
        <w:left w:val="none" w:sz="0" w:space="0" w:color="auto"/>
        <w:bottom w:val="none" w:sz="0" w:space="0" w:color="auto"/>
        <w:right w:val="none" w:sz="0" w:space="0" w:color="auto"/>
      </w:divBdr>
    </w:div>
    <w:div w:id="1294020073">
      <w:bodyDiv w:val="1"/>
      <w:marLeft w:val="0"/>
      <w:marRight w:val="0"/>
      <w:marTop w:val="0"/>
      <w:marBottom w:val="0"/>
      <w:divBdr>
        <w:top w:val="none" w:sz="0" w:space="0" w:color="auto"/>
        <w:left w:val="none" w:sz="0" w:space="0" w:color="auto"/>
        <w:bottom w:val="none" w:sz="0" w:space="0" w:color="auto"/>
        <w:right w:val="none" w:sz="0" w:space="0" w:color="auto"/>
      </w:divBdr>
      <w:divsChild>
        <w:div w:id="38407518">
          <w:marLeft w:val="0"/>
          <w:marRight w:val="0"/>
          <w:marTop w:val="0"/>
          <w:marBottom w:val="150"/>
          <w:divBdr>
            <w:top w:val="none" w:sz="0" w:space="0" w:color="auto"/>
            <w:left w:val="none" w:sz="0" w:space="0" w:color="auto"/>
            <w:bottom w:val="none" w:sz="0" w:space="0" w:color="auto"/>
            <w:right w:val="none" w:sz="0" w:space="0" w:color="auto"/>
          </w:divBdr>
          <w:divsChild>
            <w:div w:id="1206870493">
              <w:marLeft w:val="0"/>
              <w:marRight w:val="0"/>
              <w:marTop w:val="0"/>
              <w:marBottom w:val="0"/>
              <w:divBdr>
                <w:top w:val="none" w:sz="0" w:space="0" w:color="auto"/>
                <w:left w:val="none" w:sz="0" w:space="0" w:color="auto"/>
                <w:bottom w:val="none" w:sz="0" w:space="0" w:color="auto"/>
                <w:right w:val="none" w:sz="0" w:space="0" w:color="auto"/>
              </w:divBdr>
              <w:divsChild>
                <w:div w:id="2136480962">
                  <w:marLeft w:val="0"/>
                  <w:marRight w:val="0"/>
                  <w:marTop w:val="150"/>
                  <w:marBottom w:val="0"/>
                  <w:divBdr>
                    <w:top w:val="none" w:sz="0" w:space="0" w:color="auto"/>
                    <w:left w:val="none" w:sz="0" w:space="0" w:color="auto"/>
                    <w:bottom w:val="none" w:sz="0" w:space="0" w:color="auto"/>
                    <w:right w:val="none" w:sz="0" w:space="0" w:color="auto"/>
                  </w:divBdr>
                  <w:divsChild>
                    <w:div w:id="155380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872584">
      <w:bodyDiv w:val="1"/>
      <w:marLeft w:val="0"/>
      <w:marRight w:val="0"/>
      <w:marTop w:val="0"/>
      <w:marBottom w:val="0"/>
      <w:divBdr>
        <w:top w:val="none" w:sz="0" w:space="0" w:color="auto"/>
        <w:left w:val="none" w:sz="0" w:space="0" w:color="auto"/>
        <w:bottom w:val="none" w:sz="0" w:space="0" w:color="auto"/>
        <w:right w:val="none" w:sz="0" w:space="0" w:color="auto"/>
      </w:divBdr>
      <w:divsChild>
        <w:div w:id="42795834">
          <w:marLeft w:val="547"/>
          <w:marRight w:val="0"/>
          <w:marTop w:val="160"/>
          <w:marBottom w:val="0"/>
          <w:divBdr>
            <w:top w:val="none" w:sz="0" w:space="0" w:color="auto"/>
            <w:left w:val="none" w:sz="0" w:space="0" w:color="auto"/>
            <w:bottom w:val="none" w:sz="0" w:space="0" w:color="auto"/>
            <w:right w:val="none" w:sz="0" w:space="0" w:color="auto"/>
          </w:divBdr>
        </w:div>
        <w:div w:id="81806333">
          <w:marLeft w:val="547"/>
          <w:marRight w:val="0"/>
          <w:marTop w:val="160"/>
          <w:marBottom w:val="0"/>
          <w:divBdr>
            <w:top w:val="none" w:sz="0" w:space="0" w:color="auto"/>
            <w:left w:val="none" w:sz="0" w:space="0" w:color="auto"/>
            <w:bottom w:val="none" w:sz="0" w:space="0" w:color="auto"/>
            <w:right w:val="none" w:sz="0" w:space="0" w:color="auto"/>
          </w:divBdr>
        </w:div>
        <w:div w:id="211889124">
          <w:marLeft w:val="1123"/>
          <w:marRight w:val="0"/>
          <w:marTop w:val="60"/>
          <w:marBottom w:val="0"/>
          <w:divBdr>
            <w:top w:val="none" w:sz="0" w:space="0" w:color="auto"/>
            <w:left w:val="none" w:sz="0" w:space="0" w:color="auto"/>
            <w:bottom w:val="none" w:sz="0" w:space="0" w:color="auto"/>
            <w:right w:val="none" w:sz="0" w:space="0" w:color="auto"/>
          </w:divBdr>
        </w:div>
        <w:div w:id="694888700">
          <w:marLeft w:val="547"/>
          <w:marRight w:val="0"/>
          <w:marTop w:val="160"/>
          <w:marBottom w:val="0"/>
          <w:divBdr>
            <w:top w:val="none" w:sz="0" w:space="0" w:color="auto"/>
            <w:left w:val="none" w:sz="0" w:space="0" w:color="auto"/>
            <w:bottom w:val="none" w:sz="0" w:space="0" w:color="auto"/>
            <w:right w:val="none" w:sz="0" w:space="0" w:color="auto"/>
          </w:divBdr>
        </w:div>
        <w:div w:id="1363244493">
          <w:marLeft w:val="1123"/>
          <w:marRight w:val="0"/>
          <w:marTop w:val="60"/>
          <w:marBottom w:val="0"/>
          <w:divBdr>
            <w:top w:val="none" w:sz="0" w:space="0" w:color="auto"/>
            <w:left w:val="none" w:sz="0" w:space="0" w:color="auto"/>
            <w:bottom w:val="none" w:sz="0" w:space="0" w:color="auto"/>
            <w:right w:val="none" w:sz="0" w:space="0" w:color="auto"/>
          </w:divBdr>
        </w:div>
        <w:div w:id="2014869353">
          <w:marLeft w:val="1123"/>
          <w:marRight w:val="0"/>
          <w:marTop w:val="60"/>
          <w:marBottom w:val="0"/>
          <w:divBdr>
            <w:top w:val="none" w:sz="0" w:space="0" w:color="auto"/>
            <w:left w:val="none" w:sz="0" w:space="0" w:color="auto"/>
            <w:bottom w:val="none" w:sz="0" w:space="0" w:color="auto"/>
            <w:right w:val="none" w:sz="0" w:space="0" w:color="auto"/>
          </w:divBdr>
        </w:div>
        <w:div w:id="2128549563">
          <w:marLeft w:val="547"/>
          <w:marRight w:val="0"/>
          <w:marTop w:val="160"/>
          <w:marBottom w:val="0"/>
          <w:divBdr>
            <w:top w:val="none" w:sz="0" w:space="0" w:color="auto"/>
            <w:left w:val="none" w:sz="0" w:space="0" w:color="auto"/>
            <w:bottom w:val="none" w:sz="0" w:space="0" w:color="auto"/>
            <w:right w:val="none" w:sz="0" w:space="0" w:color="auto"/>
          </w:divBdr>
        </w:div>
      </w:divsChild>
    </w:div>
    <w:div w:id="1333877925">
      <w:bodyDiv w:val="1"/>
      <w:marLeft w:val="0"/>
      <w:marRight w:val="0"/>
      <w:marTop w:val="0"/>
      <w:marBottom w:val="0"/>
      <w:divBdr>
        <w:top w:val="none" w:sz="0" w:space="0" w:color="auto"/>
        <w:left w:val="none" w:sz="0" w:space="0" w:color="auto"/>
        <w:bottom w:val="none" w:sz="0" w:space="0" w:color="auto"/>
        <w:right w:val="none" w:sz="0" w:space="0" w:color="auto"/>
      </w:divBdr>
    </w:div>
    <w:div w:id="1364332348">
      <w:bodyDiv w:val="1"/>
      <w:marLeft w:val="0"/>
      <w:marRight w:val="0"/>
      <w:marTop w:val="0"/>
      <w:marBottom w:val="0"/>
      <w:divBdr>
        <w:top w:val="none" w:sz="0" w:space="0" w:color="auto"/>
        <w:left w:val="none" w:sz="0" w:space="0" w:color="auto"/>
        <w:bottom w:val="none" w:sz="0" w:space="0" w:color="auto"/>
        <w:right w:val="none" w:sz="0" w:space="0" w:color="auto"/>
      </w:divBdr>
    </w:div>
    <w:div w:id="1417096261">
      <w:bodyDiv w:val="1"/>
      <w:marLeft w:val="0"/>
      <w:marRight w:val="0"/>
      <w:marTop w:val="0"/>
      <w:marBottom w:val="0"/>
      <w:divBdr>
        <w:top w:val="none" w:sz="0" w:space="0" w:color="auto"/>
        <w:left w:val="none" w:sz="0" w:space="0" w:color="auto"/>
        <w:bottom w:val="none" w:sz="0" w:space="0" w:color="auto"/>
        <w:right w:val="none" w:sz="0" w:space="0" w:color="auto"/>
      </w:divBdr>
    </w:div>
    <w:div w:id="1424566248">
      <w:bodyDiv w:val="1"/>
      <w:marLeft w:val="0"/>
      <w:marRight w:val="0"/>
      <w:marTop w:val="0"/>
      <w:marBottom w:val="0"/>
      <w:divBdr>
        <w:top w:val="none" w:sz="0" w:space="0" w:color="auto"/>
        <w:left w:val="none" w:sz="0" w:space="0" w:color="auto"/>
        <w:bottom w:val="none" w:sz="0" w:space="0" w:color="auto"/>
        <w:right w:val="none" w:sz="0" w:space="0" w:color="auto"/>
      </w:divBdr>
      <w:divsChild>
        <w:div w:id="495920621">
          <w:marLeft w:val="1080"/>
          <w:marRight w:val="0"/>
          <w:marTop w:val="0"/>
          <w:marBottom w:val="0"/>
          <w:divBdr>
            <w:top w:val="none" w:sz="0" w:space="0" w:color="auto"/>
            <w:left w:val="none" w:sz="0" w:space="0" w:color="auto"/>
            <w:bottom w:val="none" w:sz="0" w:space="0" w:color="auto"/>
            <w:right w:val="none" w:sz="0" w:space="0" w:color="auto"/>
          </w:divBdr>
        </w:div>
        <w:div w:id="826551867">
          <w:marLeft w:val="1080"/>
          <w:marRight w:val="0"/>
          <w:marTop w:val="0"/>
          <w:marBottom w:val="0"/>
          <w:divBdr>
            <w:top w:val="none" w:sz="0" w:space="0" w:color="auto"/>
            <w:left w:val="none" w:sz="0" w:space="0" w:color="auto"/>
            <w:bottom w:val="none" w:sz="0" w:space="0" w:color="auto"/>
            <w:right w:val="none" w:sz="0" w:space="0" w:color="auto"/>
          </w:divBdr>
        </w:div>
        <w:div w:id="890921366">
          <w:marLeft w:val="547"/>
          <w:marRight w:val="0"/>
          <w:marTop w:val="100"/>
          <w:marBottom w:val="0"/>
          <w:divBdr>
            <w:top w:val="none" w:sz="0" w:space="0" w:color="auto"/>
            <w:left w:val="none" w:sz="0" w:space="0" w:color="auto"/>
            <w:bottom w:val="none" w:sz="0" w:space="0" w:color="auto"/>
            <w:right w:val="none" w:sz="0" w:space="0" w:color="auto"/>
          </w:divBdr>
        </w:div>
        <w:div w:id="1337027655">
          <w:marLeft w:val="547"/>
          <w:marRight w:val="0"/>
          <w:marTop w:val="100"/>
          <w:marBottom w:val="0"/>
          <w:divBdr>
            <w:top w:val="none" w:sz="0" w:space="0" w:color="auto"/>
            <w:left w:val="none" w:sz="0" w:space="0" w:color="auto"/>
            <w:bottom w:val="none" w:sz="0" w:space="0" w:color="auto"/>
            <w:right w:val="none" w:sz="0" w:space="0" w:color="auto"/>
          </w:divBdr>
        </w:div>
        <w:div w:id="1577783439">
          <w:marLeft w:val="547"/>
          <w:marRight w:val="0"/>
          <w:marTop w:val="100"/>
          <w:marBottom w:val="0"/>
          <w:divBdr>
            <w:top w:val="none" w:sz="0" w:space="0" w:color="auto"/>
            <w:left w:val="none" w:sz="0" w:space="0" w:color="auto"/>
            <w:bottom w:val="none" w:sz="0" w:space="0" w:color="auto"/>
            <w:right w:val="none" w:sz="0" w:space="0" w:color="auto"/>
          </w:divBdr>
        </w:div>
        <w:div w:id="1607498573">
          <w:marLeft w:val="1080"/>
          <w:marRight w:val="0"/>
          <w:marTop w:val="0"/>
          <w:marBottom w:val="0"/>
          <w:divBdr>
            <w:top w:val="none" w:sz="0" w:space="0" w:color="auto"/>
            <w:left w:val="none" w:sz="0" w:space="0" w:color="auto"/>
            <w:bottom w:val="none" w:sz="0" w:space="0" w:color="auto"/>
            <w:right w:val="none" w:sz="0" w:space="0" w:color="auto"/>
          </w:divBdr>
        </w:div>
        <w:div w:id="1719084411">
          <w:marLeft w:val="547"/>
          <w:marRight w:val="0"/>
          <w:marTop w:val="100"/>
          <w:marBottom w:val="0"/>
          <w:divBdr>
            <w:top w:val="none" w:sz="0" w:space="0" w:color="auto"/>
            <w:left w:val="none" w:sz="0" w:space="0" w:color="auto"/>
            <w:bottom w:val="none" w:sz="0" w:space="0" w:color="auto"/>
            <w:right w:val="none" w:sz="0" w:space="0" w:color="auto"/>
          </w:divBdr>
        </w:div>
        <w:div w:id="1795126536">
          <w:marLeft w:val="547"/>
          <w:marRight w:val="0"/>
          <w:marTop w:val="100"/>
          <w:marBottom w:val="0"/>
          <w:divBdr>
            <w:top w:val="none" w:sz="0" w:space="0" w:color="auto"/>
            <w:left w:val="none" w:sz="0" w:space="0" w:color="auto"/>
            <w:bottom w:val="none" w:sz="0" w:space="0" w:color="auto"/>
            <w:right w:val="none" w:sz="0" w:space="0" w:color="auto"/>
          </w:divBdr>
        </w:div>
        <w:div w:id="2012294490">
          <w:marLeft w:val="547"/>
          <w:marRight w:val="0"/>
          <w:marTop w:val="100"/>
          <w:marBottom w:val="0"/>
          <w:divBdr>
            <w:top w:val="none" w:sz="0" w:space="0" w:color="auto"/>
            <w:left w:val="none" w:sz="0" w:space="0" w:color="auto"/>
            <w:bottom w:val="none" w:sz="0" w:space="0" w:color="auto"/>
            <w:right w:val="none" w:sz="0" w:space="0" w:color="auto"/>
          </w:divBdr>
        </w:div>
      </w:divsChild>
    </w:div>
    <w:div w:id="1485507218">
      <w:bodyDiv w:val="1"/>
      <w:marLeft w:val="0"/>
      <w:marRight w:val="0"/>
      <w:marTop w:val="0"/>
      <w:marBottom w:val="0"/>
      <w:divBdr>
        <w:top w:val="none" w:sz="0" w:space="0" w:color="auto"/>
        <w:left w:val="none" w:sz="0" w:space="0" w:color="auto"/>
        <w:bottom w:val="none" w:sz="0" w:space="0" w:color="auto"/>
        <w:right w:val="none" w:sz="0" w:space="0" w:color="auto"/>
      </w:divBdr>
      <w:divsChild>
        <w:div w:id="198932233">
          <w:marLeft w:val="547"/>
          <w:marRight w:val="0"/>
          <w:marTop w:val="160"/>
          <w:marBottom w:val="0"/>
          <w:divBdr>
            <w:top w:val="none" w:sz="0" w:space="0" w:color="auto"/>
            <w:left w:val="none" w:sz="0" w:space="0" w:color="auto"/>
            <w:bottom w:val="none" w:sz="0" w:space="0" w:color="auto"/>
            <w:right w:val="none" w:sz="0" w:space="0" w:color="auto"/>
          </w:divBdr>
        </w:div>
        <w:div w:id="756244211">
          <w:marLeft w:val="547"/>
          <w:marRight w:val="0"/>
          <w:marTop w:val="160"/>
          <w:marBottom w:val="0"/>
          <w:divBdr>
            <w:top w:val="none" w:sz="0" w:space="0" w:color="auto"/>
            <w:left w:val="none" w:sz="0" w:space="0" w:color="auto"/>
            <w:bottom w:val="none" w:sz="0" w:space="0" w:color="auto"/>
            <w:right w:val="none" w:sz="0" w:space="0" w:color="auto"/>
          </w:divBdr>
        </w:div>
        <w:div w:id="1049232781">
          <w:marLeft w:val="547"/>
          <w:marRight w:val="0"/>
          <w:marTop w:val="160"/>
          <w:marBottom w:val="0"/>
          <w:divBdr>
            <w:top w:val="none" w:sz="0" w:space="0" w:color="auto"/>
            <w:left w:val="none" w:sz="0" w:space="0" w:color="auto"/>
            <w:bottom w:val="none" w:sz="0" w:space="0" w:color="auto"/>
            <w:right w:val="none" w:sz="0" w:space="0" w:color="auto"/>
          </w:divBdr>
        </w:div>
        <w:div w:id="1299410347">
          <w:marLeft w:val="547"/>
          <w:marRight w:val="0"/>
          <w:marTop w:val="160"/>
          <w:marBottom w:val="0"/>
          <w:divBdr>
            <w:top w:val="none" w:sz="0" w:space="0" w:color="auto"/>
            <w:left w:val="none" w:sz="0" w:space="0" w:color="auto"/>
            <w:bottom w:val="none" w:sz="0" w:space="0" w:color="auto"/>
            <w:right w:val="none" w:sz="0" w:space="0" w:color="auto"/>
          </w:divBdr>
        </w:div>
      </w:divsChild>
    </w:div>
    <w:div w:id="1497039847">
      <w:bodyDiv w:val="1"/>
      <w:marLeft w:val="0"/>
      <w:marRight w:val="0"/>
      <w:marTop w:val="0"/>
      <w:marBottom w:val="0"/>
      <w:divBdr>
        <w:top w:val="none" w:sz="0" w:space="0" w:color="auto"/>
        <w:left w:val="none" w:sz="0" w:space="0" w:color="auto"/>
        <w:bottom w:val="none" w:sz="0" w:space="0" w:color="auto"/>
        <w:right w:val="none" w:sz="0" w:space="0" w:color="auto"/>
      </w:divBdr>
      <w:divsChild>
        <w:div w:id="823742785">
          <w:marLeft w:val="547"/>
          <w:marRight w:val="0"/>
          <w:marTop w:val="300"/>
          <w:marBottom w:val="0"/>
          <w:divBdr>
            <w:top w:val="none" w:sz="0" w:space="0" w:color="auto"/>
            <w:left w:val="none" w:sz="0" w:space="0" w:color="auto"/>
            <w:bottom w:val="none" w:sz="0" w:space="0" w:color="auto"/>
            <w:right w:val="none" w:sz="0" w:space="0" w:color="auto"/>
          </w:divBdr>
        </w:div>
        <w:div w:id="1104417361">
          <w:marLeft w:val="547"/>
          <w:marRight w:val="0"/>
          <w:marTop w:val="300"/>
          <w:marBottom w:val="0"/>
          <w:divBdr>
            <w:top w:val="none" w:sz="0" w:space="0" w:color="auto"/>
            <w:left w:val="none" w:sz="0" w:space="0" w:color="auto"/>
            <w:bottom w:val="none" w:sz="0" w:space="0" w:color="auto"/>
            <w:right w:val="none" w:sz="0" w:space="0" w:color="auto"/>
          </w:divBdr>
        </w:div>
        <w:div w:id="1230723604">
          <w:marLeft w:val="547"/>
          <w:marRight w:val="0"/>
          <w:marTop w:val="400"/>
          <w:marBottom w:val="0"/>
          <w:divBdr>
            <w:top w:val="none" w:sz="0" w:space="0" w:color="auto"/>
            <w:left w:val="none" w:sz="0" w:space="0" w:color="auto"/>
            <w:bottom w:val="none" w:sz="0" w:space="0" w:color="auto"/>
            <w:right w:val="none" w:sz="0" w:space="0" w:color="auto"/>
          </w:divBdr>
        </w:div>
        <w:div w:id="1993488808">
          <w:marLeft w:val="547"/>
          <w:marRight w:val="0"/>
          <w:marTop w:val="300"/>
          <w:marBottom w:val="0"/>
          <w:divBdr>
            <w:top w:val="none" w:sz="0" w:space="0" w:color="auto"/>
            <w:left w:val="none" w:sz="0" w:space="0" w:color="auto"/>
            <w:bottom w:val="none" w:sz="0" w:space="0" w:color="auto"/>
            <w:right w:val="none" w:sz="0" w:space="0" w:color="auto"/>
          </w:divBdr>
        </w:div>
        <w:div w:id="2007004321">
          <w:marLeft w:val="547"/>
          <w:marRight w:val="0"/>
          <w:marTop w:val="300"/>
          <w:marBottom w:val="0"/>
          <w:divBdr>
            <w:top w:val="none" w:sz="0" w:space="0" w:color="auto"/>
            <w:left w:val="none" w:sz="0" w:space="0" w:color="auto"/>
            <w:bottom w:val="none" w:sz="0" w:space="0" w:color="auto"/>
            <w:right w:val="none" w:sz="0" w:space="0" w:color="auto"/>
          </w:divBdr>
        </w:div>
      </w:divsChild>
    </w:div>
    <w:div w:id="1534658259">
      <w:bodyDiv w:val="1"/>
      <w:marLeft w:val="0"/>
      <w:marRight w:val="0"/>
      <w:marTop w:val="0"/>
      <w:marBottom w:val="0"/>
      <w:divBdr>
        <w:top w:val="none" w:sz="0" w:space="0" w:color="auto"/>
        <w:left w:val="none" w:sz="0" w:space="0" w:color="auto"/>
        <w:bottom w:val="none" w:sz="0" w:space="0" w:color="auto"/>
        <w:right w:val="none" w:sz="0" w:space="0" w:color="auto"/>
      </w:divBdr>
      <w:divsChild>
        <w:div w:id="94980654">
          <w:marLeft w:val="850"/>
          <w:marRight w:val="0"/>
          <w:marTop w:val="60"/>
          <w:marBottom w:val="0"/>
          <w:divBdr>
            <w:top w:val="none" w:sz="0" w:space="0" w:color="auto"/>
            <w:left w:val="none" w:sz="0" w:space="0" w:color="auto"/>
            <w:bottom w:val="none" w:sz="0" w:space="0" w:color="auto"/>
            <w:right w:val="none" w:sz="0" w:space="0" w:color="auto"/>
          </w:divBdr>
        </w:div>
        <w:div w:id="494490036">
          <w:marLeft w:val="1426"/>
          <w:marRight w:val="0"/>
          <w:marTop w:val="120"/>
          <w:marBottom w:val="0"/>
          <w:divBdr>
            <w:top w:val="none" w:sz="0" w:space="0" w:color="auto"/>
            <w:left w:val="none" w:sz="0" w:space="0" w:color="auto"/>
            <w:bottom w:val="none" w:sz="0" w:space="0" w:color="auto"/>
            <w:right w:val="none" w:sz="0" w:space="0" w:color="auto"/>
          </w:divBdr>
        </w:div>
        <w:div w:id="498692056">
          <w:marLeft w:val="2146"/>
          <w:marRight w:val="0"/>
          <w:marTop w:val="120"/>
          <w:marBottom w:val="0"/>
          <w:divBdr>
            <w:top w:val="none" w:sz="0" w:space="0" w:color="auto"/>
            <w:left w:val="none" w:sz="0" w:space="0" w:color="auto"/>
            <w:bottom w:val="none" w:sz="0" w:space="0" w:color="auto"/>
            <w:right w:val="none" w:sz="0" w:space="0" w:color="auto"/>
          </w:divBdr>
        </w:div>
        <w:div w:id="510532004">
          <w:marLeft w:val="1267"/>
          <w:marRight w:val="0"/>
          <w:marTop w:val="120"/>
          <w:marBottom w:val="0"/>
          <w:divBdr>
            <w:top w:val="none" w:sz="0" w:space="0" w:color="auto"/>
            <w:left w:val="none" w:sz="0" w:space="0" w:color="auto"/>
            <w:bottom w:val="none" w:sz="0" w:space="0" w:color="auto"/>
            <w:right w:val="none" w:sz="0" w:space="0" w:color="auto"/>
          </w:divBdr>
        </w:div>
        <w:div w:id="545071790">
          <w:marLeft w:val="1426"/>
          <w:marRight w:val="0"/>
          <w:marTop w:val="120"/>
          <w:marBottom w:val="0"/>
          <w:divBdr>
            <w:top w:val="none" w:sz="0" w:space="0" w:color="auto"/>
            <w:left w:val="none" w:sz="0" w:space="0" w:color="auto"/>
            <w:bottom w:val="none" w:sz="0" w:space="0" w:color="auto"/>
            <w:right w:val="none" w:sz="0" w:space="0" w:color="auto"/>
          </w:divBdr>
        </w:div>
        <w:div w:id="1045377068">
          <w:marLeft w:val="1267"/>
          <w:marRight w:val="0"/>
          <w:marTop w:val="120"/>
          <w:marBottom w:val="0"/>
          <w:divBdr>
            <w:top w:val="none" w:sz="0" w:space="0" w:color="auto"/>
            <w:left w:val="none" w:sz="0" w:space="0" w:color="auto"/>
            <w:bottom w:val="none" w:sz="0" w:space="0" w:color="auto"/>
            <w:right w:val="none" w:sz="0" w:space="0" w:color="auto"/>
          </w:divBdr>
        </w:div>
        <w:div w:id="1186334523">
          <w:marLeft w:val="1426"/>
          <w:marRight w:val="0"/>
          <w:marTop w:val="120"/>
          <w:marBottom w:val="0"/>
          <w:divBdr>
            <w:top w:val="none" w:sz="0" w:space="0" w:color="auto"/>
            <w:left w:val="none" w:sz="0" w:space="0" w:color="auto"/>
            <w:bottom w:val="none" w:sz="0" w:space="0" w:color="auto"/>
            <w:right w:val="none" w:sz="0" w:space="0" w:color="auto"/>
          </w:divBdr>
        </w:div>
        <w:div w:id="1695690268">
          <w:marLeft w:val="850"/>
          <w:marRight w:val="0"/>
          <w:marTop w:val="60"/>
          <w:marBottom w:val="0"/>
          <w:divBdr>
            <w:top w:val="none" w:sz="0" w:space="0" w:color="auto"/>
            <w:left w:val="none" w:sz="0" w:space="0" w:color="auto"/>
            <w:bottom w:val="none" w:sz="0" w:space="0" w:color="auto"/>
            <w:right w:val="none" w:sz="0" w:space="0" w:color="auto"/>
          </w:divBdr>
        </w:div>
        <w:div w:id="2053845071">
          <w:marLeft w:val="1267"/>
          <w:marRight w:val="0"/>
          <w:marTop w:val="120"/>
          <w:marBottom w:val="0"/>
          <w:divBdr>
            <w:top w:val="none" w:sz="0" w:space="0" w:color="auto"/>
            <w:left w:val="none" w:sz="0" w:space="0" w:color="auto"/>
            <w:bottom w:val="none" w:sz="0" w:space="0" w:color="auto"/>
            <w:right w:val="none" w:sz="0" w:space="0" w:color="auto"/>
          </w:divBdr>
        </w:div>
      </w:divsChild>
    </w:div>
    <w:div w:id="1549143467">
      <w:bodyDiv w:val="1"/>
      <w:marLeft w:val="0"/>
      <w:marRight w:val="0"/>
      <w:marTop w:val="0"/>
      <w:marBottom w:val="0"/>
      <w:divBdr>
        <w:top w:val="none" w:sz="0" w:space="0" w:color="auto"/>
        <w:left w:val="none" w:sz="0" w:space="0" w:color="auto"/>
        <w:bottom w:val="none" w:sz="0" w:space="0" w:color="auto"/>
        <w:right w:val="none" w:sz="0" w:space="0" w:color="auto"/>
      </w:divBdr>
      <w:divsChild>
        <w:div w:id="392195572">
          <w:marLeft w:val="1166"/>
          <w:marRight w:val="0"/>
          <w:marTop w:val="0"/>
          <w:marBottom w:val="0"/>
          <w:divBdr>
            <w:top w:val="none" w:sz="0" w:space="0" w:color="auto"/>
            <w:left w:val="none" w:sz="0" w:space="0" w:color="auto"/>
            <w:bottom w:val="none" w:sz="0" w:space="0" w:color="auto"/>
            <w:right w:val="none" w:sz="0" w:space="0" w:color="auto"/>
          </w:divBdr>
        </w:div>
        <w:div w:id="472867732">
          <w:marLeft w:val="1166"/>
          <w:marRight w:val="0"/>
          <w:marTop w:val="0"/>
          <w:marBottom w:val="0"/>
          <w:divBdr>
            <w:top w:val="none" w:sz="0" w:space="0" w:color="auto"/>
            <w:left w:val="none" w:sz="0" w:space="0" w:color="auto"/>
            <w:bottom w:val="none" w:sz="0" w:space="0" w:color="auto"/>
            <w:right w:val="none" w:sz="0" w:space="0" w:color="auto"/>
          </w:divBdr>
        </w:div>
        <w:div w:id="812797505">
          <w:marLeft w:val="1166"/>
          <w:marRight w:val="0"/>
          <w:marTop w:val="0"/>
          <w:marBottom w:val="0"/>
          <w:divBdr>
            <w:top w:val="none" w:sz="0" w:space="0" w:color="auto"/>
            <w:left w:val="none" w:sz="0" w:space="0" w:color="auto"/>
            <w:bottom w:val="none" w:sz="0" w:space="0" w:color="auto"/>
            <w:right w:val="none" w:sz="0" w:space="0" w:color="auto"/>
          </w:divBdr>
        </w:div>
        <w:div w:id="845485416">
          <w:marLeft w:val="1166"/>
          <w:marRight w:val="0"/>
          <w:marTop w:val="0"/>
          <w:marBottom w:val="0"/>
          <w:divBdr>
            <w:top w:val="none" w:sz="0" w:space="0" w:color="auto"/>
            <w:left w:val="none" w:sz="0" w:space="0" w:color="auto"/>
            <w:bottom w:val="none" w:sz="0" w:space="0" w:color="auto"/>
            <w:right w:val="none" w:sz="0" w:space="0" w:color="auto"/>
          </w:divBdr>
        </w:div>
        <w:div w:id="885457459">
          <w:marLeft w:val="547"/>
          <w:marRight w:val="0"/>
          <w:marTop w:val="101"/>
          <w:marBottom w:val="0"/>
          <w:divBdr>
            <w:top w:val="none" w:sz="0" w:space="0" w:color="auto"/>
            <w:left w:val="none" w:sz="0" w:space="0" w:color="auto"/>
            <w:bottom w:val="none" w:sz="0" w:space="0" w:color="auto"/>
            <w:right w:val="none" w:sz="0" w:space="0" w:color="auto"/>
          </w:divBdr>
        </w:div>
        <w:div w:id="1109617570">
          <w:marLeft w:val="1166"/>
          <w:marRight w:val="0"/>
          <w:marTop w:val="0"/>
          <w:marBottom w:val="0"/>
          <w:divBdr>
            <w:top w:val="none" w:sz="0" w:space="0" w:color="auto"/>
            <w:left w:val="none" w:sz="0" w:space="0" w:color="auto"/>
            <w:bottom w:val="none" w:sz="0" w:space="0" w:color="auto"/>
            <w:right w:val="none" w:sz="0" w:space="0" w:color="auto"/>
          </w:divBdr>
        </w:div>
        <w:div w:id="1229725525">
          <w:marLeft w:val="1166"/>
          <w:marRight w:val="0"/>
          <w:marTop w:val="0"/>
          <w:marBottom w:val="0"/>
          <w:divBdr>
            <w:top w:val="none" w:sz="0" w:space="0" w:color="auto"/>
            <w:left w:val="none" w:sz="0" w:space="0" w:color="auto"/>
            <w:bottom w:val="none" w:sz="0" w:space="0" w:color="auto"/>
            <w:right w:val="none" w:sz="0" w:space="0" w:color="auto"/>
          </w:divBdr>
        </w:div>
        <w:div w:id="1959943927">
          <w:marLeft w:val="547"/>
          <w:marRight w:val="0"/>
          <w:marTop w:val="101"/>
          <w:marBottom w:val="0"/>
          <w:divBdr>
            <w:top w:val="none" w:sz="0" w:space="0" w:color="auto"/>
            <w:left w:val="none" w:sz="0" w:space="0" w:color="auto"/>
            <w:bottom w:val="none" w:sz="0" w:space="0" w:color="auto"/>
            <w:right w:val="none" w:sz="0" w:space="0" w:color="auto"/>
          </w:divBdr>
        </w:div>
      </w:divsChild>
    </w:div>
    <w:div w:id="1562793798">
      <w:bodyDiv w:val="1"/>
      <w:marLeft w:val="0"/>
      <w:marRight w:val="0"/>
      <w:marTop w:val="0"/>
      <w:marBottom w:val="0"/>
      <w:divBdr>
        <w:top w:val="none" w:sz="0" w:space="0" w:color="auto"/>
        <w:left w:val="none" w:sz="0" w:space="0" w:color="auto"/>
        <w:bottom w:val="none" w:sz="0" w:space="0" w:color="auto"/>
        <w:right w:val="none" w:sz="0" w:space="0" w:color="auto"/>
      </w:divBdr>
      <w:divsChild>
        <w:div w:id="571426653">
          <w:marLeft w:val="850"/>
          <w:marRight w:val="0"/>
          <w:marTop w:val="60"/>
          <w:marBottom w:val="0"/>
          <w:divBdr>
            <w:top w:val="none" w:sz="0" w:space="0" w:color="auto"/>
            <w:left w:val="none" w:sz="0" w:space="0" w:color="auto"/>
            <w:bottom w:val="none" w:sz="0" w:space="0" w:color="auto"/>
            <w:right w:val="none" w:sz="0" w:space="0" w:color="auto"/>
          </w:divBdr>
        </w:div>
        <w:div w:id="664750215">
          <w:marLeft w:val="1570"/>
          <w:marRight w:val="0"/>
          <w:marTop w:val="115"/>
          <w:marBottom w:val="0"/>
          <w:divBdr>
            <w:top w:val="none" w:sz="0" w:space="0" w:color="auto"/>
            <w:left w:val="none" w:sz="0" w:space="0" w:color="auto"/>
            <w:bottom w:val="none" w:sz="0" w:space="0" w:color="auto"/>
            <w:right w:val="none" w:sz="0" w:space="0" w:color="auto"/>
          </w:divBdr>
        </w:div>
        <w:div w:id="672222402">
          <w:marLeft w:val="1570"/>
          <w:marRight w:val="0"/>
          <w:marTop w:val="115"/>
          <w:marBottom w:val="0"/>
          <w:divBdr>
            <w:top w:val="none" w:sz="0" w:space="0" w:color="auto"/>
            <w:left w:val="none" w:sz="0" w:space="0" w:color="auto"/>
            <w:bottom w:val="none" w:sz="0" w:space="0" w:color="auto"/>
            <w:right w:val="none" w:sz="0" w:space="0" w:color="auto"/>
          </w:divBdr>
        </w:div>
        <w:div w:id="964654037">
          <w:marLeft w:val="850"/>
          <w:marRight w:val="0"/>
          <w:marTop w:val="60"/>
          <w:marBottom w:val="0"/>
          <w:divBdr>
            <w:top w:val="none" w:sz="0" w:space="0" w:color="auto"/>
            <w:left w:val="none" w:sz="0" w:space="0" w:color="auto"/>
            <w:bottom w:val="none" w:sz="0" w:space="0" w:color="auto"/>
            <w:right w:val="none" w:sz="0" w:space="0" w:color="auto"/>
          </w:divBdr>
        </w:div>
        <w:div w:id="1115716334">
          <w:marLeft w:val="1570"/>
          <w:marRight w:val="0"/>
          <w:marTop w:val="115"/>
          <w:marBottom w:val="0"/>
          <w:divBdr>
            <w:top w:val="none" w:sz="0" w:space="0" w:color="auto"/>
            <w:left w:val="none" w:sz="0" w:space="0" w:color="auto"/>
            <w:bottom w:val="none" w:sz="0" w:space="0" w:color="auto"/>
            <w:right w:val="none" w:sz="0" w:space="0" w:color="auto"/>
          </w:divBdr>
        </w:div>
        <w:div w:id="1825318435">
          <w:marLeft w:val="850"/>
          <w:marRight w:val="0"/>
          <w:marTop w:val="60"/>
          <w:marBottom w:val="0"/>
          <w:divBdr>
            <w:top w:val="none" w:sz="0" w:space="0" w:color="auto"/>
            <w:left w:val="none" w:sz="0" w:space="0" w:color="auto"/>
            <w:bottom w:val="none" w:sz="0" w:space="0" w:color="auto"/>
            <w:right w:val="none" w:sz="0" w:space="0" w:color="auto"/>
          </w:divBdr>
        </w:div>
        <w:div w:id="1827622958">
          <w:marLeft w:val="1570"/>
          <w:marRight w:val="0"/>
          <w:marTop w:val="115"/>
          <w:marBottom w:val="0"/>
          <w:divBdr>
            <w:top w:val="none" w:sz="0" w:space="0" w:color="auto"/>
            <w:left w:val="none" w:sz="0" w:space="0" w:color="auto"/>
            <w:bottom w:val="none" w:sz="0" w:space="0" w:color="auto"/>
            <w:right w:val="none" w:sz="0" w:space="0" w:color="auto"/>
          </w:divBdr>
        </w:div>
        <w:div w:id="1896894817">
          <w:marLeft w:val="1570"/>
          <w:marRight w:val="0"/>
          <w:marTop w:val="115"/>
          <w:marBottom w:val="0"/>
          <w:divBdr>
            <w:top w:val="none" w:sz="0" w:space="0" w:color="auto"/>
            <w:left w:val="none" w:sz="0" w:space="0" w:color="auto"/>
            <w:bottom w:val="none" w:sz="0" w:space="0" w:color="auto"/>
            <w:right w:val="none" w:sz="0" w:space="0" w:color="auto"/>
          </w:divBdr>
        </w:div>
        <w:div w:id="2137217366">
          <w:marLeft w:val="1570"/>
          <w:marRight w:val="0"/>
          <w:marTop w:val="115"/>
          <w:marBottom w:val="0"/>
          <w:divBdr>
            <w:top w:val="none" w:sz="0" w:space="0" w:color="auto"/>
            <w:left w:val="none" w:sz="0" w:space="0" w:color="auto"/>
            <w:bottom w:val="none" w:sz="0" w:space="0" w:color="auto"/>
            <w:right w:val="none" w:sz="0" w:space="0" w:color="auto"/>
          </w:divBdr>
        </w:div>
      </w:divsChild>
    </w:div>
    <w:div w:id="1591892010">
      <w:bodyDiv w:val="1"/>
      <w:marLeft w:val="0"/>
      <w:marRight w:val="0"/>
      <w:marTop w:val="0"/>
      <w:marBottom w:val="0"/>
      <w:divBdr>
        <w:top w:val="none" w:sz="0" w:space="0" w:color="auto"/>
        <w:left w:val="none" w:sz="0" w:space="0" w:color="auto"/>
        <w:bottom w:val="none" w:sz="0" w:space="0" w:color="auto"/>
        <w:right w:val="none" w:sz="0" w:space="0" w:color="auto"/>
      </w:divBdr>
    </w:div>
    <w:div w:id="1594706568">
      <w:bodyDiv w:val="1"/>
      <w:marLeft w:val="0"/>
      <w:marRight w:val="0"/>
      <w:marTop w:val="0"/>
      <w:marBottom w:val="0"/>
      <w:divBdr>
        <w:top w:val="none" w:sz="0" w:space="0" w:color="auto"/>
        <w:left w:val="none" w:sz="0" w:space="0" w:color="auto"/>
        <w:bottom w:val="none" w:sz="0" w:space="0" w:color="auto"/>
        <w:right w:val="none" w:sz="0" w:space="0" w:color="auto"/>
      </w:divBdr>
    </w:div>
    <w:div w:id="1600412570">
      <w:bodyDiv w:val="1"/>
      <w:marLeft w:val="0"/>
      <w:marRight w:val="0"/>
      <w:marTop w:val="0"/>
      <w:marBottom w:val="0"/>
      <w:divBdr>
        <w:top w:val="none" w:sz="0" w:space="0" w:color="auto"/>
        <w:left w:val="none" w:sz="0" w:space="0" w:color="auto"/>
        <w:bottom w:val="none" w:sz="0" w:space="0" w:color="auto"/>
        <w:right w:val="none" w:sz="0" w:space="0" w:color="auto"/>
      </w:divBdr>
    </w:div>
    <w:div w:id="1614246241">
      <w:bodyDiv w:val="1"/>
      <w:marLeft w:val="0"/>
      <w:marRight w:val="0"/>
      <w:marTop w:val="0"/>
      <w:marBottom w:val="0"/>
      <w:divBdr>
        <w:top w:val="none" w:sz="0" w:space="0" w:color="auto"/>
        <w:left w:val="none" w:sz="0" w:space="0" w:color="auto"/>
        <w:bottom w:val="none" w:sz="0" w:space="0" w:color="auto"/>
        <w:right w:val="none" w:sz="0" w:space="0" w:color="auto"/>
      </w:divBdr>
    </w:div>
    <w:div w:id="1671450416">
      <w:bodyDiv w:val="1"/>
      <w:marLeft w:val="0"/>
      <w:marRight w:val="0"/>
      <w:marTop w:val="0"/>
      <w:marBottom w:val="0"/>
      <w:divBdr>
        <w:top w:val="none" w:sz="0" w:space="0" w:color="auto"/>
        <w:left w:val="none" w:sz="0" w:space="0" w:color="auto"/>
        <w:bottom w:val="none" w:sz="0" w:space="0" w:color="auto"/>
        <w:right w:val="none" w:sz="0" w:space="0" w:color="auto"/>
      </w:divBdr>
    </w:div>
    <w:div w:id="1689453269">
      <w:bodyDiv w:val="1"/>
      <w:marLeft w:val="0"/>
      <w:marRight w:val="0"/>
      <w:marTop w:val="0"/>
      <w:marBottom w:val="0"/>
      <w:divBdr>
        <w:top w:val="none" w:sz="0" w:space="0" w:color="auto"/>
        <w:left w:val="none" w:sz="0" w:space="0" w:color="auto"/>
        <w:bottom w:val="none" w:sz="0" w:space="0" w:color="auto"/>
        <w:right w:val="none" w:sz="0" w:space="0" w:color="auto"/>
      </w:divBdr>
      <w:divsChild>
        <w:div w:id="628903146">
          <w:marLeft w:val="547"/>
          <w:marRight w:val="0"/>
          <w:marTop w:val="400"/>
          <w:marBottom w:val="0"/>
          <w:divBdr>
            <w:top w:val="none" w:sz="0" w:space="0" w:color="auto"/>
            <w:left w:val="none" w:sz="0" w:space="0" w:color="auto"/>
            <w:bottom w:val="none" w:sz="0" w:space="0" w:color="auto"/>
            <w:right w:val="none" w:sz="0" w:space="0" w:color="auto"/>
          </w:divBdr>
        </w:div>
        <w:div w:id="756636381">
          <w:marLeft w:val="1080"/>
          <w:marRight w:val="0"/>
          <w:marTop w:val="40"/>
          <w:marBottom w:val="0"/>
          <w:divBdr>
            <w:top w:val="none" w:sz="0" w:space="0" w:color="auto"/>
            <w:left w:val="none" w:sz="0" w:space="0" w:color="auto"/>
            <w:bottom w:val="none" w:sz="0" w:space="0" w:color="auto"/>
            <w:right w:val="none" w:sz="0" w:space="0" w:color="auto"/>
          </w:divBdr>
        </w:div>
        <w:div w:id="948127606">
          <w:marLeft w:val="547"/>
          <w:marRight w:val="0"/>
          <w:marTop w:val="100"/>
          <w:marBottom w:val="0"/>
          <w:divBdr>
            <w:top w:val="none" w:sz="0" w:space="0" w:color="auto"/>
            <w:left w:val="none" w:sz="0" w:space="0" w:color="auto"/>
            <w:bottom w:val="none" w:sz="0" w:space="0" w:color="auto"/>
            <w:right w:val="none" w:sz="0" w:space="0" w:color="auto"/>
          </w:divBdr>
        </w:div>
        <w:div w:id="1264802929">
          <w:marLeft w:val="547"/>
          <w:marRight w:val="0"/>
          <w:marTop w:val="100"/>
          <w:marBottom w:val="0"/>
          <w:divBdr>
            <w:top w:val="none" w:sz="0" w:space="0" w:color="auto"/>
            <w:left w:val="none" w:sz="0" w:space="0" w:color="auto"/>
            <w:bottom w:val="none" w:sz="0" w:space="0" w:color="auto"/>
            <w:right w:val="none" w:sz="0" w:space="0" w:color="auto"/>
          </w:divBdr>
        </w:div>
        <w:div w:id="1628314337">
          <w:marLeft w:val="1080"/>
          <w:marRight w:val="0"/>
          <w:marTop w:val="40"/>
          <w:marBottom w:val="0"/>
          <w:divBdr>
            <w:top w:val="none" w:sz="0" w:space="0" w:color="auto"/>
            <w:left w:val="none" w:sz="0" w:space="0" w:color="auto"/>
            <w:bottom w:val="none" w:sz="0" w:space="0" w:color="auto"/>
            <w:right w:val="none" w:sz="0" w:space="0" w:color="auto"/>
          </w:divBdr>
        </w:div>
        <w:div w:id="1671788563">
          <w:marLeft w:val="1080"/>
          <w:marRight w:val="0"/>
          <w:marTop w:val="40"/>
          <w:marBottom w:val="0"/>
          <w:divBdr>
            <w:top w:val="none" w:sz="0" w:space="0" w:color="auto"/>
            <w:left w:val="none" w:sz="0" w:space="0" w:color="auto"/>
            <w:bottom w:val="none" w:sz="0" w:space="0" w:color="auto"/>
            <w:right w:val="none" w:sz="0" w:space="0" w:color="auto"/>
          </w:divBdr>
        </w:div>
        <w:div w:id="2044597624">
          <w:marLeft w:val="547"/>
          <w:marRight w:val="0"/>
          <w:marTop w:val="100"/>
          <w:marBottom w:val="0"/>
          <w:divBdr>
            <w:top w:val="none" w:sz="0" w:space="0" w:color="auto"/>
            <w:left w:val="none" w:sz="0" w:space="0" w:color="auto"/>
            <w:bottom w:val="none" w:sz="0" w:space="0" w:color="auto"/>
            <w:right w:val="none" w:sz="0" w:space="0" w:color="auto"/>
          </w:divBdr>
        </w:div>
      </w:divsChild>
    </w:div>
    <w:div w:id="1714840563">
      <w:bodyDiv w:val="1"/>
      <w:marLeft w:val="0"/>
      <w:marRight w:val="0"/>
      <w:marTop w:val="0"/>
      <w:marBottom w:val="0"/>
      <w:divBdr>
        <w:top w:val="none" w:sz="0" w:space="0" w:color="auto"/>
        <w:left w:val="none" w:sz="0" w:space="0" w:color="auto"/>
        <w:bottom w:val="none" w:sz="0" w:space="0" w:color="auto"/>
        <w:right w:val="none" w:sz="0" w:space="0" w:color="auto"/>
      </w:divBdr>
    </w:div>
    <w:div w:id="1718773421">
      <w:bodyDiv w:val="1"/>
      <w:marLeft w:val="0"/>
      <w:marRight w:val="0"/>
      <w:marTop w:val="0"/>
      <w:marBottom w:val="0"/>
      <w:divBdr>
        <w:top w:val="none" w:sz="0" w:space="0" w:color="auto"/>
        <w:left w:val="none" w:sz="0" w:space="0" w:color="auto"/>
        <w:bottom w:val="none" w:sz="0" w:space="0" w:color="auto"/>
        <w:right w:val="none" w:sz="0" w:space="0" w:color="auto"/>
      </w:divBdr>
      <w:divsChild>
        <w:div w:id="230779443">
          <w:marLeft w:val="1123"/>
          <w:marRight w:val="0"/>
          <w:marTop w:val="0"/>
          <w:marBottom w:val="0"/>
          <w:divBdr>
            <w:top w:val="none" w:sz="0" w:space="0" w:color="auto"/>
            <w:left w:val="none" w:sz="0" w:space="0" w:color="auto"/>
            <w:bottom w:val="none" w:sz="0" w:space="0" w:color="auto"/>
            <w:right w:val="none" w:sz="0" w:space="0" w:color="auto"/>
          </w:divBdr>
        </w:div>
        <w:div w:id="691801348">
          <w:marLeft w:val="547"/>
          <w:marRight w:val="0"/>
          <w:marTop w:val="100"/>
          <w:marBottom w:val="0"/>
          <w:divBdr>
            <w:top w:val="none" w:sz="0" w:space="0" w:color="auto"/>
            <w:left w:val="none" w:sz="0" w:space="0" w:color="auto"/>
            <w:bottom w:val="none" w:sz="0" w:space="0" w:color="auto"/>
            <w:right w:val="none" w:sz="0" w:space="0" w:color="auto"/>
          </w:divBdr>
        </w:div>
        <w:div w:id="1101220252">
          <w:marLeft w:val="547"/>
          <w:marRight w:val="0"/>
          <w:marTop w:val="100"/>
          <w:marBottom w:val="0"/>
          <w:divBdr>
            <w:top w:val="none" w:sz="0" w:space="0" w:color="auto"/>
            <w:left w:val="none" w:sz="0" w:space="0" w:color="auto"/>
            <w:bottom w:val="none" w:sz="0" w:space="0" w:color="auto"/>
            <w:right w:val="none" w:sz="0" w:space="0" w:color="auto"/>
          </w:divBdr>
        </w:div>
        <w:div w:id="1128743379">
          <w:marLeft w:val="547"/>
          <w:marRight w:val="0"/>
          <w:marTop w:val="100"/>
          <w:marBottom w:val="0"/>
          <w:divBdr>
            <w:top w:val="none" w:sz="0" w:space="0" w:color="auto"/>
            <w:left w:val="none" w:sz="0" w:space="0" w:color="auto"/>
            <w:bottom w:val="none" w:sz="0" w:space="0" w:color="auto"/>
            <w:right w:val="none" w:sz="0" w:space="0" w:color="auto"/>
          </w:divBdr>
        </w:div>
        <w:div w:id="1244952015">
          <w:marLeft w:val="547"/>
          <w:marRight w:val="0"/>
          <w:marTop w:val="100"/>
          <w:marBottom w:val="0"/>
          <w:divBdr>
            <w:top w:val="none" w:sz="0" w:space="0" w:color="auto"/>
            <w:left w:val="none" w:sz="0" w:space="0" w:color="auto"/>
            <w:bottom w:val="none" w:sz="0" w:space="0" w:color="auto"/>
            <w:right w:val="none" w:sz="0" w:space="0" w:color="auto"/>
          </w:divBdr>
        </w:div>
        <w:div w:id="1263220113">
          <w:marLeft w:val="1123"/>
          <w:marRight w:val="0"/>
          <w:marTop w:val="0"/>
          <w:marBottom w:val="0"/>
          <w:divBdr>
            <w:top w:val="none" w:sz="0" w:space="0" w:color="auto"/>
            <w:left w:val="none" w:sz="0" w:space="0" w:color="auto"/>
            <w:bottom w:val="none" w:sz="0" w:space="0" w:color="auto"/>
            <w:right w:val="none" w:sz="0" w:space="0" w:color="auto"/>
          </w:divBdr>
        </w:div>
        <w:div w:id="2037734762">
          <w:marLeft w:val="547"/>
          <w:marRight w:val="0"/>
          <w:marTop w:val="400"/>
          <w:marBottom w:val="0"/>
          <w:divBdr>
            <w:top w:val="none" w:sz="0" w:space="0" w:color="auto"/>
            <w:left w:val="none" w:sz="0" w:space="0" w:color="auto"/>
            <w:bottom w:val="none" w:sz="0" w:space="0" w:color="auto"/>
            <w:right w:val="none" w:sz="0" w:space="0" w:color="auto"/>
          </w:divBdr>
        </w:div>
        <w:div w:id="2123375289">
          <w:marLeft w:val="1123"/>
          <w:marRight w:val="0"/>
          <w:marTop w:val="0"/>
          <w:marBottom w:val="0"/>
          <w:divBdr>
            <w:top w:val="none" w:sz="0" w:space="0" w:color="auto"/>
            <w:left w:val="none" w:sz="0" w:space="0" w:color="auto"/>
            <w:bottom w:val="none" w:sz="0" w:space="0" w:color="auto"/>
            <w:right w:val="none" w:sz="0" w:space="0" w:color="auto"/>
          </w:divBdr>
        </w:div>
      </w:divsChild>
    </w:div>
    <w:div w:id="1771126373">
      <w:bodyDiv w:val="1"/>
      <w:marLeft w:val="0"/>
      <w:marRight w:val="0"/>
      <w:marTop w:val="0"/>
      <w:marBottom w:val="0"/>
      <w:divBdr>
        <w:top w:val="none" w:sz="0" w:space="0" w:color="auto"/>
        <w:left w:val="none" w:sz="0" w:space="0" w:color="auto"/>
        <w:bottom w:val="none" w:sz="0" w:space="0" w:color="auto"/>
        <w:right w:val="none" w:sz="0" w:space="0" w:color="auto"/>
      </w:divBdr>
    </w:div>
    <w:div w:id="1803382637">
      <w:bodyDiv w:val="1"/>
      <w:marLeft w:val="0"/>
      <w:marRight w:val="0"/>
      <w:marTop w:val="0"/>
      <w:marBottom w:val="0"/>
      <w:divBdr>
        <w:top w:val="none" w:sz="0" w:space="0" w:color="auto"/>
        <w:left w:val="none" w:sz="0" w:space="0" w:color="auto"/>
        <w:bottom w:val="none" w:sz="0" w:space="0" w:color="auto"/>
        <w:right w:val="none" w:sz="0" w:space="0" w:color="auto"/>
      </w:divBdr>
      <w:divsChild>
        <w:div w:id="1519271">
          <w:marLeft w:val="1426"/>
          <w:marRight w:val="0"/>
          <w:marTop w:val="60"/>
          <w:marBottom w:val="0"/>
          <w:divBdr>
            <w:top w:val="none" w:sz="0" w:space="0" w:color="auto"/>
            <w:left w:val="none" w:sz="0" w:space="0" w:color="auto"/>
            <w:bottom w:val="none" w:sz="0" w:space="0" w:color="auto"/>
            <w:right w:val="none" w:sz="0" w:space="0" w:color="auto"/>
          </w:divBdr>
        </w:div>
        <w:div w:id="213734694">
          <w:marLeft w:val="1426"/>
          <w:marRight w:val="0"/>
          <w:marTop w:val="60"/>
          <w:marBottom w:val="0"/>
          <w:divBdr>
            <w:top w:val="none" w:sz="0" w:space="0" w:color="auto"/>
            <w:left w:val="none" w:sz="0" w:space="0" w:color="auto"/>
            <w:bottom w:val="none" w:sz="0" w:space="0" w:color="auto"/>
            <w:right w:val="none" w:sz="0" w:space="0" w:color="auto"/>
          </w:divBdr>
        </w:div>
        <w:div w:id="1861889006">
          <w:marLeft w:val="1426"/>
          <w:marRight w:val="0"/>
          <w:marTop w:val="60"/>
          <w:marBottom w:val="0"/>
          <w:divBdr>
            <w:top w:val="none" w:sz="0" w:space="0" w:color="auto"/>
            <w:left w:val="none" w:sz="0" w:space="0" w:color="auto"/>
            <w:bottom w:val="none" w:sz="0" w:space="0" w:color="auto"/>
            <w:right w:val="none" w:sz="0" w:space="0" w:color="auto"/>
          </w:divBdr>
        </w:div>
      </w:divsChild>
    </w:div>
    <w:div w:id="1830636733">
      <w:bodyDiv w:val="1"/>
      <w:marLeft w:val="0"/>
      <w:marRight w:val="0"/>
      <w:marTop w:val="0"/>
      <w:marBottom w:val="0"/>
      <w:divBdr>
        <w:top w:val="none" w:sz="0" w:space="0" w:color="auto"/>
        <w:left w:val="none" w:sz="0" w:space="0" w:color="auto"/>
        <w:bottom w:val="none" w:sz="0" w:space="0" w:color="auto"/>
        <w:right w:val="none" w:sz="0" w:space="0" w:color="auto"/>
      </w:divBdr>
    </w:div>
    <w:div w:id="1847134858">
      <w:bodyDiv w:val="1"/>
      <w:marLeft w:val="0"/>
      <w:marRight w:val="0"/>
      <w:marTop w:val="0"/>
      <w:marBottom w:val="0"/>
      <w:divBdr>
        <w:top w:val="none" w:sz="0" w:space="0" w:color="auto"/>
        <w:left w:val="none" w:sz="0" w:space="0" w:color="auto"/>
        <w:bottom w:val="none" w:sz="0" w:space="0" w:color="auto"/>
        <w:right w:val="none" w:sz="0" w:space="0" w:color="auto"/>
      </w:divBdr>
      <w:divsChild>
        <w:div w:id="146241653">
          <w:marLeft w:val="1426"/>
          <w:marRight w:val="0"/>
          <w:marTop w:val="0"/>
          <w:marBottom w:val="0"/>
          <w:divBdr>
            <w:top w:val="none" w:sz="0" w:space="0" w:color="auto"/>
            <w:left w:val="none" w:sz="0" w:space="0" w:color="auto"/>
            <w:bottom w:val="none" w:sz="0" w:space="0" w:color="auto"/>
            <w:right w:val="none" w:sz="0" w:space="0" w:color="auto"/>
          </w:divBdr>
        </w:div>
        <w:div w:id="198127218">
          <w:marLeft w:val="1426"/>
          <w:marRight w:val="0"/>
          <w:marTop w:val="0"/>
          <w:marBottom w:val="0"/>
          <w:divBdr>
            <w:top w:val="none" w:sz="0" w:space="0" w:color="auto"/>
            <w:left w:val="none" w:sz="0" w:space="0" w:color="auto"/>
            <w:bottom w:val="none" w:sz="0" w:space="0" w:color="auto"/>
            <w:right w:val="none" w:sz="0" w:space="0" w:color="auto"/>
          </w:divBdr>
        </w:div>
        <w:div w:id="264505812">
          <w:marLeft w:val="1426"/>
          <w:marRight w:val="0"/>
          <w:marTop w:val="0"/>
          <w:marBottom w:val="0"/>
          <w:divBdr>
            <w:top w:val="none" w:sz="0" w:space="0" w:color="auto"/>
            <w:left w:val="none" w:sz="0" w:space="0" w:color="auto"/>
            <w:bottom w:val="none" w:sz="0" w:space="0" w:color="auto"/>
            <w:right w:val="none" w:sz="0" w:space="0" w:color="auto"/>
          </w:divBdr>
        </w:div>
        <w:div w:id="855650825">
          <w:marLeft w:val="1195"/>
          <w:marRight w:val="0"/>
          <w:marTop w:val="0"/>
          <w:marBottom w:val="0"/>
          <w:divBdr>
            <w:top w:val="none" w:sz="0" w:space="0" w:color="auto"/>
            <w:left w:val="none" w:sz="0" w:space="0" w:color="auto"/>
            <w:bottom w:val="none" w:sz="0" w:space="0" w:color="auto"/>
            <w:right w:val="none" w:sz="0" w:space="0" w:color="auto"/>
          </w:divBdr>
        </w:div>
        <w:div w:id="1070081933">
          <w:marLeft w:val="1426"/>
          <w:marRight w:val="0"/>
          <w:marTop w:val="0"/>
          <w:marBottom w:val="0"/>
          <w:divBdr>
            <w:top w:val="none" w:sz="0" w:space="0" w:color="auto"/>
            <w:left w:val="none" w:sz="0" w:space="0" w:color="auto"/>
            <w:bottom w:val="none" w:sz="0" w:space="0" w:color="auto"/>
            <w:right w:val="none" w:sz="0" w:space="0" w:color="auto"/>
          </w:divBdr>
        </w:div>
        <w:div w:id="1902062108">
          <w:marLeft w:val="1426"/>
          <w:marRight w:val="0"/>
          <w:marTop w:val="0"/>
          <w:marBottom w:val="0"/>
          <w:divBdr>
            <w:top w:val="none" w:sz="0" w:space="0" w:color="auto"/>
            <w:left w:val="none" w:sz="0" w:space="0" w:color="auto"/>
            <w:bottom w:val="none" w:sz="0" w:space="0" w:color="auto"/>
            <w:right w:val="none" w:sz="0" w:space="0" w:color="auto"/>
          </w:divBdr>
        </w:div>
      </w:divsChild>
    </w:div>
    <w:div w:id="1942226920">
      <w:bodyDiv w:val="1"/>
      <w:marLeft w:val="0"/>
      <w:marRight w:val="0"/>
      <w:marTop w:val="0"/>
      <w:marBottom w:val="0"/>
      <w:divBdr>
        <w:top w:val="none" w:sz="0" w:space="0" w:color="auto"/>
        <w:left w:val="none" w:sz="0" w:space="0" w:color="auto"/>
        <w:bottom w:val="none" w:sz="0" w:space="0" w:color="auto"/>
        <w:right w:val="none" w:sz="0" w:space="0" w:color="auto"/>
      </w:divBdr>
      <w:divsChild>
        <w:div w:id="18430639">
          <w:marLeft w:val="1354"/>
          <w:marRight w:val="0"/>
          <w:marTop w:val="0"/>
          <w:marBottom w:val="0"/>
          <w:divBdr>
            <w:top w:val="none" w:sz="0" w:space="0" w:color="auto"/>
            <w:left w:val="none" w:sz="0" w:space="0" w:color="auto"/>
            <w:bottom w:val="none" w:sz="0" w:space="0" w:color="auto"/>
            <w:right w:val="none" w:sz="0" w:space="0" w:color="auto"/>
          </w:divBdr>
        </w:div>
        <w:div w:id="257644738">
          <w:marLeft w:val="1354"/>
          <w:marRight w:val="0"/>
          <w:marTop w:val="0"/>
          <w:marBottom w:val="0"/>
          <w:divBdr>
            <w:top w:val="none" w:sz="0" w:space="0" w:color="auto"/>
            <w:left w:val="none" w:sz="0" w:space="0" w:color="auto"/>
            <w:bottom w:val="none" w:sz="0" w:space="0" w:color="auto"/>
            <w:right w:val="none" w:sz="0" w:space="0" w:color="auto"/>
          </w:divBdr>
        </w:div>
        <w:div w:id="345985787">
          <w:marLeft w:val="1354"/>
          <w:marRight w:val="0"/>
          <w:marTop w:val="0"/>
          <w:marBottom w:val="0"/>
          <w:divBdr>
            <w:top w:val="none" w:sz="0" w:space="0" w:color="auto"/>
            <w:left w:val="none" w:sz="0" w:space="0" w:color="auto"/>
            <w:bottom w:val="none" w:sz="0" w:space="0" w:color="auto"/>
            <w:right w:val="none" w:sz="0" w:space="0" w:color="auto"/>
          </w:divBdr>
        </w:div>
        <w:div w:id="932319716">
          <w:marLeft w:val="1354"/>
          <w:marRight w:val="0"/>
          <w:marTop w:val="0"/>
          <w:marBottom w:val="0"/>
          <w:divBdr>
            <w:top w:val="none" w:sz="0" w:space="0" w:color="auto"/>
            <w:left w:val="none" w:sz="0" w:space="0" w:color="auto"/>
            <w:bottom w:val="none" w:sz="0" w:space="0" w:color="auto"/>
            <w:right w:val="none" w:sz="0" w:space="0" w:color="auto"/>
          </w:divBdr>
        </w:div>
        <w:div w:id="1303924802">
          <w:marLeft w:val="1354"/>
          <w:marRight w:val="0"/>
          <w:marTop w:val="0"/>
          <w:marBottom w:val="0"/>
          <w:divBdr>
            <w:top w:val="none" w:sz="0" w:space="0" w:color="auto"/>
            <w:left w:val="none" w:sz="0" w:space="0" w:color="auto"/>
            <w:bottom w:val="none" w:sz="0" w:space="0" w:color="auto"/>
            <w:right w:val="none" w:sz="0" w:space="0" w:color="auto"/>
          </w:divBdr>
        </w:div>
        <w:div w:id="1547447857">
          <w:marLeft w:val="1354"/>
          <w:marRight w:val="0"/>
          <w:marTop w:val="0"/>
          <w:marBottom w:val="0"/>
          <w:divBdr>
            <w:top w:val="none" w:sz="0" w:space="0" w:color="auto"/>
            <w:left w:val="none" w:sz="0" w:space="0" w:color="auto"/>
            <w:bottom w:val="none" w:sz="0" w:space="0" w:color="auto"/>
            <w:right w:val="none" w:sz="0" w:space="0" w:color="auto"/>
          </w:divBdr>
        </w:div>
        <w:div w:id="1705014262">
          <w:marLeft w:val="1354"/>
          <w:marRight w:val="0"/>
          <w:marTop w:val="0"/>
          <w:marBottom w:val="0"/>
          <w:divBdr>
            <w:top w:val="none" w:sz="0" w:space="0" w:color="auto"/>
            <w:left w:val="none" w:sz="0" w:space="0" w:color="auto"/>
            <w:bottom w:val="none" w:sz="0" w:space="0" w:color="auto"/>
            <w:right w:val="none" w:sz="0" w:space="0" w:color="auto"/>
          </w:divBdr>
        </w:div>
      </w:divsChild>
    </w:div>
    <w:div w:id="1960449119">
      <w:bodyDiv w:val="1"/>
      <w:marLeft w:val="0"/>
      <w:marRight w:val="0"/>
      <w:marTop w:val="0"/>
      <w:marBottom w:val="0"/>
      <w:divBdr>
        <w:top w:val="none" w:sz="0" w:space="0" w:color="auto"/>
        <w:left w:val="none" w:sz="0" w:space="0" w:color="auto"/>
        <w:bottom w:val="none" w:sz="0" w:space="0" w:color="auto"/>
        <w:right w:val="none" w:sz="0" w:space="0" w:color="auto"/>
      </w:divBdr>
      <w:divsChild>
        <w:div w:id="712115340">
          <w:marLeft w:val="547"/>
          <w:marRight w:val="0"/>
          <w:marTop w:val="100"/>
          <w:marBottom w:val="0"/>
          <w:divBdr>
            <w:top w:val="none" w:sz="0" w:space="0" w:color="auto"/>
            <w:left w:val="none" w:sz="0" w:space="0" w:color="auto"/>
            <w:bottom w:val="none" w:sz="0" w:space="0" w:color="auto"/>
            <w:right w:val="none" w:sz="0" w:space="0" w:color="auto"/>
          </w:divBdr>
        </w:div>
        <w:div w:id="973485804">
          <w:marLeft w:val="547"/>
          <w:marRight w:val="0"/>
          <w:marTop w:val="220"/>
          <w:marBottom w:val="0"/>
          <w:divBdr>
            <w:top w:val="none" w:sz="0" w:space="0" w:color="auto"/>
            <w:left w:val="none" w:sz="0" w:space="0" w:color="auto"/>
            <w:bottom w:val="none" w:sz="0" w:space="0" w:color="auto"/>
            <w:right w:val="none" w:sz="0" w:space="0" w:color="auto"/>
          </w:divBdr>
        </w:div>
        <w:div w:id="1025982601">
          <w:marLeft w:val="1080"/>
          <w:marRight w:val="0"/>
          <w:marTop w:val="100"/>
          <w:marBottom w:val="0"/>
          <w:divBdr>
            <w:top w:val="none" w:sz="0" w:space="0" w:color="auto"/>
            <w:left w:val="none" w:sz="0" w:space="0" w:color="auto"/>
            <w:bottom w:val="none" w:sz="0" w:space="0" w:color="auto"/>
            <w:right w:val="none" w:sz="0" w:space="0" w:color="auto"/>
          </w:divBdr>
        </w:div>
        <w:div w:id="1132476512">
          <w:marLeft w:val="547"/>
          <w:marRight w:val="0"/>
          <w:marTop w:val="100"/>
          <w:marBottom w:val="0"/>
          <w:divBdr>
            <w:top w:val="none" w:sz="0" w:space="0" w:color="auto"/>
            <w:left w:val="none" w:sz="0" w:space="0" w:color="auto"/>
            <w:bottom w:val="none" w:sz="0" w:space="0" w:color="auto"/>
            <w:right w:val="none" w:sz="0" w:space="0" w:color="auto"/>
          </w:divBdr>
        </w:div>
        <w:div w:id="1347899270">
          <w:marLeft w:val="1080"/>
          <w:marRight w:val="0"/>
          <w:marTop w:val="100"/>
          <w:marBottom w:val="0"/>
          <w:divBdr>
            <w:top w:val="none" w:sz="0" w:space="0" w:color="auto"/>
            <w:left w:val="none" w:sz="0" w:space="0" w:color="auto"/>
            <w:bottom w:val="none" w:sz="0" w:space="0" w:color="auto"/>
            <w:right w:val="none" w:sz="0" w:space="0" w:color="auto"/>
          </w:divBdr>
        </w:div>
        <w:div w:id="1432167794">
          <w:marLeft w:val="1080"/>
          <w:marRight w:val="0"/>
          <w:marTop w:val="100"/>
          <w:marBottom w:val="0"/>
          <w:divBdr>
            <w:top w:val="none" w:sz="0" w:space="0" w:color="auto"/>
            <w:left w:val="none" w:sz="0" w:space="0" w:color="auto"/>
            <w:bottom w:val="none" w:sz="0" w:space="0" w:color="auto"/>
            <w:right w:val="none" w:sz="0" w:space="0" w:color="auto"/>
          </w:divBdr>
        </w:div>
        <w:div w:id="1719629046">
          <w:marLeft w:val="1080"/>
          <w:marRight w:val="0"/>
          <w:marTop w:val="100"/>
          <w:marBottom w:val="0"/>
          <w:divBdr>
            <w:top w:val="none" w:sz="0" w:space="0" w:color="auto"/>
            <w:left w:val="none" w:sz="0" w:space="0" w:color="auto"/>
            <w:bottom w:val="none" w:sz="0" w:space="0" w:color="auto"/>
            <w:right w:val="none" w:sz="0" w:space="0" w:color="auto"/>
          </w:divBdr>
        </w:div>
        <w:div w:id="2022390312">
          <w:marLeft w:val="1080"/>
          <w:marRight w:val="0"/>
          <w:marTop w:val="100"/>
          <w:marBottom w:val="0"/>
          <w:divBdr>
            <w:top w:val="none" w:sz="0" w:space="0" w:color="auto"/>
            <w:left w:val="none" w:sz="0" w:space="0" w:color="auto"/>
            <w:bottom w:val="none" w:sz="0" w:space="0" w:color="auto"/>
            <w:right w:val="none" w:sz="0" w:space="0" w:color="auto"/>
          </w:divBdr>
        </w:div>
      </w:divsChild>
    </w:div>
    <w:div w:id="1985114330">
      <w:bodyDiv w:val="1"/>
      <w:marLeft w:val="0"/>
      <w:marRight w:val="0"/>
      <w:marTop w:val="0"/>
      <w:marBottom w:val="0"/>
      <w:divBdr>
        <w:top w:val="none" w:sz="0" w:space="0" w:color="auto"/>
        <w:left w:val="none" w:sz="0" w:space="0" w:color="auto"/>
        <w:bottom w:val="none" w:sz="0" w:space="0" w:color="auto"/>
        <w:right w:val="none" w:sz="0" w:space="0" w:color="auto"/>
      </w:divBdr>
    </w:div>
    <w:div w:id="2017070978">
      <w:bodyDiv w:val="1"/>
      <w:marLeft w:val="0"/>
      <w:marRight w:val="0"/>
      <w:marTop w:val="0"/>
      <w:marBottom w:val="0"/>
      <w:divBdr>
        <w:top w:val="none" w:sz="0" w:space="0" w:color="auto"/>
        <w:left w:val="none" w:sz="0" w:space="0" w:color="auto"/>
        <w:bottom w:val="none" w:sz="0" w:space="0" w:color="auto"/>
        <w:right w:val="none" w:sz="0" w:space="0" w:color="auto"/>
      </w:divBdr>
    </w:div>
    <w:div w:id="2027823663">
      <w:bodyDiv w:val="1"/>
      <w:marLeft w:val="0"/>
      <w:marRight w:val="0"/>
      <w:marTop w:val="0"/>
      <w:marBottom w:val="0"/>
      <w:divBdr>
        <w:top w:val="none" w:sz="0" w:space="0" w:color="auto"/>
        <w:left w:val="none" w:sz="0" w:space="0" w:color="auto"/>
        <w:bottom w:val="none" w:sz="0" w:space="0" w:color="auto"/>
        <w:right w:val="none" w:sz="0" w:space="0" w:color="auto"/>
      </w:divBdr>
    </w:div>
    <w:div w:id="2076924746">
      <w:bodyDiv w:val="1"/>
      <w:marLeft w:val="0"/>
      <w:marRight w:val="0"/>
      <w:marTop w:val="0"/>
      <w:marBottom w:val="0"/>
      <w:divBdr>
        <w:top w:val="none" w:sz="0" w:space="0" w:color="auto"/>
        <w:left w:val="none" w:sz="0" w:space="0" w:color="auto"/>
        <w:bottom w:val="none" w:sz="0" w:space="0" w:color="auto"/>
        <w:right w:val="none" w:sz="0" w:space="0" w:color="auto"/>
      </w:divBdr>
      <w:divsChild>
        <w:div w:id="136150117">
          <w:marLeft w:val="763"/>
          <w:marRight w:val="0"/>
          <w:marTop w:val="0"/>
          <w:marBottom w:val="0"/>
          <w:divBdr>
            <w:top w:val="none" w:sz="0" w:space="0" w:color="auto"/>
            <w:left w:val="none" w:sz="0" w:space="0" w:color="auto"/>
            <w:bottom w:val="none" w:sz="0" w:space="0" w:color="auto"/>
            <w:right w:val="none" w:sz="0" w:space="0" w:color="auto"/>
          </w:divBdr>
        </w:div>
        <w:div w:id="390353790">
          <w:marLeft w:val="1987"/>
          <w:marRight w:val="0"/>
          <w:marTop w:val="0"/>
          <w:marBottom w:val="0"/>
          <w:divBdr>
            <w:top w:val="none" w:sz="0" w:space="0" w:color="auto"/>
            <w:left w:val="none" w:sz="0" w:space="0" w:color="auto"/>
            <w:bottom w:val="none" w:sz="0" w:space="0" w:color="auto"/>
            <w:right w:val="none" w:sz="0" w:space="0" w:color="auto"/>
          </w:divBdr>
        </w:div>
        <w:div w:id="878736989">
          <w:marLeft w:val="1987"/>
          <w:marRight w:val="0"/>
          <w:marTop w:val="0"/>
          <w:marBottom w:val="0"/>
          <w:divBdr>
            <w:top w:val="none" w:sz="0" w:space="0" w:color="auto"/>
            <w:left w:val="none" w:sz="0" w:space="0" w:color="auto"/>
            <w:bottom w:val="none" w:sz="0" w:space="0" w:color="auto"/>
            <w:right w:val="none" w:sz="0" w:space="0" w:color="auto"/>
          </w:divBdr>
        </w:div>
        <w:div w:id="889732980">
          <w:marLeft w:val="1987"/>
          <w:marRight w:val="0"/>
          <w:marTop w:val="0"/>
          <w:marBottom w:val="0"/>
          <w:divBdr>
            <w:top w:val="none" w:sz="0" w:space="0" w:color="auto"/>
            <w:left w:val="none" w:sz="0" w:space="0" w:color="auto"/>
            <w:bottom w:val="none" w:sz="0" w:space="0" w:color="auto"/>
            <w:right w:val="none" w:sz="0" w:space="0" w:color="auto"/>
          </w:divBdr>
        </w:div>
        <w:div w:id="1772358150">
          <w:marLeft w:val="1354"/>
          <w:marRight w:val="0"/>
          <w:marTop w:val="0"/>
          <w:marBottom w:val="0"/>
          <w:divBdr>
            <w:top w:val="none" w:sz="0" w:space="0" w:color="auto"/>
            <w:left w:val="none" w:sz="0" w:space="0" w:color="auto"/>
            <w:bottom w:val="none" w:sz="0" w:space="0" w:color="auto"/>
            <w:right w:val="none" w:sz="0" w:space="0" w:color="auto"/>
          </w:divBdr>
        </w:div>
        <w:div w:id="1804686865">
          <w:marLeft w:val="1354"/>
          <w:marRight w:val="0"/>
          <w:marTop w:val="0"/>
          <w:marBottom w:val="0"/>
          <w:divBdr>
            <w:top w:val="none" w:sz="0" w:space="0" w:color="auto"/>
            <w:left w:val="none" w:sz="0" w:space="0" w:color="auto"/>
            <w:bottom w:val="none" w:sz="0" w:space="0" w:color="auto"/>
            <w:right w:val="none" w:sz="0" w:space="0" w:color="auto"/>
          </w:divBdr>
        </w:div>
        <w:div w:id="2109739594">
          <w:marLeft w:val="1987"/>
          <w:marRight w:val="0"/>
          <w:marTop w:val="0"/>
          <w:marBottom w:val="0"/>
          <w:divBdr>
            <w:top w:val="none" w:sz="0" w:space="0" w:color="auto"/>
            <w:left w:val="none" w:sz="0" w:space="0" w:color="auto"/>
            <w:bottom w:val="none" w:sz="0" w:space="0" w:color="auto"/>
            <w:right w:val="none" w:sz="0" w:space="0" w:color="auto"/>
          </w:divBdr>
        </w:div>
      </w:divsChild>
    </w:div>
    <w:div w:id="2083671158">
      <w:bodyDiv w:val="1"/>
      <w:marLeft w:val="0"/>
      <w:marRight w:val="0"/>
      <w:marTop w:val="0"/>
      <w:marBottom w:val="0"/>
      <w:divBdr>
        <w:top w:val="none" w:sz="0" w:space="0" w:color="auto"/>
        <w:left w:val="none" w:sz="0" w:space="0" w:color="auto"/>
        <w:bottom w:val="none" w:sz="0" w:space="0" w:color="auto"/>
        <w:right w:val="none" w:sz="0" w:space="0" w:color="auto"/>
      </w:divBdr>
      <w:divsChild>
        <w:div w:id="5374049">
          <w:marLeft w:val="547"/>
          <w:marRight w:val="0"/>
          <w:marTop w:val="240"/>
          <w:marBottom w:val="0"/>
          <w:divBdr>
            <w:top w:val="none" w:sz="0" w:space="0" w:color="auto"/>
            <w:left w:val="none" w:sz="0" w:space="0" w:color="auto"/>
            <w:bottom w:val="none" w:sz="0" w:space="0" w:color="auto"/>
            <w:right w:val="none" w:sz="0" w:space="0" w:color="auto"/>
          </w:divBdr>
        </w:div>
        <w:div w:id="201066056">
          <w:marLeft w:val="547"/>
          <w:marRight w:val="0"/>
          <w:marTop w:val="240"/>
          <w:marBottom w:val="0"/>
          <w:divBdr>
            <w:top w:val="none" w:sz="0" w:space="0" w:color="auto"/>
            <w:left w:val="none" w:sz="0" w:space="0" w:color="auto"/>
            <w:bottom w:val="none" w:sz="0" w:space="0" w:color="auto"/>
            <w:right w:val="none" w:sz="0" w:space="0" w:color="auto"/>
          </w:divBdr>
        </w:div>
        <w:div w:id="344357734">
          <w:marLeft w:val="547"/>
          <w:marRight w:val="0"/>
          <w:marTop w:val="240"/>
          <w:marBottom w:val="0"/>
          <w:divBdr>
            <w:top w:val="none" w:sz="0" w:space="0" w:color="auto"/>
            <w:left w:val="none" w:sz="0" w:space="0" w:color="auto"/>
            <w:bottom w:val="none" w:sz="0" w:space="0" w:color="auto"/>
            <w:right w:val="none" w:sz="0" w:space="0" w:color="auto"/>
          </w:divBdr>
        </w:div>
        <w:div w:id="430395897">
          <w:marLeft w:val="547"/>
          <w:marRight w:val="0"/>
          <w:marTop w:val="240"/>
          <w:marBottom w:val="0"/>
          <w:divBdr>
            <w:top w:val="none" w:sz="0" w:space="0" w:color="auto"/>
            <w:left w:val="none" w:sz="0" w:space="0" w:color="auto"/>
            <w:bottom w:val="none" w:sz="0" w:space="0" w:color="auto"/>
            <w:right w:val="none" w:sz="0" w:space="0" w:color="auto"/>
          </w:divBdr>
        </w:div>
        <w:div w:id="1016889001">
          <w:marLeft w:val="547"/>
          <w:marRight w:val="0"/>
          <w:marTop w:val="240"/>
          <w:marBottom w:val="0"/>
          <w:divBdr>
            <w:top w:val="none" w:sz="0" w:space="0" w:color="auto"/>
            <w:left w:val="none" w:sz="0" w:space="0" w:color="auto"/>
            <w:bottom w:val="none" w:sz="0" w:space="0" w:color="auto"/>
            <w:right w:val="none" w:sz="0" w:space="0" w:color="auto"/>
          </w:divBdr>
        </w:div>
        <w:div w:id="1313825599">
          <w:marLeft w:val="547"/>
          <w:marRight w:val="0"/>
          <w:marTop w:val="240"/>
          <w:marBottom w:val="0"/>
          <w:divBdr>
            <w:top w:val="none" w:sz="0" w:space="0" w:color="auto"/>
            <w:left w:val="none" w:sz="0" w:space="0" w:color="auto"/>
            <w:bottom w:val="none" w:sz="0" w:space="0" w:color="auto"/>
            <w:right w:val="none" w:sz="0" w:space="0" w:color="auto"/>
          </w:divBdr>
        </w:div>
        <w:div w:id="1517965308">
          <w:marLeft w:val="547"/>
          <w:marRight w:val="0"/>
          <w:marTop w:val="240"/>
          <w:marBottom w:val="0"/>
          <w:divBdr>
            <w:top w:val="none" w:sz="0" w:space="0" w:color="auto"/>
            <w:left w:val="none" w:sz="0" w:space="0" w:color="auto"/>
            <w:bottom w:val="none" w:sz="0" w:space="0" w:color="auto"/>
            <w:right w:val="none" w:sz="0" w:space="0" w:color="auto"/>
          </w:divBdr>
        </w:div>
        <w:div w:id="1619989855">
          <w:marLeft w:val="547"/>
          <w:marRight w:val="0"/>
          <w:marTop w:val="240"/>
          <w:marBottom w:val="0"/>
          <w:divBdr>
            <w:top w:val="none" w:sz="0" w:space="0" w:color="auto"/>
            <w:left w:val="none" w:sz="0" w:space="0" w:color="auto"/>
            <w:bottom w:val="none" w:sz="0" w:space="0" w:color="auto"/>
            <w:right w:val="none" w:sz="0" w:space="0" w:color="auto"/>
          </w:divBdr>
        </w:div>
        <w:div w:id="1904442503">
          <w:marLeft w:val="547"/>
          <w:marRight w:val="0"/>
          <w:marTop w:val="240"/>
          <w:marBottom w:val="0"/>
          <w:divBdr>
            <w:top w:val="none" w:sz="0" w:space="0" w:color="auto"/>
            <w:left w:val="none" w:sz="0" w:space="0" w:color="auto"/>
            <w:bottom w:val="none" w:sz="0" w:space="0" w:color="auto"/>
            <w:right w:val="none" w:sz="0" w:space="0" w:color="auto"/>
          </w:divBdr>
        </w:div>
        <w:div w:id="2134397181">
          <w:marLeft w:val="547"/>
          <w:marRight w:val="0"/>
          <w:marTop w:val="240"/>
          <w:marBottom w:val="0"/>
          <w:divBdr>
            <w:top w:val="none" w:sz="0" w:space="0" w:color="auto"/>
            <w:left w:val="none" w:sz="0" w:space="0" w:color="auto"/>
            <w:bottom w:val="none" w:sz="0" w:space="0" w:color="auto"/>
            <w:right w:val="none" w:sz="0" w:space="0" w:color="auto"/>
          </w:divBdr>
        </w:div>
      </w:divsChild>
    </w:div>
    <w:div w:id="2098212285">
      <w:bodyDiv w:val="1"/>
      <w:marLeft w:val="0"/>
      <w:marRight w:val="0"/>
      <w:marTop w:val="0"/>
      <w:marBottom w:val="0"/>
      <w:divBdr>
        <w:top w:val="none" w:sz="0" w:space="0" w:color="auto"/>
        <w:left w:val="none" w:sz="0" w:space="0" w:color="auto"/>
        <w:bottom w:val="none" w:sz="0" w:space="0" w:color="auto"/>
        <w:right w:val="none" w:sz="0" w:space="0" w:color="auto"/>
      </w:divBdr>
      <w:divsChild>
        <w:div w:id="3215514">
          <w:marLeft w:val="1080"/>
          <w:marRight w:val="0"/>
          <w:marTop w:val="40"/>
          <w:marBottom w:val="0"/>
          <w:divBdr>
            <w:top w:val="none" w:sz="0" w:space="0" w:color="auto"/>
            <w:left w:val="none" w:sz="0" w:space="0" w:color="auto"/>
            <w:bottom w:val="none" w:sz="0" w:space="0" w:color="auto"/>
            <w:right w:val="none" w:sz="0" w:space="0" w:color="auto"/>
          </w:divBdr>
        </w:div>
        <w:div w:id="246353726">
          <w:marLeft w:val="1080"/>
          <w:marRight w:val="0"/>
          <w:marTop w:val="240"/>
          <w:marBottom w:val="0"/>
          <w:divBdr>
            <w:top w:val="none" w:sz="0" w:space="0" w:color="auto"/>
            <w:left w:val="none" w:sz="0" w:space="0" w:color="auto"/>
            <w:bottom w:val="none" w:sz="0" w:space="0" w:color="auto"/>
            <w:right w:val="none" w:sz="0" w:space="0" w:color="auto"/>
          </w:divBdr>
        </w:div>
        <w:div w:id="413430317">
          <w:marLeft w:val="547"/>
          <w:marRight w:val="0"/>
          <w:marTop w:val="60"/>
          <w:marBottom w:val="0"/>
          <w:divBdr>
            <w:top w:val="none" w:sz="0" w:space="0" w:color="auto"/>
            <w:left w:val="none" w:sz="0" w:space="0" w:color="auto"/>
            <w:bottom w:val="none" w:sz="0" w:space="0" w:color="auto"/>
            <w:right w:val="none" w:sz="0" w:space="0" w:color="auto"/>
          </w:divBdr>
        </w:div>
        <w:div w:id="607353931">
          <w:marLeft w:val="547"/>
          <w:marRight w:val="0"/>
          <w:marTop w:val="60"/>
          <w:marBottom w:val="0"/>
          <w:divBdr>
            <w:top w:val="none" w:sz="0" w:space="0" w:color="auto"/>
            <w:left w:val="none" w:sz="0" w:space="0" w:color="auto"/>
            <w:bottom w:val="none" w:sz="0" w:space="0" w:color="auto"/>
            <w:right w:val="none" w:sz="0" w:space="0" w:color="auto"/>
          </w:divBdr>
        </w:div>
        <w:div w:id="1800881740">
          <w:marLeft w:val="547"/>
          <w:marRight w:val="0"/>
          <w:marTop w:val="60"/>
          <w:marBottom w:val="0"/>
          <w:divBdr>
            <w:top w:val="none" w:sz="0" w:space="0" w:color="auto"/>
            <w:left w:val="none" w:sz="0" w:space="0" w:color="auto"/>
            <w:bottom w:val="none" w:sz="0" w:space="0" w:color="auto"/>
            <w:right w:val="none" w:sz="0" w:space="0" w:color="auto"/>
          </w:divBdr>
        </w:div>
      </w:divsChild>
    </w:div>
    <w:div w:id="2102485573">
      <w:bodyDiv w:val="1"/>
      <w:marLeft w:val="0"/>
      <w:marRight w:val="0"/>
      <w:marTop w:val="0"/>
      <w:marBottom w:val="0"/>
      <w:divBdr>
        <w:top w:val="none" w:sz="0" w:space="0" w:color="auto"/>
        <w:left w:val="none" w:sz="0" w:space="0" w:color="auto"/>
        <w:bottom w:val="none" w:sz="0" w:space="0" w:color="auto"/>
        <w:right w:val="none" w:sz="0" w:space="0" w:color="auto"/>
      </w:divBdr>
      <w:divsChild>
        <w:div w:id="149906916">
          <w:marLeft w:val="1685"/>
          <w:marRight w:val="0"/>
          <w:marTop w:val="60"/>
          <w:marBottom w:val="0"/>
          <w:divBdr>
            <w:top w:val="none" w:sz="0" w:space="0" w:color="auto"/>
            <w:left w:val="none" w:sz="0" w:space="0" w:color="auto"/>
            <w:bottom w:val="none" w:sz="0" w:space="0" w:color="auto"/>
            <w:right w:val="none" w:sz="0" w:space="0" w:color="auto"/>
          </w:divBdr>
        </w:div>
        <w:div w:id="789977217">
          <w:marLeft w:val="1426"/>
          <w:marRight w:val="0"/>
          <w:marTop w:val="60"/>
          <w:marBottom w:val="0"/>
          <w:divBdr>
            <w:top w:val="none" w:sz="0" w:space="0" w:color="auto"/>
            <w:left w:val="none" w:sz="0" w:space="0" w:color="auto"/>
            <w:bottom w:val="none" w:sz="0" w:space="0" w:color="auto"/>
            <w:right w:val="none" w:sz="0" w:space="0" w:color="auto"/>
          </w:divBdr>
        </w:div>
        <w:div w:id="1243758265">
          <w:marLeft w:val="965"/>
          <w:marRight w:val="0"/>
          <w:marTop w:val="60"/>
          <w:marBottom w:val="0"/>
          <w:divBdr>
            <w:top w:val="none" w:sz="0" w:space="0" w:color="auto"/>
            <w:left w:val="none" w:sz="0" w:space="0" w:color="auto"/>
            <w:bottom w:val="none" w:sz="0" w:space="0" w:color="auto"/>
            <w:right w:val="none" w:sz="0" w:space="0" w:color="auto"/>
          </w:divBdr>
        </w:div>
        <w:div w:id="1254047634">
          <w:marLeft w:val="850"/>
          <w:marRight w:val="0"/>
          <w:marTop w:val="60"/>
          <w:marBottom w:val="0"/>
          <w:divBdr>
            <w:top w:val="none" w:sz="0" w:space="0" w:color="auto"/>
            <w:left w:val="none" w:sz="0" w:space="0" w:color="auto"/>
            <w:bottom w:val="none" w:sz="0" w:space="0" w:color="auto"/>
            <w:right w:val="none" w:sz="0" w:space="0" w:color="auto"/>
          </w:divBdr>
        </w:div>
        <w:div w:id="1264652106">
          <w:marLeft w:val="1426"/>
          <w:marRight w:val="0"/>
          <w:marTop w:val="60"/>
          <w:marBottom w:val="0"/>
          <w:divBdr>
            <w:top w:val="none" w:sz="0" w:space="0" w:color="auto"/>
            <w:left w:val="none" w:sz="0" w:space="0" w:color="auto"/>
            <w:bottom w:val="none" w:sz="0" w:space="0" w:color="auto"/>
            <w:right w:val="none" w:sz="0" w:space="0" w:color="auto"/>
          </w:divBdr>
        </w:div>
        <w:div w:id="1406682723">
          <w:marLeft w:val="1426"/>
          <w:marRight w:val="0"/>
          <w:marTop w:val="60"/>
          <w:marBottom w:val="0"/>
          <w:divBdr>
            <w:top w:val="none" w:sz="0" w:space="0" w:color="auto"/>
            <w:left w:val="none" w:sz="0" w:space="0" w:color="auto"/>
            <w:bottom w:val="none" w:sz="0" w:space="0" w:color="auto"/>
            <w:right w:val="none" w:sz="0" w:space="0" w:color="auto"/>
          </w:divBdr>
        </w:div>
        <w:div w:id="1483690112">
          <w:marLeft w:val="965"/>
          <w:marRight w:val="0"/>
          <w:marTop w:val="60"/>
          <w:marBottom w:val="0"/>
          <w:divBdr>
            <w:top w:val="none" w:sz="0" w:space="0" w:color="auto"/>
            <w:left w:val="none" w:sz="0" w:space="0" w:color="auto"/>
            <w:bottom w:val="none" w:sz="0" w:space="0" w:color="auto"/>
            <w:right w:val="none" w:sz="0" w:space="0" w:color="auto"/>
          </w:divBdr>
        </w:div>
        <w:div w:id="1679191288">
          <w:marLeft w:val="1426"/>
          <w:marRight w:val="0"/>
          <w:marTop w:val="60"/>
          <w:marBottom w:val="0"/>
          <w:divBdr>
            <w:top w:val="none" w:sz="0" w:space="0" w:color="auto"/>
            <w:left w:val="none" w:sz="0" w:space="0" w:color="auto"/>
            <w:bottom w:val="none" w:sz="0" w:space="0" w:color="auto"/>
            <w:right w:val="none" w:sz="0" w:space="0" w:color="auto"/>
          </w:divBdr>
        </w:div>
        <w:div w:id="1706253329">
          <w:marLeft w:val="1426"/>
          <w:marRight w:val="0"/>
          <w:marTop w:val="60"/>
          <w:marBottom w:val="0"/>
          <w:divBdr>
            <w:top w:val="none" w:sz="0" w:space="0" w:color="auto"/>
            <w:left w:val="none" w:sz="0" w:space="0" w:color="auto"/>
            <w:bottom w:val="none" w:sz="0" w:space="0" w:color="auto"/>
            <w:right w:val="none" w:sz="0" w:space="0" w:color="auto"/>
          </w:divBdr>
        </w:div>
        <w:div w:id="1886141250">
          <w:marLeft w:val="1426"/>
          <w:marRight w:val="0"/>
          <w:marTop w:val="60"/>
          <w:marBottom w:val="0"/>
          <w:divBdr>
            <w:top w:val="none" w:sz="0" w:space="0" w:color="auto"/>
            <w:left w:val="none" w:sz="0" w:space="0" w:color="auto"/>
            <w:bottom w:val="none" w:sz="0" w:space="0" w:color="auto"/>
            <w:right w:val="none" w:sz="0" w:space="0" w:color="auto"/>
          </w:divBdr>
        </w:div>
        <w:div w:id="1955476479">
          <w:marLeft w:val="1426"/>
          <w:marRight w:val="0"/>
          <w:marTop w:val="60"/>
          <w:marBottom w:val="0"/>
          <w:divBdr>
            <w:top w:val="none" w:sz="0" w:space="0" w:color="auto"/>
            <w:left w:val="none" w:sz="0" w:space="0" w:color="auto"/>
            <w:bottom w:val="none" w:sz="0" w:space="0" w:color="auto"/>
            <w:right w:val="none" w:sz="0" w:space="0" w:color="auto"/>
          </w:divBdr>
        </w:div>
      </w:divsChild>
    </w:div>
    <w:div w:id="2125464295">
      <w:bodyDiv w:val="1"/>
      <w:marLeft w:val="0"/>
      <w:marRight w:val="0"/>
      <w:marTop w:val="0"/>
      <w:marBottom w:val="0"/>
      <w:divBdr>
        <w:top w:val="none" w:sz="0" w:space="0" w:color="auto"/>
        <w:left w:val="none" w:sz="0" w:space="0" w:color="auto"/>
        <w:bottom w:val="none" w:sz="0" w:space="0" w:color="auto"/>
        <w:right w:val="none" w:sz="0" w:space="0" w:color="auto"/>
      </w:divBdr>
    </w:div>
    <w:div w:id="2139253575">
      <w:bodyDiv w:val="1"/>
      <w:marLeft w:val="0"/>
      <w:marRight w:val="0"/>
      <w:marTop w:val="0"/>
      <w:marBottom w:val="0"/>
      <w:divBdr>
        <w:top w:val="none" w:sz="0" w:space="0" w:color="auto"/>
        <w:left w:val="none" w:sz="0" w:space="0" w:color="auto"/>
        <w:bottom w:val="none" w:sz="0" w:space="0" w:color="auto"/>
        <w:right w:val="none" w:sz="0" w:space="0" w:color="auto"/>
      </w:divBdr>
      <w:divsChild>
        <w:div w:id="71897911">
          <w:marLeft w:val="2405"/>
          <w:marRight w:val="0"/>
          <w:marTop w:val="0"/>
          <w:marBottom w:val="0"/>
          <w:divBdr>
            <w:top w:val="none" w:sz="0" w:space="0" w:color="auto"/>
            <w:left w:val="none" w:sz="0" w:space="0" w:color="auto"/>
            <w:bottom w:val="none" w:sz="0" w:space="0" w:color="auto"/>
            <w:right w:val="none" w:sz="0" w:space="0" w:color="auto"/>
          </w:divBdr>
        </w:div>
        <w:div w:id="213473643">
          <w:marLeft w:val="1426"/>
          <w:marRight w:val="0"/>
          <w:marTop w:val="255"/>
          <w:marBottom w:val="0"/>
          <w:divBdr>
            <w:top w:val="none" w:sz="0" w:space="0" w:color="auto"/>
            <w:left w:val="none" w:sz="0" w:space="0" w:color="auto"/>
            <w:bottom w:val="none" w:sz="0" w:space="0" w:color="auto"/>
            <w:right w:val="none" w:sz="0" w:space="0" w:color="auto"/>
          </w:divBdr>
        </w:div>
        <w:div w:id="373500869">
          <w:marLeft w:val="2146"/>
          <w:marRight w:val="0"/>
          <w:marTop w:val="0"/>
          <w:marBottom w:val="0"/>
          <w:divBdr>
            <w:top w:val="none" w:sz="0" w:space="0" w:color="auto"/>
            <w:left w:val="none" w:sz="0" w:space="0" w:color="auto"/>
            <w:bottom w:val="none" w:sz="0" w:space="0" w:color="auto"/>
            <w:right w:val="none" w:sz="0" w:space="0" w:color="auto"/>
          </w:divBdr>
        </w:div>
        <w:div w:id="528252319">
          <w:marLeft w:val="2146"/>
          <w:marRight w:val="0"/>
          <w:marTop w:val="0"/>
          <w:marBottom w:val="0"/>
          <w:divBdr>
            <w:top w:val="none" w:sz="0" w:space="0" w:color="auto"/>
            <w:left w:val="none" w:sz="0" w:space="0" w:color="auto"/>
            <w:bottom w:val="none" w:sz="0" w:space="0" w:color="auto"/>
            <w:right w:val="none" w:sz="0" w:space="0" w:color="auto"/>
          </w:divBdr>
        </w:div>
        <w:div w:id="699009999">
          <w:marLeft w:val="2146"/>
          <w:marRight w:val="0"/>
          <w:marTop w:val="0"/>
          <w:marBottom w:val="0"/>
          <w:divBdr>
            <w:top w:val="none" w:sz="0" w:space="0" w:color="auto"/>
            <w:left w:val="none" w:sz="0" w:space="0" w:color="auto"/>
            <w:bottom w:val="none" w:sz="0" w:space="0" w:color="auto"/>
            <w:right w:val="none" w:sz="0" w:space="0" w:color="auto"/>
          </w:divBdr>
        </w:div>
        <w:div w:id="809205171">
          <w:marLeft w:val="2146"/>
          <w:marRight w:val="0"/>
          <w:marTop w:val="0"/>
          <w:marBottom w:val="0"/>
          <w:divBdr>
            <w:top w:val="none" w:sz="0" w:space="0" w:color="auto"/>
            <w:left w:val="none" w:sz="0" w:space="0" w:color="auto"/>
            <w:bottom w:val="none" w:sz="0" w:space="0" w:color="auto"/>
            <w:right w:val="none" w:sz="0" w:space="0" w:color="auto"/>
          </w:divBdr>
        </w:div>
        <w:div w:id="858658934">
          <w:marLeft w:val="1426"/>
          <w:marRight w:val="0"/>
          <w:marTop w:val="255"/>
          <w:marBottom w:val="0"/>
          <w:divBdr>
            <w:top w:val="none" w:sz="0" w:space="0" w:color="auto"/>
            <w:left w:val="none" w:sz="0" w:space="0" w:color="auto"/>
            <w:bottom w:val="none" w:sz="0" w:space="0" w:color="auto"/>
            <w:right w:val="none" w:sz="0" w:space="0" w:color="auto"/>
          </w:divBdr>
        </w:div>
        <w:div w:id="976184237">
          <w:marLeft w:val="2146"/>
          <w:marRight w:val="0"/>
          <w:marTop w:val="0"/>
          <w:marBottom w:val="0"/>
          <w:divBdr>
            <w:top w:val="none" w:sz="0" w:space="0" w:color="auto"/>
            <w:left w:val="none" w:sz="0" w:space="0" w:color="auto"/>
            <w:bottom w:val="none" w:sz="0" w:space="0" w:color="auto"/>
            <w:right w:val="none" w:sz="0" w:space="0" w:color="auto"/>
          </w:divBdr>
        </w:div>
        <w:div w:id="1297686707">
          <w:marLeft w:val="2405"/>
          <w:marRight w:val="0"/>
          <w:marTop w:val="0"/>
          <w:marBottom w:val="0"/>
          <w:divBdr>
            <w:top w:val="none" w:sz="0" w:space="0" w:color="auto"/>
            <w:left w:val="none" w:sz="0" w:space="0" w:color="auto"/>
            <w:bottom w:val="none" w:sz="0" w:space="0" w:color="auto"/>
            <w:right w:val="none" w:sz="0" w:space="0" w:color="auto"/>
          </w:divBdr>
        </w:div>
        <w:div w:id="1478836227">
          <w:marLeft w:val="1426"/>
          <w:marRight w:val="0"/>
          <w:marTop w:val="255"/>
          <w:marBottom w:val="0"/>
          <w:divBdr>
            <w:top w:val="none" w:sz="0" w:space="0" w:color="auto"/>
            <w:left w:val="none" w:sz="0" w:space="0" w:color="auto"/>
            <w:bottom w:val="none" w:sz="0" w:space="0" w:color="auto"/>
            <w:right w:val="none" w:sz="0" w:space="0" w:color="auto"/>
          </w:divBdr>
        </w:div>
        <w:div w:id="1530022876">
          <w:marLeft w:val="1426"/>
          <w:marRight w:val="0"/>
          <w:marTop w:val="255"/>
          <w:marBottom w:val="0"/>
          <w:divBdr>
            <w:top w:val="none" w:sz="0" w:space="0" w:color="auto"/>
            <w:left w:val="none" w:sz="0" w:space="0" w:color="auto"/>
            <w:bottom w:val="none" w:sz="0" w:space="0" w:color="auto"/>
            <w:right w:val="none" w:sz="0" w:space="0" w:color="auto"/>
          </w:divBdr>
        </w:div>
        <w:div w:id="1731077974">
          <w:marLeft w:val="2146"/>
          <w:marRight w:val="0"/>
          <w:marTop w:val="0"/>
          <w:marBottom w:val="0"/>
          <w:divBdr>
            <w:top w:val="none" w:sz="0" w:space="0" w:color="auto"/>
            <w:left w:val="none" w:sz="0" w:space="0" w:color="auto"/>
            <w:bottom w:val="none" w:sz="0" w:space="0" w:color="auto"/>
            <w:right w:val="none" w:sz="0" w:space="0" w:color="auto"/>
          </w:divBdr>
        </w:div>
        <w:div w:id="1921984832">
          <w:marLeft w:val="2146"/>
          <w:marRight w:val="0"/>
          <w:marTop w:val="0"/>
          <w:marBottom w:val="0"/>
          <w:divBdr>
            <w:top w:val="none" w:sz="0" w:space="0" w:color="auto"/>
            <w:left w:val="none" w:sz="0" w:space="0" w:color="auto"/>
            <w:bottom w:val="none" w:sz="0" w:space="0" w:color="auto"/>
            <w:right w:val="none" w:sz="0" w:space="0" w:color="auto"/>
          </w:divBdr>
        </w:div>
        <w:div w:id="1980452810">
          <w:marLeft w:val="2146"/>
          <w:marRight w:val="0"/>
          <w:marTop w:val="0"/>
          <w:marBottom w:val="0"/>
          <w:divBdr>
            <w:top w:val="none" w:sz="0" w:space="0" w:color="auto"/>
            <w:left w:val="none" w:sz="0" w:space="0" w:color="auto"/>
            <w:bottom w:val="none" w:sz="0" w:space="0" w:color="auto"/>
            <w:right w:val="none" w:sz="0" w:space="0" w:color="auto"/>
          </w:divBdr>
        </w:div>
        <w:div w:id="2024168793">
          <w:marLeft w:val="2146"/>
          <w:marRight w:val="0"/>
          <w:marTop w:val="0"/>
          <w:marBottom w:val="0"/>
          <w:divBdr>
            <w:top w:val="none" w:sz="0" w:space="0" w:color="auto"/>
            <w:left w:val="none" w:sz="0" w:space="0" w:color="auto"/>
            <w:bottom w:val="none" w:sz="0" w:space="0" w:color="auto"/>
            <w:right w:val="none" w:sz="0" w:space="0" w:color="auto"/>
          </w:divBdr>
        </w:div>
        <w:div w:id="2133359133">
          <w:marLeft w:val="214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iellor.Gashi@rks-gov.net" TargetMode="External"/><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diellor.gashi@rks-gov.net" TargetMode="External"/><Relationship Id="rId10" Type="http://schemas.openxmlformats.org/officeDocument/2006/relationships/image" Target="media/image3.png"/><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hyperlink" Target="mailto:venera.cerkini@rks-gov.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64DC8-032A-4710-A520-FCD9C9424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14075</Words>
  <Characters>80233</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94120</CharactersWithSpaces>
  <SharedDoc>false</SharedDoc>
  <HLinks>
    <vt:vector size="18" baseType="variant">
      <vt:variant>
        <vt:i4>4063326</vt:i4>
      </vt:variant>
      <vt:variant>
        <vt:i4>99</vt:i4>
      </vt:variant>
      <vt:variant>
        <vt:i4>0</vt:i4>
      </vt:variant>
      <vt:variant>
        <vt:i4>5</vt:i4>
      </vt:variant>
      <vt:variant>
        <vt:lpwstr>http://www.president-office.gov.mm/en/briefing-room/speeches-and-remarks/2012/12/26/id-1320</vt:lpwstr>
      </vt:variant>
      <vt:variant>
        <vt:lpwstr/>
      </vt:variant>
      <vt:variant>
        <vt:i4>6946899</vt:i4>
      </vt:variant>
      <vt:variant>
        <vt:i4>29024</vt:i4>
      </vt:variant>
      <vt:variant>
        <vt:i4>1026</vt:i4>
      </vt:variant>
      <vt:variant>
        <vt:i4>1</vt:i4>
      </vt:variant>
      <vt:variant>
        <vt:lpwstr>Myanmar Administrative Structure[3]</vt:lpwstr>
      </vt:variant>
      <vt:variant>
        <vt:lpwstr/>
      </vt:variant>
      <vt:variant>
        <vt:i4>1638409</vt:i4>
      </vt:variant>
      <vt:variant>
        <vt:i4>63326</vt:i4>
      </vt:variant>
      <vt:variant>
        <vt:i4>1025</vt:i4>
      </vt:variant>
      <vt:variant>
        <vt:i4>1</vt:i4>
      </vt:variant>
      <vt:variant>
        <vt:lpwstr>Myanmar gov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2022-08-11T14:12:00Z</dcterms:created>
  <dcterms:modified xsi:type="dcterms:W3CDTF">2022-08-11T14:13:00Z</dcterms:modified>
</cp:coreProperties>
</file>