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D36EF" w14:textId="1C5ACEDF" w:rsidR="001933AC" w:rsidRDefault="001933AC" w:rsidP="001933AC">
      <w:pPr>
        <w:jc w:val="center"/>
        <w:rPr>
          <w:b/>
          <w:sz w:val="22"/>
          <w:szCs w:val="22"/>
        </w:rPr>
      </w:pPr>
      <w:r>
        <w:rPr>
          <w:b/>
          <w:sz w:val="22"/>
          <w:szCs w:val="22"/>
        </w:rPr>
        <w:t xml:space="preserve">MENAXHERI I EKIPIT </w:t>
      </w:r>
      <w:r w:rsidR="00D9676D">
        <w:rPr>
          <w:b/>
          <w:sz w:val="22"/>
          <w:szCs w:val="22"/>
        </w:rPr>
        <w:t>T</w:t>
      </w:r>
      <w:r>
        <w:rPr>
          <w:b/>
          <w:sz w:val="22"/>
          <w:szCs w:val="22"/>
        </w:rPr>
        <w:t>Ë MENAXHIM</w:t>
      </w:r>
      <w:r w:rsidR="00996146">
        <w:rPr>
          <w:b/>
          <w:sz w:val="22"/>
          <w:szCs w:val="22"/>
        </w:rPr>
        <w:t>IT</w:t>
      </w:r>
      <w:bookmarkStart w:id="0" w:name="_GoBack"/>
      <w:bookmarkEnd w:id="0"/>
      <w:r>
        <w:rPr>
          <w:b/>
          <w:sz w:val="22"/>
          <w:szCs w:val="22"/>
        </w:rPr>
        <w:t xml:space="preserve"> TË PROJEKTIT</w:t>
      </w:r>
    </w:p>
    <w:p w14:paraId="32715B65" w14:textId="77777777" w:rsidR="001933AC" w:rsidRPr="00B966B7" w:rsidRDefault="001933AC" w:rsidP="001933AC">
      <w:pPr>
        <w:jc w:val="center"/>
        <w:rPr>
          <w:sz w:val="22"/>
          <w:szCs w:val="22"/>
        </w:rPr>
      </w:pPr>
    </w:p>
    <w:p w14:paraId="41CC1319" w14:textId="77777777" w:rsidR="001933AC" w:rsidRPr="00B966B7" w:rsidRDefault="001933AC" w:rsidP="001933AC">
      <w:pPr>
        <w:jc w:val="center"/>
        <w:rPr>
          <w:b/>
          <w:sz w:val="22"/>
          <w:szCs w:val="22"/>
        </w:rPr>
      </w:pPr>
      <w:r>
        <w:rPr>
          <w:b/>
          <w:sz w:val="22"/>
          <w:szCs w:val="22"/>
        </w:rPr>
        <w:t>Termat e Referencës</w:t>
      </w:r>
    </w:p>
    <w:p w14:paraId="4D058504" w14:textId="77777777" w:rsidR="001933AC" w:rsidRPr="00B966B7" w:rsidRDefault="001933AC" w:rsidP="001933AC">
      <w:pPr>
        <w:jc w:val="center"/>
        <w:rPr>
          <w:b/>
          <w:sz w:val="22"/>
          <w:szCs w:val="22"/>
        </w:rPr>
      </w:pPr>
    </w:p>
    <w:p w14:paraId="67CCC99C" w14:textId="77777777" w:rsidR="001933AC" w:rsidRPr="00B966B7" w:rsidRDefault="001933AC" w:rsidP="001933AC">
      <w:pPr>
        <w:pStyle w:val="PDSHeading1"/>
        <w:tabs>
          <w:tab w:val="left" w:pos="0"/>
          <w:tab w:val="right" w:pos="720"/>
        </w:tabs>
        <w:rPr>
          <w:sz w:val="22"/>
          <w:szCs w:val="22"/>
        </w:rPr>
      </w:pPr>
      <w:r>
        <w:rPr>
          <w:sz w:val="22"/>
          <w:szCs w:val="22"/>
        </w:rPr>
        <w:t>Qëllimi i pozitës:</w:t>
      </w:r>
    </w:p>
    <w:p w14:paraId="365F59BD" w14:textId="77777777" w:rsidR="001933AC" w:rsidRPr="00B966B7" w:rsidRDefault="001933AC" w:rsidP="001933AC">
      <w:pPr>
        <w:rPr>
          <w:sz w:val="22"/>
          <w:szCs w:val="22"/>
        </w:rPr>
      </w:pPr>
    </w:p>
    <w:p w14:paraId="03026900" w14:textId="08F6CC9C" w:rsidR="001933AC" w:rsidRPr="00B966B7" w:rsidRDefault="001933AC" w:rsidP="001933AC">
      <w:pPr>
        <w:autoSpaceDE w:val="0"/>
        <w:autoSpaceDN w:val="0"/>
        <w:adjustRightInd w:val="0"/>
        <w:jc w:val="both"/>
        <w:rPr>
          <w:sz w:val="22"/>
          <w:szCs w:val="22"/>
        </w:rPr>
      </w:pPr>
      <w:r>
        <w:rPr>
          <w:sz w:val="22"/>
          <w:szCs w:val="22"/>
        </w:rPr>
        <w:t>Qeveria e Kosovës do të negociojë dhe nënshkruajë marrëveshjen për projektin FLOWS që mbështetet M</w:t>
      </w:r>
      <w:r w:rsidR="00A03C10">
        <w:rPr>
          <w:sz w:val="22"/>
          <w:szCs w:val="22"/>
        </w:rPr>
        <w:t>EA</w:t>
      </w:r>
      <w:r>
        <w:rPr>
          <w:sz w:val="22"/>
          <w:szCs w:val="22"/>
        </w:rPr>
        <w:t xml:space="preserve">-in për </w:t>
      </w:r>
      <w:r>
        <w:rPr>
          <w:color w:val="000000"/>
          <w:sz w:val="22"/>
        </w:rPr>
        <w:t>ruajtjen dhe përmirësimin e situatës së sigurisë së ujit në vend për të siguruar mjete të përmirësuara dhe të qëndrueshme të jetesës, siguri të ushqimit, furnizim me ujë dhe prodhim të energjisë elektrike; elementet esenciale që mbështesin rritjen e qëndrueshme ekonomike dhe përpjekjet për zbutjen e varfërisë.</w:t>
      </w:r>
      <w:r>
        <w:rPr>
          <w:sz w:val="22"/>
          <w:szCs w:val="22"/>
        </w:rPr>
        <w:t xml:space="preserve"> Menaxheri i Projektit do të jetë përgjegjës për të siguruar që të gjitha aspektet e projektit të zbatohen në përputhje me marrëveshjet ligjore të nënshkruara mes Bankës dhe Qeverisë së Kosovës.</w:t>
      </w:r>
    </w:p>
    <w:p w14:paraId="0E82E777" w14:textId="77777777" w:rsidR="001933AC" w:rsidRPr="00B966B7" w:rsidRDefault="001933AC" w:rsidP="001933AC">
      <w:pPr>
        <w:pStyle w:val="ListParagraph"/>
        <w:ind w:left="0"/>
        <w:rPr>
          <w:sz w:val="22"/>
          <w:szCs w:val="22"/>
        </w:rPr>
      </w:pPr>
    </w:p>
    <w:p w14:paraId="4EF67821" w14:textId="3E2E96C5" w:rsidR="001933AC" w:rsidRPr="00B966B7" w:rsidRDefault="001933AC" w:rsidP="001933AC">
      <w:pPr>
        <w:pStyle w:val="PDSHeading1"/>
        <w:tabs>
          <w:tab w:val="left" w:pos="0"/>
          <w:tab w:val="right" w:pos="720"/>
        </w:tabs>
        <w:rPr>
          <w:sz w:val="22"/>
          <w:szCs w:val="22"/>
        </w:rPr>
      </w:pPr>
      <w:r>
        <w:rPr>
          <w:sz w:val="22"/>
          <w:szCs w:val="22"/>
        </w:rPr>
        <w:t>Për objektivin e propozuar zhvillimor të projektit dhe përshkrimin përmbledhës të projektit, shih D</w:t>
      </w:r>
      <w:r w:rsidR="00134EB8">
        <w:rPr>
          <w:sz w:val="22"/>
          <w:szCs w:val="22"/>
        </w:rPr>
        <w:t xml:space="preserve">okumentin e </w:t>
      </w:r>
      <w:r>
        <w:rPr>
          <w:sz w:val="22"/>
          <w:szCs w:val="22"/>
        </w:rPr>
        <w:t>V</w:t>
      </w:r>
      <w:r w:rsidR="00996146">
        <w:rPr>
          <w:sz w:val="22"/>
          <w:szCs w:val="22"/>
        </w:rPr>
        <w:t>leresimit</w:t>
      </w:r>
      <w:r w:rsidR="00134EB8">
        <w:rPr>
          <w:sz w:val="22"/>
          <w:szCs w:val="22"/>
        </w:rPr>
        <w:t xml:space="preserve"> te </w:t>
      </w:r>
      <w:r>
        <w:rPr>
          <w:sz w:val="22"/>
          <w:szCs w:val="22"/>
        </w:rPr>
        <w:t>P</w:t>
      </w:r>
      <w:r w:rsidR="00134EB8">
        <w:rPr>
          <w:sz w:val="22"/>
          <w:szCs w:val="22"/>
        </w:rPr>
        <w:t>rojek</w:t>
      </w:r>
      <w:r w:rsidR="00746115">
        <w:rPr>
          <w:sz w:val="22"/>
          <w:szCs w:val="22"/>
        </w:rPr>
        <w:t>tit - PAD</w:t>
      </w:r>
      <w:r>
        <w:rPr>
          <w:sz w:val="22"/>
          <w:szCs w:val="22"/>
        </w:rPr>
        <w:t>-</w:t>
      </w:r>
      <w:r w:rsidR="00746115">
        <w:rPr>
          <w:sz w:val="22"/>
          <w:szCs w:val="22"/>
        </w:rPr>
        <w:t>in</w:t>
      </w:r>
    </w:p>
    <w:p w14:paraId="606B67CC" w14:textId="77777777" w:rsidR="001933AC" w:rsidRPr="00B966B7" w:rsidRDefault="001933AC" w:rsidP="001933AC">
      <w:pPr>
        <w:rPr>
          <w:sz w:val="22"/>
          <w:szCs w:val="22"/>
        </w:rPr>
      </w:pPr>
    </w:p>
    <w:p w14:paraId="1379E6D6" w14:textId="2CC65CAF" w:rsidR="001933AC" w:rsidRPr="00B966B7" w:rsidRDefault="001933AC" w:rsidP="001933AC">
      <w:pPr>
        <w:pStyle w:val="ListParagraph"/>
        <w:ind w:left="0"/>
        <w:rPr>
          <w:b/>
          <w:sz w:val="22"/>
          <w:szCs w:val="22"/>
        </w:rPr>
      </w:pPr>
      <w:r>
        <w:rPr>
          <w:b/>
          <w:sz w:val="22"/>
          <w:szCs w:val="22"/>
          <w:u w:val="single"/>
        </w:rPr>
        <w:t xml:space="preserve">Përgjegjësitë e </w:t>
      </w:r>
      <w:r w:rsidR="003D7CFC">
        <w:rPr>
          <w:b/>
          <w:sz w:val="22"/>
          <w:szCs w:val="22"/>
          <w:u w:val="single"/>
        </w:rPr>
        <w:t xml:space="preserve">Menaxherit </w:t>
      </w:r>
      <w:r>
        <w:rPr>
          <w:b/>
          <w:sz w:val="22"/>
          <w:szCs w:val="22"/>
          <w:u w:val="single"/>
        </w:rPr>
        <w:t>të EMP-së</w:t>
      </w:r>
      <w:r>
        <w:rPr>
          <w:b/>
          <w:sz w:val="22"/>
          <w:szCs w:val="22"/>
        </w:rPr>
        <w:t xml:space="preserve">: </w:t>
      </w:r>
    </w:p>
    <w:p w14:paraId="46995E88" w14:textId="77777777" w:rsidR="001933AC" w:rsidRPr="00B966B7" w:rsidRDefault="001933AC" w:rsidP="001933AC">
      <w:pPr>
        <w:rPr>
          <w:b/>
          <w:sz w:val="22"/>
          <w:szCs w:val="22"/>
        </w:rPr>
      </w:pPr>
    </w:p>
    <w:p w14:paraId="04CC697E" w14:textId="77777777" w:rsidR="001933AC" w:rsidRPr="0085472B" w:rsidRDefault="001933AC" w:rsidP="001933AC">
      <w:pPr>
        <w:spacing w:line="276" w:lineRule="auto"/>
        <w:jc w:val="both"/>
        <w:rPr>
          <w:sz w:val="22"/>
          <w:szCs w:val="22"/>
        </w:rPr>
      </w:pPr>
      <w:r>
        <w:rPr>
          <w:sz w:val="22"/>
          <w:szCs w:val="22"/>
        </w:rPr>
        <w:t>Menaxheri i Projektit duhet të ketë dituri për procedurat dhe operacionet qeveritare dhe do të ndërmarrë përgjegjësi të menaxhimit të projektit, financave, prokurimit, koordinimit dhe monitorimit. Me përgjegjësitë e deleguara tek koordinatorët, stafi teknik dhe mbështetës, Menaxheri i Programit do të kryejë detyrat e mëposhtme:</w:t>
      </w:r>
    </w:p>
    <w:p w14:paraId="30F7B155" w14:textId="77777777" w:rsidR="001933AC" w:rsidRPr="00021EDE" w:rsidRDefault="001933AC" w:rsidP="001933AC">
      <w:pPr>
        <w:pStyle w:val="ListParagraph"/>
        <w:numPr>
          <w:ilvl w:val="0"/>
          <w:numId w:val="9"/>
        </w:numPr>
        <w:spacing w:line="276" w:lineRule="auto"/>
        <w:contextualSpacing/>
        <w:jc w:val="both"/>
        <w:rPr>
          <w:sz w:val="22"/>
          <w:szCs w:val="22"/>
        </w:rPr>
      </w:pPr>
      <w:r>
        <w:rPr>
          <w:sz w:val="22"/>
          <w:szCs w:val="22"/>
        </w:rPr>
        <w:t>Menaxhimi i zbatimit të përditshëm të projektit duke udhëhequr ekipet e zbatimit dhe duke ushtruar mbikëqyrje teknike të kontratave specifike sipas projektit.</w:t>
      </w:r>
    </w:p>
    <w:p w14:paraId="295AEA50" w14:textId="77777777" w:rsidR="001933AC" w:rsidRDefault="001933AC" w:rsidP="001933AC">
      <w:pPr>
        <w:pStyle w:val="ListParagraph"/>
        <w:numPr>
          <w:ilvl w:val="0"/>
          <w:numId w:val="9"/>
        </w:numPr>
        <w:spacing w:line="276" w:lineRule="auto"/>
        <w:contextualSpacing/>
        <w:jc w:val="both"/>
        <w:rPr>
          <w:sz w:val="22"/>
          <w:szCs w:val="22"/>
        </w:rPr>
      </w:pPr>
      <w:r>
        <w:rPr>
          <w:sz w:val="22"/>
          <w:szCs w:val="22"/>
        </w:rPr>
        <w:t>Përgatitja e planeve vjetore të punës, vlerësimeve të buxhetit dhe parashikimeve të parave të gatshme për zbatimin në kohë të Projektit, dhe dorëzimi për aprovim tek Këshilli Ndërministror për Ujërat dhe Komitetit Teknik i Projektit.</w:t>
      </w:r>
    </w:p>
    <w:p w14:paraId="1FDBD023" w14:textId="77777777" w:rsidR="001933AC" w:rsidRPr="00021EDE" w:rsidRDefault="001933AC" w:rsidP="001933AC">
      <w:pPr>
        <w:pStyle w:val="ListParagraph"/>
        <w:numPr>
          <w:ilvl w:val="0"/>
          <w:numId w:val="9"/>
        </w:numPr>
        <w:spacing w:line="276" w:lineRule="auto"/>
        <w:contextualSpacing/>
        <w:jc w:val="both"/>
        <w:rPr>
          <w:sz w:val="22"/>
          <w:szCs w:val="22"/>
        </w:rPr>
      </w:pPr>
      <w:r>
        <w:rPr>
          <w:sz w:val="22"/>
          <w:szCs w:val="22"/>
        </w:rPr>
        <w:t xml:space="preserve">Ndërlidhja me Sekretariatin e KNMU-së në përgatitjen e dokumentacionit për takimet e KNMU-së; të shërbejë si sekretar për takimet e Ekipit Teknik të Projektit. </w:t>
      </w:r>
    </w:p>
    <w:p w14:paraId="4ECC96B8" w14:textId="77777777" w:rsidR="001933AC" w:rsidRPr="00021EDE" w:rsidRDefault="001933AC" w:rsidP="001933AC">
      <w:pPr>
        <w:pStyle w:val="ListParagraph"/>
        <w:numPr>
          <w:ilvl w:val="0"/>
          <w:numId w:val="9"/>
        </w:numPr>
        <w:spacing w:line="276" w:lineRule="auto"/>
        <w:contextualSpacing/>
        <w:jc w:val="both"/>
        <w:rPr>
          <w:sz w:val="22"/>
          <w:szCs w:val="22"/>
        </w:rPr>
      </w:pPr>
      <w:r>
        <w:rPr>
          <w:sz w:val="22"/>
          <w:szCs w:val="22"/>
        </w:rPr>
        <w:t>Mbikëqyrja e nxjerrjes së tenderëve dhe menaxhimi i prokurimit të të gjitha mallrave dhe shërbimeve në përputhje me udhëzimet e prokurimit të Bankës Botërore;</w:t>
      </w:r>
    </w:p>
    <w:p w14:paraId="19BF000A" w14:textId="77777777" w:rsidR="001933AC" w:rsidRPr="00021EDE" w:rsidRDefault="001933AC" w:rsidP="001933AC">
      <w:pPr>
        <w:pStyle w:val="ListParagraph"/>
        <w:numPr>
          <w:ilvl w:val="0"/>
          <w:numId w:val="9"/>
        </w:numPr>
        <w:spacing w:line="276" w:lineRule="auto"/>
        <w:contextualSpacing/>
        <w:jc w:val="both"/>
        <w:rPr>
          <w:sz w:val="22"/>
          <w:szCs w:val="22"/>
        </w:rPr>
      </w:pPr>
      <w:r>
        <w:rPr>
          <w:sz w:val="22"/>
          <w:szCs w:val="22"/>
        </w:rPr>
        <w:t>Sigurimi i mbikëqyrjes efektive dhe në kohë të kontratave të punëve dhe mallrave; identifikimi i çështjeve teknike dhe zgjidhja efektive e tyre.</w:t>
      </w:r>
    </w:p>
    <w:p w14:paraId="4F714863" w14:textId="77777777" w:rsidR="001933AC" w:rsidRPr="00021EDE" w:rsidRDefault="001933AC" w:rsidP="001933AC">
      <w:pPr>
        <w:pStyle w:val="ListParagraph"/>
        <w:numPr>
          <w:ilvl w:val="0"/>
          <w:numId w:val="9"/>
        </w:numPr>
        <w:spacing w:line="276" w:lineRule="auto"/>
        <w:contextualSpacing/>
        <w:jc w:val="both"/>
        <w:rPr>
          <w:sz w:val="22"/>
          <w:szCs w:val="22"/>
        </w:rPr>
      </w:pPr>
      <w:r>
        <w:rPr>
          <w:sz w:val="22"/>
          <w:szCs w:val="22"/>
        </w:rPr>
        <w:t>Mbikëqyrja e zbatimit dhe dokumentimi i instrumenteve të masave mbrojtëse të projektit.</w:t>
      </w:r>
    </w:p>
    <w:p w14:paraId="47F2E61D" w14:textId="77777777" w:rsidR="001933AC" w:rsidRPr="00021EDE" w:rsidRDefault="001933AC" w:rsidP="001933AC">
      <w:pPr>
        <w:pStyle w:val="ListParagraph"/>
        <w:numPr>
          <w:ilvl w:val="0"/>
          <w:numId w:val="9"/>
        </w:numPr>
        <w:spacing w:line="276" w:lineRule="auto"/>
        <w:contextualSpacing/>
        <w:jc w:val="both"/>
        <w:rPr>
          <w:sz w:val="22"/>
          <w:szCs w:val="22"/>
        </w:rPr>
      </w:pPr>
      <w:r>
        <w:rPr>
          <w:sz w:val="22"/>
          <w:szCs w:val="22"/>
        </w:rPr>
        <w:t>Menaxhimi dhe mbikëqyrja efektive e konsulentëve vendorë dhe të huaj, përfshirë përgatitjen e progresit të monitorimit të realizimeve sipas kontratave të konsulentëve, dhe sigurimi i informatave kthyese sipas nevojës; koordinimi i përgjithshëm i punës së konsulentëve në përputhje me planin e përgjithshëm të zbatimit të projektit.</w:t>
      </w:r>
    </w:p>
    <w:p w14:paraId="4C72D2CE" w14:textId="77777777" w:rsidR="001933AC" w:rsidRPr="00021EDE" w:rsidRDefault="001933AC" w:rsidP="001933AC">
      <w:pPr>
        <w:pStyle w:val="ListParagraph"/>
        <w:numPr>
          <w:ilvl w:val="0"/>
          <w:numId w:val="9"/>
        </w:numPr>
        <w:spacing w:line="276" w:lineRule="auto"/>
        <w:contextualSpacing/>
        <w:jc w:val="both"/>
        <w:rPr>
          <w:sz w:val="22"/>
          <w:szCs w:val="22"/>
        </w:rPr>
      </w:pPr>
      <w:r>
        <w:rPr>
          <w:sz w:val="22"/>
          <w:szCs w:val="22"/>
        </w:rPr>
        <w:t xml:space="preserve">Monitorimi i buxhetit të projektit në baza të rregullta për të përmbushur nevojat e përditshme, ngritja e kërkesës për pagesa për shpenzimet e projektit, monitorimi i fondeve në dispozicion në llogaritë e përcaktuara, duke siguruar që kërkesat për tërheqje të paraqiten në kohën e duhur, sipas parashikimit të parave të gatshme. </w:t>
      </w:r>
    </w:p>
    <w:p w14:paraId="6C0E14BB" w14:textId="77777777" w:rsidR="001933AC" w:rsidRDefault="001933AC" w:rsidP="001933AC">
      <w:pPr>
        <w:pStyle w:val="ListParagraph"/>
        <w:numPr>
          <w:ilvl w:val="0"/>
          <w:numId w:val="9"/>
        </w:numPr>
        <w:spacing w:line="276" w:lineRule="auto"/>
        <w:contextualSpacing/>
        <w:jc w:val="both"/>
        <w:rPr>
          <w:sz w:val="22"/>
          <w:szCs w:val="22"/>
        </w:rPr>
      </w:pPr>
      <w:r>
        <w:rPr>
          <w:sz w:val="22"/>
          <w:szCs w:val="22"/>
        </w:rPr>
        <w:t>Monitorimi i aktiviteteve dhe raportimi për progresin e projektit duke raportuar mbi treguesit e projektit (të përshkruara në Kornizën e Rezultateve).</w:t>
      </w:r>
    </w:p>
    <w:p w14:paraId="733E3959" w14:textId="77777777" w:rsidR="001933AC" w:rsidRDefault="001933AC" w:rsidP="001933AC">
      <w:pPr>
        <w:pStyle w:val="ListParagraph"/>
        <w:numPr>
          <w:ilvl w:val="0"/>
          <w:numId w:val="9"/>
        </w:numPr>
        <w:spacing w:line="276" w:lineRule="auto"/>
        <w:contextualSpacing/>
        <w:jc w:val="both"/>
        <w:rPr>
          <w:sz w:val="22"/>
          <w:szCs w:val="22"/>
        </w:rPr>
      </w:pPr>
      <w:r>
        <w:rPr>
          <w:sz w:val="22"/>
          <w:szCs w:val="22"/>
        </w:rPr>
        <w:t xml:space="preserve">Përgatitja e raporteve tremujore dhe vjetore të progresit të projektit siç kërkohet nga Banka dhe donatorët, si dhe përgatitja e raporteve të rregullta për Qeverinë, siç kërkohen. </w:t>
      </w:r>
    </w:p>
    <w:p w14:paraId="352B0F6E" w14:textId="73BCAAE7" w:rsidR="001933AC" w:rsidRPr="0085472B" w:rsidRDefault="001933AC" w:rsidP="001933AC">
      <w:pPr>
        <w:pStyle w:val="ListParagraph"/>
        <w:numPr>
          <w:ilvl w:val="0"/>
          <w:numId w:val="9"/>
        </w:numPr>
        <w:spacing w:line="276" w:lineRule="auto"/>
        <w:contextualSpacing/>
        <w:jc w:val="both"/>
        <w:rPr>
          <w:sz w:val="22"/>
          <w:szCs w:val="22"/>
        </w:rPr>
      </w:pPr>
      <w:r>
        <w:rPr>
          <w:sz w:val="22"/>
          <w:szCs w:val="22"/>
        </w:rPr>
        <w:lastRenderedPageBreak/>
        <w:t>Nën drejtimin e S</w:t>
      </w:r>
      <w:r w:rsidR="00396CBF">
        <w:rPr>
          <w:sz w:val="22"/>
          <w:szCs w:val="22"/>
        </w:rPr>
        <w:t xml:space="preserve">ekretarit </w:t>
      </w:r>
      <w:r w:rsidR="00025DA6">
        <w:rPr>
          <w:sz w:val="22"/>
          <w:szCs w:val="22"/>
        </w:rPr>
        <w:t xml:space="preserve">të </w:t>
      </w:r>
      <w:r>
        <w:rPr>
          <w:sz w:val="22"/>
          <w:szCs w:val="22"/>
        </w:rPr>
        <w:t>P</w:t>
      </w:r>
      <w:r w:rsidR="00025DA6">
        <w:rPr>
          <w:sz w:val="22"/>
          <w:szCs w:val="22"/>
        </w:rPr>
        <w:t>ërgjithshëm (SP-</w:t>
      </w:r>
      <w:r>
        <w:rPr>
          <w:sz w:val="22"/>
          <w:szCs w:val="22"/>
        </w:rPr>
        <w:t>së</w:t>
      </w:r>
      <w:r w:rsidR="00025DA6">
        <w:rPr>
          <w:sz w:val="22"/>
          <w:szCs w:val="22"/>
        </w:rPr>
        <w:t>)</w:t>
      </w:r>
      <w:r>
        <w:rPr>
          <w:sz w:val="22"/>
          <w:szCs w:val="22"/>
        </w:rPr>
        <w:t xml:space="preserve">, përfaqëson Agjencitë </w:t>
      </w:r>
      <w:r w:rsidR="00AD2F3D">
        <w:rPr>
          <w:sz w:val="22"/>
          <w:szCs w:val="22"/>
        </w:rPr>
        <w:t>Implementuese</w:t>
      </w:r>
      <w:r>
        <w:rPr>
          <w:sz w:val="22"/>
          <w:szCs w:val="22"/>
        </w:rPr>
        <w:t xml:space="preserve"> në të gjitha marrëdhëniet me Bankën Botërore dhe me konsulentët dhe kontraktorët.</w:t>
      </w:r>
    </w:p>
    <w:p w14:paraId="4FFBD1CA" w14:textId="6DFE4E12" w:rsidR="001933AC" w:rsidRPr="00A23C72" w:rsidRDefault="001933AC" w:rsidP="001933AC">
      <w:pPr>
        <w:pStyle w:val="ListNumber"/>
        <w:numPr>
          <w:ilvl w:val="0"/>
          <w:numId w:val="9"/>
        </w:numPr>
        <w:overflowPunct w:val="0"/>
        <w:autoSpaceDE w:val="0"/>
        <w:autoSpaceDN w:val="0"/>
        <w:adjustRightInd w:val="0"/>
        <w:spacing w:before="0" w:line="240" w:lineRule="auto"/>
        <w:textAlignment w:val="baseline"/>
        <w:rPr>
          <w:sz w:val="22"/>
          <w:szCs w:val="22"/>
        </w:rPr>
      </w:pPr>
      <w:r>
        <w:rPr>
          <w:sz w:val="22"/>
          <w:szCs w:val="22"/>
        </w:rPr>
        <w:t>Në aktivitetin e tij/saj, kontribuon në promovimin e Projektit dhe vetëdijesimi</w:t>
      </w:r>
      <w:r w:rsidR="00A03C10">
        <w:rPr>
          <w:sz w:val="22"/>
          <w:szCs w:val="22"/>
        </w:rPr>
        <w:t>n e publikut, si dhe ndihmon MEA-</w:t>
      </w:r>
      <w:r>
        <w:rPr>
          <w:sz w:val="22"/>
          <w:szCs w:val="22"/>
        </w:rPr>
        <w:t>in në zhvillimin e dokumenteve operative, kritereve të vlerësimit, përmirësimin e procedurave të Projektit dhe arritjen me sukses të objektivave të Projektit.</w:t>
      </w:r>
    </w:p>
    <w:p w14:paraId="0AAC22A1" w14:textId="77777777" w:rsidR="001933AC" w:rsidRDefault="001933AC" w:rsidP="001933AC">
      <w:pPr>
        <w:pStyle w:val="ListNumber"/>
        <w:numPr>
          <w:ilvl w:val="0"/>
          <w:numId w:val="9"/>
        </w:numPr>
        <w:overflowPunct w:val="0"/>
        <w:autoSpaceDE w:val="0"/>
        <w:autoSpaceDN w:val="0"/>
        <w:adjustRightInd w:val="0"/>
        <w:spacing w:before="0" w:line="240" w:lineRule="auto"/>
        <w:textAlignment w:val="baseline"/>
        <w:rPr>
          <w:sz w:val="22"/>
          <w:szCs w:val="22"/>
        </w:rPr>
      </w:pPr>
      <w:r>
        <w:rPr>
          <w:sz w:val="22"/>
          <w:szCs w:val="22"/>
        </w:rPr>
        <w:t xml:space="preserve">Mbështet Bankën Botërore dhe misionet e tjera relevante të donatorit për mbështetjen e zbatimit dhe stafin vendor dhe konsulentët për të vlerësuar progresin e projektit, kontribuon në finalizimin e përkujtesave dhe diskutimin me zyrtarë të lartë të QK-së në lidhje me rekomandimet dhe gjetjet e misionit. </w:t>
      </w:r>
    </w:p>
    <w:p w14:paraId="08B931B7" w14:textId="77777777" w:rsidR="001933AC" w:rsidRPr="00A23C72" w:rsidRDefault="001933AC" w:rsidP="001933AC">
      <w:pPr>
        <w:pStyle w:val="ListNumber"/>
        <w:numPr>
          <w:ilvl w:val="0"/>
          <w:numId w:val="9"/>
        </w:numPr>
        <w:overflowPunct w:val="0"/>
        <w:autoSpaceDE w:val="0"/>
        <w:autoSpaceDN w:val="0"/>
        <w:adjustRightInd w:val="0"/>
        <w:spacing w:before="0" w:line="240" w:lineRule="auto"/>
        <w:textAlignment w:val="baseline"/>
        <w:rPr>
          <w:sz w:val="22"/>
          <w:szCs w:val="22"/>
        </w:rPr>
      </w:pPr>
      <w:r>
        <w:rPr>
          <w:sz w:val="22"/>
          <w:szCs w:val="22"/>
        </w:rPr>
        <w:t>Raporton në mënyrë periodike tek Zyrtarët e Lartë të Ministrisë për problemet që dalin në realizimin e projekteve dhe rekomandon ndryshime për përmirësim sipas nevojës</w:t>
      </w:r>
    </w:p>
    <w:p w14:paraId="43B4E7F0" w14:textId="77777777" w:rsidR="001933AC" w:rsidRPr="0094640F" w:rsidRDefault="001933AC" w:rsidP="001933AC">
      <w:pPr>
        <w:pStyle w:val="ListNumber"/>
        <w:numPr>
          <w:ilvl w:val="0"/>
          <w:numId w:val="0"/>
        </w:numPr>
        <w:overflowPunct w:val="0"/>
        <w:autoSpaceDE w:val="0"/>
        <w:autoSpaceDN w:val="0"/>
        <w:adjustRightInd w:val="0"/>
        <w:spacing w:before="0" w:line="240" w:lineRule="auto"/>
        <w:textAlignment w:val="baseline"/>
        <w:rPr>
          <w:sz w:val="22"/>
          <w:szCs w:val="22"/>
        </w:rPr>
      </w:pPr>
    </w:p>
    <w:p w14:paraId="0E32AD58" w14:textId="5C9CEF3D" w:rsidR="001933AC" w:rsidRPr="00B966B7" w:rsidRDefault="001933AC" w:rsidP="001933AC">
      <w:pPr>
        <w:pStyle w:val="BodyText"/>
        <w:spacing w:after="0"/>
        <w:rPr>
          <w:sz w:val="22"/>
          <w:szCs w:val="22"/>
        </w:rPr>
      </w:pPr>
      <w:r>
        <w:rPr>
          <w:sz w:val="22"/>
          <w:szCs w:val="22"/>
        </w:rPr>
        <w:t>Menaxheri i Projektit është në varësi të Ministrit të M</w:t>
      </w:r>
      <w:r w:rsidR="00F8700E">
        <w:rPr>
          <w:sz w:val="22"/>
          <w:szCs w:val="22"/>
        </w:rPr>
        <w:t>EM</w:t>
      </w:r>
      <w:r>
        <w:rPr>
          <w:sz w:val="22"/>
          <w:szCs w:val="22"/>
        </w:rPr>
        <w:t>-it dhe, për çështje të përditshme, konsultohet me Sekretarin e Pë</w:t>
      </w:r>
      <w:r w:rsidR="00F8700E">
        <w:rPr>
          <w:sz w:val="22"/>
          <w:szCs w:val="22"/>
        </w:rPr>
        <w:t>rgjithshëm</w:t>
      </w:r>
      <w:r>
        <w:rPr>
          <w:sz w:val="22"/>
          <w:szCs w:val="22"/>
        </w:rPr>
        <w:t xml:space="preserve"> dhe gjithashtu ekzekuton detyra të tjera në kuadër të Projektit, siç kërkohet.</w:t>
      </w:r>
    </w:p>
    <w:p w14:paraId="4930C390" w14:textId="77777777" w:rsidR="001933AC" w:rsidRPr="00B966B7" w:rsidRDefault="001933AC" w:rsidP="001933AC">
      <w:pPr>
        <w:rPr>
          <w:b/>
          <w:sz w:val="22"/>
          <w:szCs w:val="22"/>
          <w:u w:val="single"/>
        </w:rPr>
      </w:pPr>
    </w:p>
    <w:p w14:paraId="6ECB46CC" w14:textId="77777777" w:rsidR="001933AC" w:rsidRPr="00B966B7" w:rsidRDefault="001933AC" w:rsidP="001933AC">
      <w:pPr>
        <w:rPr>
          <w:b/>
          <w:sz w:val="22"/>
          <w:szCs w:val="22"/>
          <w:u w:val="single"/>
        </w:rPr>
      </w:pPr>
      <w:r>
        <w:rPr>
          <w:b/>
          <w:sz w:val="22"/>
          <w:szCs w:val="22"/>
          <w:u w:val="single"/>
        </w:rPr>
        <w:t>Kualifikimet e nevojshme:</w:t>
      </w:r>
    </w:p>
    <w:p w14:paraId="0767F800" w14:textId="2ACC132E" w:rsidR="001933AC" w:rsidRPr="004314BE" w:rsidRDefault="001933AC" w:rsidP="001933AC">
      <w:pPr>
        <w:pStyle w:val="ListBullet"/>
        <w:numPr>
          <w:ilvl w:val="0"/>
          <w:numId w:val="7"/>
        </w:numPr>
        <w:tabs>
          <w:tab w:val="clear" w:pos="1531"/>
          <w:tab w:val="num" w:pos="720"/>
        </w:tabs>
        <w:overflowPunct w:val="0"/>
        <w:autoSpaceDE w:val="0"/>
        <w:autoSpaceDN w:val="0"/>
        <w:adjustRightInd w:val="0"/>
        <w:ind w:left="720" w:hanging="360"/>
        <w:jc w:val="both"/>
        <w:textAlignment w:val="baseline"/>
        <w:rPr>
          <w:sz w:val="22"/>
          <w:szCs w:val="22"/>
        </w:rPr>
      </w:pPr>
      <w:r>
        <w:rPr>
          <w:sz w:val="22"/>
          <w:szCs w:val="22"/>
        </w:rPr>
        <w:t xml:space="preserve">Diplomë </w:t>
      </w:r>
      <w:r w:rsidR="0094640F">
        <w:rPr>
          <w:sz w:val="22"/>
          <w:szCs w:val="22"/>
        </w:rPr>
        <w:t>Bachelor ne Menaxhment, Ekonomi, Zhvillim Biznesi</w:t>
      </w:r>
      <w:r>
        <w:rPr>
          <w:sz w:val="22"/>
          <w:szCs w:val="22"/>
        </w:rPr>
        <w:t xml:space="preserve"> (</w:t>
      </w:r>
      <w:r w:rsidR="0094640F">
        <w:rPr>
          <w:sz w:val="22"/>
          <w:szCs w:val="22"/>
        </w:rPr>
        <w:t>Master e preferueshme) apo në fusha relevante</w:t>
      </w:r>
      <w:r>
        <w:rPr>
          <w:sz w:val="22"/>
          <w:szCs w:val="22"/>
        </w:rPr>
        <w:t xml:space="preserve"> në një specializim që lidhet me termat e referencës veçanërisht </w:t>
      </w:r>
      <w:r w:rsidR="0004252A">
        <w:rPr>
          <w:sz w:val="22"/>
          <w:szCs w:val="22"/>
        </w:rPr>
        <w:t>me</w:t>
      </w:r>
      <w:r>
        <w:rPr>
          <w:sz w:val="22"/>
          <w:szCs w:val="22"/>
        </w:rPr>
        <w:t xml:space="preserve"> Inxhinierinë</w:t>
      </w:r>
      <w:r w:rsidR="0004252A">
        <w:rPr>
          <w:sz w:val="22"/>
          <w:szCs w:val="22"/>
        </w:rPr>
        <w:t xml:space="preserve">, Industrinë, </w:t>
      </w:r>
      <w:r>
        <w:rPr>
          <w:sz w:val="22"/>
          <w:szCs w:val="22"/>
        </w:rPr>
        <w:t>Studimet Mjedisore</w:t>
      </w:r>
      <w:r w:rsidR="0004252A">
        <w:rPr>
          <w:sz w:val="22"/>
          <w:szCs w:val="22"/>
        </w:rPr>
        <w:t>,</w:t>
      </w:r>
      <w:r>
        <w:rPr>
          <w:sz w:val="22"/>
          <w:szCs w:val="22"/>
        </w:rPr>
        <w:t xml:space="preserve"> ose;</w:t>
      </w:r>
    </w:p>
    <w:p w14:paraId="79E18730" w14:textId="77777777" w:rsidR="0004252A" w:rsidRDefault="001933AC" w:rsidP="001933AC">
      <w:pPr>
        <w:pStyle w:val="ListBullet"/>
        <w:numPr>
          <w:ilvl w:val="0"/>
          <w:numId w:val="7"/>
        </w:numPr>
        <w:tabs>
          <w:tab w:val="clear" w:pos="1531"/>
          <w:tab w:val="num" w:pos="720"/>
        </w:tabs>
        <w:overflowPunct w:val="0"/>
        <w:autoSpaceDE w:val="0"/>
        <w:autoSpaceDN w:val="0"/>
        <w:adjustRightInd w:val="0"/>
        <w:ind w:left="720" w:hanging="360"/>
        <w:jc w:val="both"/>
        <w:textAlignment w:val="baseline"/>
        <w:rPr>
          <w:sz w:val="22"/>
          <w:szCs w:val="22"/>
        </w:rPr>
      </w:pPr>
      <w:r>
        <w:rPr>
          <w:sz w:val="22"/>
          <w:szCs w:val="22"/>
        </w:rPr>
        <w:t>Të paktën 5 vjet përvojë profesionale</w:t>
      </w:r>
      <w:r w:rsidR="0004252A">
        <w:rPr>
          <w:sz w:val="22"/>
          <w:szCs w:val="22"/>
        </w:rPr>
        <w:t xml:space="preserve"> menaxheriale</w:t>
      </w:r>
      <w:r>
        <w:rPr>
          <w:sz w:val="22"/>
          <w:szCs w:val="22"/>
        </w:rPr>
        <w:t xml:space="preserve"> në një fushë të ngjashme të veprimtarisë; kandidati duhet të ketë provuar shkathtësitë e tij (të saj) në sektorin e</w:t>
      </w:r>
      <w:r w:rsidR="0004252A">
        <w:rPr>
          <w:sz w:val="22"/>
          <w:szCs w:val="22"/>
        </w:rPr>
        <w:t xml:space="preserve"> menaxhimit të projekteve në fushën e</w:t>
      </w:r>
      <w:r>
        <w:rPr>
          <w:sz w:val="22"/>
          <w:szCs w:val="22"/>
        </w:rPr>
        <w:t xml:space="preserve"> ujërave, bujqësi dhe zhvillimin rural, monitorim dhe vlerësim të projekteve në ndërtimin e institucioneve dhe kapaciteteve; </w:t>
      </w:r>
    </w:p>
    <w:p w14:paraId="2F27AB40" w14:textId="0A76B948" w:rsidR="0004252A" w:rsidRDefault="0004252A" w:rsidP="0004252A">
      <w:pPr>
        <w:pStyle w:val="ListBullet"/>
        <w:numPr>
          <w:ilvl w:val="0"/>
          <w:numId w:val="7"/>
        </w:numPr>
        <w:tabs>
          <w:tab w:val="clear" w:pos="1531"/>
          <w:tab w:val="num" w:pos="720"/>
        </w:tabs>
        <w:overflowPunct w:val="0"/>
        <w:autoSpaceDE w:val="0"/>
        <w:autoSpaceDN w:val="0"/>
        <w:adjustRightInd w:val="0"/>
        <w:ind w:left="720" w:hanging="360"/>
        <w:jc w:val="both"/>
        <w:textAlignment w:val="baseline"/>
        <w:rPr>
          <w:sz w:val="22"/>
          <w:szCs w:val="22"/>
        </w:rPr>
      </w:pPr>
      <w:r>
        <w:rPr>
          <w:sz w:val="22"/>
          <w:szCs w:val="22"/>
        </w:rPr>
        <w:t>Përvojë në menaxhimin e projekteve të mëdh</w:t>
      </w:r>
      <w:r w:rsidR="00391898">
        <w:rPr>
          <w:sz w:val="22"/>
          <w:szCs w:val="22"/>
        </w:rPr>
        <w:t>a</w:t>
      </w:r>
      <w:r>
        <w:rPr>
          <w:sz w:val="22"/>
          <w:szCs w:val="22"/>
        </w:rPr>
        <w:t>;</w:t>
      </w:r>
    </w:p>
    <w:p w14:paraId="07AEBB8D" w14:textId="2CFA5A45" w:rsidR="00391898" w:rsidRDefault="00391898" w:rsidP="0004252A">
      <w:pPr>
        <w:pStyle w:val="ListBullet"/>
        <w:numPr>
          <w:ilvl w:val="0"/>
          <w:numId w:val="7"/>
        </w:numPr>
        <w:tabs>
          <w:tab w:val="clear" w:pos="1531"/>
          <w:tab w:val="num" w:pos="720"/>
        </w:tabs>
        <w:overflowPunct w:val="0"/>
        <w:autoSpaceDE w:val="0"/>
        <w:autoSpaceDN w:val="0"/>
        <w:adjustRightInd w:val="0"/>
        <w:ind w:left="720" w:hanging="360"/>
        <w:jc w:val="both"/>
        <w:textAlignment w:val="baseline"/>
        <w:rPr>
          <w:sz w:val="22"/>
          <w:szCs w:val="22"/>
        </w:rPr>
      </w:pPr>
      <w:r>
        <w:rPr>
          <w:sz w:val="22"/>
          <w:szCs w:val="22"/>
        </w:rPr>
        <w:t>Përvojë në menaxhimin e kapaciteteve humane;</w:t>
      </w:r>
    </w:p>
    <w:p w14:paraId="1B65E24F" w14:textId="6FFFE89B" w:rsidR="00391898" w:rsidRPr="0004252A" w:rsidRDefault="00391898" w:rsidP="0004252A">
      <w:pPr>
        <w:pStyle w:val="ListBullet"/>
        <w:numPr>
          <w:ilvl w:val="0"/>
          <w:numId w:val="7"/>
        </w:numPr>
        <w:tabs>
          <w:tab w:val="clear" w:pos="1531"/>
          <w:tab w:val="num" w:pos="720"/>
        </w:tabs>
        <w:overflowPunct w:val="0"/>
        <w:autoSpaceDE w:val="0"/>
        <w:autoSpaceDN w:val="0"/>
        <w:adjustRightInd w:val="0"/>
        <w:ind w:left="720" w:hanging="360"/>
        <w:jc w:val="both"/>
        <w:textAlignment w:val="baseline"/>
        <w:rPr>
          <w:sz w:val="22"/>
          <w:szCs w:val="22"/>
        </w:rPr>
      </w:pPr>
      <w:r>
        <w:rPr>
          <w:sz w:val="22"/>
          <w:szCs w:val="22"/>
        </w:rPr>
        <w:t>Përvojë bashkëpunimi me institucionet publike si dhe njohja e proceseve brenda institucioneve publike e dëshirueshme (përbën avantazh);</w:t>
      </w:r>
    </w:p>
    <w:p w14:paraId="69DFF1D2" w14:textId="609F4908" w:rsidR="001933AC" w:rsidRPr="004314BE" w:rsidRDefault="001933AC" w:rsidP="001933AC">
      <w:pPr>
        <w:pStyle w:val="ListBullet"/>
        <w:numPr>
          <w:ilvl w:val="0"/>
          <w:numId w:val="7"/>
        </w:numPr>
        <w:tabs>
          <w:tab w:val="clear" w:pos="1531"/>
          <w:tab w:val="num" w:pos="720"/>
        </w:tabs>
        <w:overflowPunct w:val="0"/>
        <w:autoSpaceDE w:val="0"/>
        <w:autoSpaceDN w:val="0"/>
        <w:adjustRightInd w:val="0"/>
        <w:ind w:left="720" w:hanging="360"/>
        <w:jc w:val="both"/>
        <w:textAlignment w:val="baseline"/>
        <w:rPr>
          <w:sz w:val="22"/>
          <w:szCs w:val="22"/>
        </w:rPr>
      </w:pPr>
      <w:r>
        <w:rPr>
          <w:sz w:val="22"/>
          <w:szCs w:val="22"/>
        </w:rPr>
        <w:t xml:space="preserve">Përvoja duhet të përfshijë detyra në </w:t>
      </w:r>
      <w:r w:rsidR="0004252A">
        <w:rPr>
          <w:sz w:val="22"/>
          <w:szCs w:val="22"/>
        </w:rPr>
        <w:t xml:space="preserve">menaxhimin e ekipeve në </w:t>
      </w:r>
      <w:r>
        <w:rPr>
          <w:sz w:val="22"/>
          <w:szCs w:val="22"/>
        </w:rPr>
        <w:t>fushën</w:t>
      </w:r>
      <w:r w:rsidR="0004252A">
        <w:rPr>
          <w:sz w:val="22"/>
          <w:szCs w:val="22"/>
        </w:rPr>
        <w:t xml:space="preserve"> e</w:t>
      </w:r>
      <w:r>
        <w:rPr>
          <w:sz w:val="22"/>
          <w:szCs w:val="22"/>
        </w:rPr>
        <w:t xml:space="preserve"> </w:t>
      </w:r>
      <w:r w:rsidR="0004252A">
        <w:rPr>
          <w:sz w:val="22"/>
          <w:szCs w:val="22"/>
        </w:rPr>
        <w:t xml:space="preserve">operacioneve, </w:t>
      </w:r>
      <w:r>
        <w:rPr>
          <w:sz w:val="22"/>
          <w:szCs w:val="22"/>
        </w:rPr>
        <w:t xml:space="preserve">financiare dhe administrative, marrëdhëniet me publikun dhe komunikimin. </w:t>
      </w:r>
    </w:p>
    <w:p w14:paraId="4F4CF6A8" w14:textId="2A30B592" w:rsidR="001933AC" w:rsidRDefault="001933AC" w:rsidP="001933AC">
      <w:pPr>
        <w:pStyle w:val="ListBullet"/>
        <w:numPr>
          <w:ilvl w:val="0"/>
          <w:numId w:val="7"/>
        </w:numPr>
        <w:tabs>
          <w:tab w:val="clear" w:pos="1531"/>
          <w:tab w:val="num" w:pos="720"/>
        </w:tabs>
        <w:overflowPunct w:val="0"/>
        <w:autoSpaceDE w:val="0"/>
        <w:autoSpaceDN w:val="0"/>
        <w:adjustRightInd w:val="0"/>
        <w:ind w:left="720" w:hanging="360"/>
        <w:jc w:val="both"/>
        <w:textAlignment w:val="baseline"/>
        <w:rPr>
          <w:sz w:val="22"/>
          <w:szCs w:val="22"/>
        </w:rPr>
      </w:pPr>
      <w:r>
        <w:rPr>
          <w:sz w:val="22"/>
          <w:szCs w:val="22"/>
        </w:rPr>
        <w:t>Përvojë punë me organizata ndërkombëtare dhe donatorë të tjerë</w:t>
      </w:r>
      <w:r w:rsidR="0004252A">
        <w:rPr>
          <w:sz w:val="22"/>
          <w:szCs w:val="22"/>
        </w:rPr>
        <w:t xml:space="preserve"> të paktën 2 vjet (eksperienca internacionale përben avantazh)</w:t>
      </w:r>
      <w:r>
        <w:rPr>
          <w:sz w:val="22"/>
          <w:szCs w:val="22"/>
        </w:rPr>
        <w:t>;</w:t>
      </w:r>
    </w:p>
    <w:p w14:paraId="34E11287" w14:textId="1030D29A" w:rsidR="00391898" w:rsidRPr="004314BE" w:rsidRDefault="00391898" w:rsidP="001933AC">
      <w:pPr>
        <w:pStyle w:val="ListBullet"/>
        <w:numPr>
          <w:ilvl w:val="0"/>
          <w:numId w:val="7"/>
        </w:numPr>
        <w:tabs>
          <w:tab w:val="clear" w:pos="1531"/>
          <w:tab w:val="num" w:pos="720"/>
        </w:tabs>
        <w:overflowPunct w:val="0"/>
        <w:autoSpaceDE w:val="0"/>
        <w:autoSpaceDN w:val="0"/>
        <w:adjustRightInd w:val="0"/>
        <w:ind w:left="720" w:hanging="360"/>
        <w:jc w:val="both"/>
        <w:textAlignment w:val="baseline"/>
        <w:rPr>
          <w:sz w:val="22"/>
          <w:szCs w:val="22"/>
        </w:rPr>
      </w:pPr>
      <w:r>
        <w:rPr>
          <w:sz w:val="22"/>
          <w:szCs w:val="22"/>
        </w:rPr>
        <w:t>Përvojë the shkathtësi ekstenciale në hartimin, monitorimin dhe evaluimin e projekteve;</w:t>
      </w:r>
    </w:p>
    <w:p w14:paraId="569F5E0D" w14:textId="77777777" w:rsidR="001933AC" w:rsidRPr="004314BE" w:rsidRDefault="001933AC" w:rsidP="001933AC">
      <w:pPr>
        <w:pStyle w:val="ListBullet"/>
        <w:numPr>
          <w:ilvl w:val="0"/>
          <w:numId w:val="7"/>
        </w:numPr>
        <w:tabs>
          <w:tab w:val="clear" w:pos="1531"/>
          <w:tab w:val="num" w:pos="720"/>
        </w:tabs>
        <w:overflowPunct w:val="0"/>
        <w:autoSpaceDE w:val="0"/>
        <w:autoSpaceDN w:val="0"/>
        <w:adjustRightInd w:val="0"/>
        <w:ind w:left="720" w:hanging="360"/>
        <w:jc w:val="both"/>
        <w:textAlignment w:val="baseline"/>
        <w:rPr>
          <w:sz w:val="22"/>
          <w:szCs w:val="22"/>
        </w:rPr>
      </w:pPr>
      <w:r>
        <w:rPr>
          <w:sz w:val="22"/>
          <w:szCs w:val="22"/>
        </w:rPr>
        <w:t xml:space="preserve">Shkathtësi të mira komunikuese dhe sociale; kandidati duhet të tregojë iniciativë, sintezë, organizim dhe dinamizëm personal, si dhe kapacitet për të punuar me ekipe dhe të përgatisë raporte adekuate të planifikimit dhe aktivitetit; </w:t>
      </w:r>
    </w:p>
    <w:p w14:paraId="3AE7FC74" w14:textId="77777777" w:rsidR="001933AC" w:rsidRPr="004314BE" w:rsidRDefault="001933AC" w:rsidP="001933AC">
      <w:pPr>
        <w:pStyle w:val="ListBullet"/>
        <w:numPr>
          <w:ilvl w:val="0"/>
          <w:numId w:val="7"/>
        </w:numPr>
        <w:tabs>
          <w:tab w:val="clear" w:pos="1531"/>
          <w:tab w:val="num" w:pos="720"/>
        </w:tabs>
        <w:overflowPunct w:val="0"/>
        <w:autoSpaceDE w:val="0"/>
        <w:autoSpaceDN w:val="0"/>
        <w:adjustRightInd w:val="0"/>
        <w:ind w:left="720" w:hanging="360"/>
        <w:jc w:val="both"/>
        <w:textAlignment w:val="baseline"/>
        <w:rPr>
          <w:sz w:val="22"/>
          <w:szCs w:val="22"/>
        </w:rPr>
      </w:pPr>
      <w:r>
        <w:rPr>
          <w:sz w:val="22"/>
          <w:szCs w:val="22"/>
        </w:rPr>
        <w:t xml:space="preserve">Shkathtësi kompjuterike (Word, Excel, Power Point) </w:t>
      </w:r>
    </w:p>
    <w:p w14:paraId="70CCBEE9" w14:textId="3E85CD24" w:rsidR="001933AC" w:rsidRPr="004314BE" w:rsidRDefault="001933AC" w:rsidP="001933AC">
      <w:pPr>
        <w:pStyle w:val="ListBullet"/>
        <w:numPr>
          <w:ilvl w:val="0"/>
          <w:numId w:val="7"/>
        </w:numPr>
        <w:tabs>
          <w:tab w:val="clear" w:pos="1531"/>
          <w:tab w:val="num" w:pos="360"/>
          <w:tab w:val="num" w:pos="720"/>
        </w:tabs>
        <w:overflowPunct w:val="0"/>
        <w:autoSpaceDE w:val="0"/>
        <w:autoSpaceDN w:val="0"/>
        <w:adjustRightInd w:val="0"/>
        <w:ind w:left="90" w:firstLine="270"/>
        <w:jc w:val="both"/>
        <w:textAlignment w:val="baseline"/>
        <w:rPr>
          <w:sz w:val="22"/>
          <w:szCs w:val="22"/>
        </w:rPr>
      </w:pPr>
      <w:r>
        <w:rPr>
          <w:sz w:val="22"/>
          <w:szCs w:val="22"/>
        </w:rPr>
        <w:t>Rrjedhshmëri në shqip dhe anglisht</w:t>
      </w:r>
      <w:r w:rsidR="00391898">
        <w:rPr>
          <w:sz w:val="22"/>
          <w:szCs w:val="22"/>
        </w:rPr>
        <w:t xml:space="preserve"> (nivel profesional</w:t>
      </w:r>
      <w:r w:rsidR="00D2782C">
        <w:rPr>
          <w:sz w:val="22"/>
          <w:szCs w:val="22"/>
        </w:rPr>
        <w:t xml:space="preserve"> në të shkruar dhe folur</w:t>
      </w:r>
      <w:r w:rsidR="00391898">
        <w:rPr>
          <w:sz w:val="22"/>
          <w:szCs w:val="22"/>
        </w:rPr>
        <w:t>)</w:t>
      </w:r>
      <w:r>
        <w:rPr>
          <w:sz w:val="22"/>
          <w:szCs w:val="22"/>
        </w:rPr>
        <w:t>.  Shkathtësia në serbisht është avantazh.</w:t>
      </w:r>
    </w:p>
    <w:p w14:paraId="79C4E980" w14:textId="77777777" w:rsidR="001933AC" w:rsidRPr="004314BE" w:rsidRDefault="001933AC" w:rsidP="001933AC">
      <w:pPr>
        <w:pStyle w:val="ListBullet"/>
        <w:numPr>
          <w:ilvl w:val="0"/>
          <w:numId w:val="7"/>
        </w:numPr>
        <w:tabs>
          <w:tab w:val="clear" w:pos="1531"/>
          <w:tab w:val="num" w:pos="360"/>
          <w:tab w:val="num" w:pos="720"/>
        </w:tabs>
        <w:overflowPunct w:val="0"/>
        <w:autoSpaceDE w:val="0"/>
        <w:autoSpaceDN w:val="0"/>
        <w:adjustRightInd w:val="0"/>
        <w:ind w:left="810" w:hanging="450"/>
        <w:jc w:val="both"/>
        <w:textAlignment w:val="baseline"/>
        <w:rPr>
          <w:sz w:val="22"/>
          <w:szCs w:val="22"/>
        </w:rPr>
      </w:pPr>
      <w:r>
        <w:rPr>
          <w:sz w:val="22"/>
          <w:szCs w:val="22"/>
        </w:rPr>
        <w:t>Të ketë rekorde të pastra policore, të disponojë të gjitha të drejtat civile dhe të mos ketë ndonjë implikim të mëparshëm në përvetësim.</w:t>
      </w:r>
    </w:p>
    <w:p w14:paraId="123ED342" w14:textId="77777777" w:rsidR="001933AC" w:rsidRPr="00B966B7" w:rsidRDefault="001933AC" w:rsidP="001933AC">
      <w:pPr>
        <w:rPr>
          <w:sz w:val="22"/>
          <w:szCs w:val="22"/>
        </w:rPr>
      </w:pPr>
    </w:p>
    <w:p w14:paraId="0F3B32EB" w14:textId="77777777" w:rsidR="001933AC" w:rsidRPr="00B966B7" w:rsidRDefault="001933AC" w:rsidP="001933AC">
      <w:pPr>
        <w:rPr>
          <w:sz w:val="22"/>
          <w:szCs w:val="22"/>
          <w:u w:val="single"/>
        </w:rPr>
      </w:pPr>
      <w:r>
        <w:rPr>
          <w:b/>
          <w:sz w:val="22"/>
          <w:szCs w:val="22"/>
          <w:u w:val="single"/>
        </w:rPr>
        <w:t>Kushtet e punës:</w:t>
      </w:r>
    </w:p>
    <w:p w14:paraId="6D1D0DBA" w14:textId="11622005" w:rsidR="001933AC" w:rsidRPr="00B966B7" w:rsidRDefault="001933AC" w:rsidP="001933AC">
      <w:pPr>
        <w:pStyle w:val="ListNumber"/>
        <w:numPr>
          <w:ilvl w:val="0"/>
          <w:numId w:val="0"/>
        </w:numPr>
        <w:spacing w:before="0" w:line="240" w:lineRule="auto"/>
        <w:rPr>
          <w:sz w:val="22"/>
          <w:szCs w:val="22"/>
        </w:rPr>
      </w:pPr>
      <w:r>
        <w:rPr>
          <w:sz w:val="22"/>
          <w:szCs w:val="22"/>
        </w:rPr>
        <w:t>Menaxheri i Projektit do të vendoset në ambientet e M</w:t>
      </w:r>
      <w:r w:rsidR="00A03C10">
        <w:rPr>
          <w:sz w:val="22"/>
          <w:szCs w:val="22"/>
        </w:rPr>
        <w:t>EA</w:t>
      </w:r>
      <w:r>
        <w:rPr>
          <w:sz w:val="22"/>
          <w:szCs w:val="22"/>
        </w:rPr>
        <w:t>-it në Prishtinë, por duhet të jetë i gatshëm të udhëtojë në zona të ndryshme të projektit në të gjithë vendin, të mbajë takime të shumta dhe të punojë nën presion.</w:t>
      </w:r>
    </w:p>
    <w:p w14:paraId="0EA486CB" w14:textId="77777777" w:rsidR="001933AC" w:rsidRPr="00B966B7" w:rsidRDefault="001933AC" w:rsidP="001933AC">
      <w:pPr>
        <w:keepNext/>
        <w:keepLines/>
        <w:tabs>
          <w:tab w:val="num" w:pos="360"/>
        </w:tabs>
        <w:rPr>
          <w:b/>
          <w:sz w:val="22"/>
          <w:szCs w:val="22"/>
          <w:u w:val="single"/>
        </w:rPr>
      </w:pPr>
    </w:p>
    <w:p w14:paraId="58D3D4B7" w14:textId="77777777" w:rsidR="001933AC" w:rsidRPr="00B966B7" w:rsidRDefault="001933AC" w:rsidP="001933AC">
      <w:pPr>
        <w:keepNext/>
        <w:keepLines/>
        <w:tabs>
          <w:tab w:val="num" w:pos="360"/>
        </w:tabs>
        <w:rPr>
          <w:b/>
          <w:sz w:val="22"/>
          <w:szCs w:val="22"/>
          <w:u w:val="single"/>
        </w:rPr>
      </w:pPr>
      <w:r>
        <w:rPr>
          <w:b/>
          <w:sz w:val="22"/>
          <w:szCs w:val="22"/>
          <w:u w:val="single"/>
        </w:rPr>
        <w:t xml:space="preserve">Produktet </w:t>
      </w:r>
    </w:p>
    <w:p w14:paraId="51944872" w14:textId="77777777" w:rsidR="001933AC" w:rsidRPr="00B966B7" w:rsidRDefault="001933AC" w:rsidP="001933AC">
      <w:pPr>
        <w:jc w:val="both"/>
        <w:rPr>
          <w:sz w:val="22"/>
          <w:szCs w:val="22"/>
        </w:rPr>
      </w:pPr>
      <w:r>
        <w:rPr>
          <w:sz w:val="22"/>
          <w:szCs w:val="22"/>
        </w:rPr>
        <w:t>Produkti kryesor i punës do të jetë progresi i kënaqshëm dhe i kryer në mënyrë profesionale i zbatimit të projektit. Ai/ajo pritet të punojë me kohë të plotë dhe të mos ketë pozitë tjetër të paguar, pasi puna është shumë imponuese dhe kërkon përkushtim dhe orë të gjata pune.</w:t>
      </w:r>
    </w:p>
    <w:p w14:paraId="40AC20B2" w14:textId="77777777" w:rsidR="001933AC" w:rsidRPr="00B966B7" w:rsidRDefault="001933AC" w:rsidP="001933AC">
      <w:pPr>
        <w:jc w:val="both"/>
        <w:rPr>
          <w:sz w:val="22"/>
          <w:szCs w:val="22"/>
        </w:rPr>
      </w:pPr>
    </w:p>
    <w:p w14:paraId="266F19FE" w14:textId="77777777" w:rsidR="001933AC" w:rsidRPr="00B966B7" w:rsidRDefault="001933AC" w:rsidP="001933AC">
      <w:pPr>
        <w:jc w:val="both"/>
        <w:rPr>
          <w:sz w:val="22"/>
          <w:szCs w:val="22"/>
        </w:rPr>
      </w:pPr>
      <w:r>
        <w:rPr>
          <w:sz w:val="22"/>
          <w:szCs w:val="22"/>
        </w:rPr>
        <w:t>Menaxheri i Projektit do të ketë pozitë me kohë të plotë në kuadër të Projektit dhe do t’i ofrohen mundësi për t’u zhvilluar profesionalisht duke marrë pjesë në trajnime dhe kurse përkatëse të BB-së gjatë kohëzgjatjes së kontratës. Shpërblimi do të paguhet në baza mujore.</w:t>
      </w:r>
    </w:p>
    <w:p w14:paraId="0F44EA23" w14:textId="77777777" w:rsidR="001933AC" w:rsidRPr="00B966B7" w:rsidRDefault="001933AC" w:rsidP="001933AC">
      <w:pPr>
        <w:keepNext/>
        <w:keepLines/>
        <w:tabs>
          <w:tab w:val="num" w:pos="360"/>
        </w:tabs>
        <w:rPr>
          <w:b/>
          <w:sz w:val="22"/>
          <w:szCs w:val="22"/>
          <w:u w:val="single"/>
        </w:rPr>
      </w:pPr>
    </w:p>
    <w:p w14:paraId="61D6F16B" w14:textId="77777777" w:rsidR="001933AC" w:rsidRPr="00B966B7" w:rsidRDefault="001933AC" w:rsidP="001933AC">
      <w:pPr>
        <w:keepNext/>
        <w:keepLines/>
        <w:tabs>
          <w:tab w:val="num" w:pos="360"/>
        </w:tabs>
        <w:rPr>
          <w:b/>
          <w:sz w:val="22"/>
          <w:szCs w:val="22"/>
          <w:u w:val="single"/>
        </w:rPr>
      </w:pPr>
      <w:r>
        <w:rPr>
          <w:b/>
          <w:sz w:val="22"/>
          <w:szCs w:val="22"/>
          <w:u w:val="single"/>
        </w:rPr>
        <w:t xml:space="preserve">Periudha e performancës </w:t>
      </w:r>
    </w:p>
    <w:p w14:paraId="0DF87243" w14:textId="77777777" w:rsidR="001933AC" w:rsidRPr="00B966B7" w:rsidRDefault="001933AC" w:rsidP="001933AC">
      <w:pPr>
        <w:keepNext/>
        <w:keepLines/>
        <w:tabs>
          <w:tab w:val="num" w:pos="360"/>
        </w:tabs>
        <w:rPr>
          <w:sz w:val="22"/>
          <w:szCs w:val="22"/>
        </w:rPr>
      </w:pPr>
      <w:r>
        <w:rPr>
          <w:sz w:val="22"/>
          <w:szCs w:val="22"/>
        </w:rPr>
        <w:t>Menaxheri i Projektit do të punësohet në provë derisa Projekti të bëhet efektiv dhe më pas do të konfirmohet bazuar në performancën e kënaqshme. Pas konfirmimit, kontrata do të zgjasë fillimisht për katër vjet, në varësi të performancës së kënaqshme, por jo më shumë se kohëzgjatja e projektit.</w:t>
      </w:r>
    </w:p>
    <w:p w14:paraId="0F442665" w14:textId="77777777" w:rsidR="001933AC" w:rsidRPr="00B966B7" w:rsidRDefault="001933AC" w:rsidP="001933AC">
      <w:pPr>
        <w:keepNext/>
        <w:keepLines/>
        <w:tabs>
          <w:tab w:val="num" w:pos="360"/>
        </w:tabs>
        <w:rPr>
          <w:b/>
          <w:sz w:val="22"/>
          <w:szCs w:val="22"/>
          <w:u w:val="single"/>
        </w:rPr>
      </w:pPr>
    </w:p>
    <w:p w14:paraId="4481B10E" w14:textId="77777777" w:rsidR="001933AC" w:rsidRPr="00B966B7" w:rsidRDefault="001933AC" w:rsidP="001933AC">
      <w:pPr>
        <w:keepNext/>
        <w:keepLines/>
        <w:tabs>
          <w:tab w:val="num" w:pos="360"/>
        </w:tabs>
        <w:rPr>
          <w:b/>
          <w:sz w:val="22"/>
          <w:szCs w:val="22"/>
          <w:u w:val="single"/>
        </w:rPr>
      </w:pPr>
      <w:r>
        <w:rPr>
          <w:b/>
          <w:sz w:val="22"/>
          <w:szCs w:val="22"/>
          <w:u w:val="single"/>
        </w:rPr>
        <w:t xml:space="preserve">Raportimi </w:t>
      </w:r>
    </w:p>
    <w:p w14:paraId="3E72410D" w14:textId="6F5F8968" w:rsidR="001933AC" w:rsidRPr="00B966B7" w:rsidRDefault="001933AC" w:rsidP="001933AC">
      <w:pPr>
        <w:rPr>
          <w:sz w:val="22"/>
          <w:szCs w:val="22"/>
        </w:rPr>
      </w:pPr>
      <w:r>
        <w:rPr>
          <w:sz w:val="22"/>
          <w:szCs w:val="22"/>
        </w:rPr>
        <w:t>Menaxheri i Projektit do të punojë me kohë të plotë brenda mjediseve të M</w:t>
      </w:r>
      <w:r w:rsidR="00A03C10">
        <w:rPr>
          <w:sz w:val="22"/>
          <w:szCs w:val="22"/>
        </w:rPr>
        <w:t>EA</w:t>
      </w:r>
      <w:r>
        <w:rPr>
          <w:sz w:val="22"/>
          <w:szCs w:val="22"/>
        </w:rPr>
        <w:t>-it dhe do t’i raportojë Ministrisë dhe në baza ditore Sekretarit të Pë</w:t>
      </w:r>
      <w:r w:rsidR="009263EF">
        <w:rPr>
          <w:sz w:val="22"/>
          <w:szCs w:val="22"/>
        </w:rPr>
        <w:t>rgjithshëm</w:t>
      </w:r>
      <w:r>
        <w:rPr>
          <w:sz w:val="22"/>
          <w:szCs w:val="22"/>
        </w:rPr>
        <w:t xml:space="preserve"> të Ministrisë së </w:t>
      </w:r>
      <w:r w:rsidR="009263EF">
        <w:rPr>
          <w:sz w:val="22"/>
          <w:szCs w:val="22"/>
        </w:rPr>
        <w:t>Eko</w:t>
      </w:r>
      <w:r w:rsidR="004E6FBA">
        <w:rPr>
          <w:sz w:val="22"/>
          <w:szCs w:val="22"/>
        </w:rPr>
        <w:t>n</w:t>
      </w:r>
      <w:r w:rsidR="009263EF">
        <w:rPr>
          <w:sz w:val="22"/>
          <w:szCs w:val="22"/>
        </w:rPr>
        <w:t>omisë</w:t>
      </w:r>
      <w:r w:rsidR="00A03C10">
        <w:rPr>
          <w:sz w:val="22"/>
          <w:szCs w:val="22"/>
        </w:rPr>
        <w:t xml:space="preserve"> dhe Ambientit</w:t>
      </w:r>
      <w:r>
        <w:rPr>
          <w:sz w:val="22"/>
          <w:szCs w:val="22"/>
        </w:rPr>
        <w:t>.</w:t>
      </w:r>
    </w:p>
    <w:p w14:paraId="403656D4" w14:textId="77777777" w:rsidR="001933AC" w:rsidRPr="00B966B7" w:rsidRDefault="001933AC" w:rsidP="001933AC">
      <w:pPr>
        <w:rPr>
          <w:sz w:val="22"/>
          <w:szCs w:val="22"/>
        </w:rPr>
      </w:pPr>
    </w:p>
    <w:p w14:paraId="7FADEB50" w14:textId="0A2F2653" w:rsidR="001933AC" w:rsidRPr="00B966B7" w:rsidRDefault="001933AC" w:rsidP="001933AC">
      <w:pPr>
        <w:rPr>
          <w:sz w:val="22"/>
          <w:szCs w:val="22"/>
        </w:rPr>
      </w:pPr>
    </w:p>
    <w:sectPr w:rsidR="001933AC" w:rsidRPr="00B966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CEBD5" w14:textId="77777777" w:rsidR="004365E4" w:rsidRDefault="004365E4" w:rsidP="006B048F">
      <w:r>
        <w:separator/>
      </w:r>
    </w:p>
  </w:endnote>
  <w:endnote w:type="continuationSeparator" w:id="0">
    <w:p w14:paraId="0C0B0CDD" w14:textId="77777777" w:rsidR="004365E4" w:rsidRDefault="004365E4" w:rsidP="006B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663DB" w14:textId="77777777" w:rsidR="004365E4" w:rsidRDefault="004365E4" w:rsidP="006B048F">
      <w:r>
        <w:separator/>
      </w:r>
    </w:p>
  </w:footnote>
  <w:footnote w:type="continuationSeparator" w:id="0">
    <w:p w14:paraId="06D93C3B" w14:textId="77777777" w:rsidR="004365E4" w:rsidRDefault="004365E4" w:rsidP="006B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D6E876C"/>
    <w:lvl w:ilvl="0">
      <w:start w:val="1"/>
      <w:numFmt w:val="decimal"/>
      <w:pStyle w:val="ListNumber"/>
      <w:lvlText w:val="%1."/>
      <w:lvlJc w:val="left"/>
      <w:pPr>
        <w:tabs>
          <w:tab w:val="num" w:pos="360"/>
        </w:tabs>
        <w:ind w:left="360" w:hanging="360"/>
      </w:pPr>
      <w:rPr>
        <w:rFonts w:cs="Times New Roman"/>
      </w:rPr>
    </w:lvl>
  </w:abstractNum>
  <w:abstractNum w:abstractNumId="1">
    <w:nsid w:val="1E2F2E0C"/>
    <w:multiLevelType w:val="hybridMultilevel"/>
    <w:tmpl w:val="3F24C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6D53C7"/>
    <w:multiLevelType w:val="multilevel"/>
    <w:tmpl w:val="67AA8514"/>
    <w:lvl w:ilvl="0">
      <w:start w:val="1"/>
      <w:numFmt w:val="bullet"/>
      <w:lvlText w:val=""/>
      <w:lvlJc w:val="left"/>
      <w:pPr>
        <w:tabs>
          <w:tab w:val="num" w:pos="1531"/>
        </w:tabs>
        <w:ind w:left="1531"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1205A70"/>
    <w:multiLevelType w:val="multilevel"/>
    <w:tmpl w:val="08108764"/>
    <w:lvl w:ilvl="0">
      <w:start w:val="1"/>
      <w:numFmt w:val="bullet"/>
      <w:lvlText w:val=""/>
      <w:lvlJc w:val="left"/>
      <w:pPr>
        <w:tabs>
          <w:tab w:val="num" w:pos="720"/>
        </w:tabs>
        <w:ind w:left="720" w:hanging="360"/>
      </w:pPr>
      <w:rPr>
        <w:rFonts w:ascii="Symbol" w:hAnsi="Symbol" w:hint="default"/>
        <w:color w:val="auto"/>
        <w:u w:val="none"/>
      </w:rPr>
    </w:lvl>
    <w:lvl w:ilvl="1">
      <w:start w:val="1"/>
      <w:numFmt w:val="lowerRoman"/>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Times New Roman" w:hAnsi="Times New Roman"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33916D35"/>
    <w:multiLevelType w:val="hybridMultilevel"/>
    <w:tmpl w:val="A9BAB41E"/>
    <w:lvl w:ilvl="0" w:tplc="78362292">
      <w:start w:val="1"/>
      <w:numFmt w:val="bullet"/>
      <w:lvlText w:val=""/>
      <w:lvlJc w:val="left"/>
      <w:pPr>
        <w:ind w:left="720" w:hanging="360"/>
      </w:pPr>
      <w:rPr>
        <w:rFonts w:ascii="Symbol" w:hAnsi="Symbol" w:hint="default"/>
      </w:rPr>
    </w:lvl>
    <w:lvl w:ilvl="1" w:tplc="BFD6E95C">
      <w:start w:val="1"/>
      <w:numFmt w:val="bullet"/>
      <w:lvlText w:val="o"/>
      <w:lvlJc w:val="left"/>
      <w:pPr>
        <w:ind w:left="1440" w:hanging="360"/>
      </w:pPr>
      <w:rPr>
        <w:rFonts w:ascii="Courier New" w:hAnsi="Courier New" w:hint="default"/>
      </w:rPr>
    </w:lvl>
    <w:lvl w:ilvl="2" w:tplc="219E2456">
      <w:start w:val="1"/>
      <w:numFmt w:val="bullet"/>
      <w:lvlText w:val=""/>
      <w:lvlJc w:val="left"/>
      <w:pPr>
        <w:ind w:left="2160" w:hanging="360"/>
      </w:pPr>
      <w:rPr>
        <w:rFonts w:ascii="Wingdings" w:hAnsi="Wingdings" w:hint="default"/>
      </w:rPr>
    </w:lvl>
    <w:lvl w:ilvl="3" w:tplc="597C5DB6">
      <w:start w:val="1"/>
      <w:numFmt w:val="bullet"/>
      <w:lvlText w:val=""/>
      <w:lvlJc w:val="left"/>
      <w:pPr>
        <w:ind w:left="2880" w:hanging="360"/>
      </w:pPr>
      <w:rPr>
        <w:rFonts w:ascii="Symbol" w:hAnsi="Symbol" w:hint="default"/>
      </w:rPr>
    </w:lvl>
    <w:lvl w:ilvl="4" w:tplc="905A4270">
      <w:start w:val="1"/>
      <w:numFmt w:val="bullet"/>
      <w:lvlText w:val="o"/>
      <w:lvlJc w:val="left"/>
      <w:pPr>
        <w:ind w:left="3600" w:hanging="360"/>
      </w:pPr>
      <w:rPr>
        <w:rFonts w:ascii="Courier New" w:hAnsi="Courier New" w:hint="default"/>
      </w:rPr>
    </w:lvl>
    <w:lvl w:ilvl="5" w:tplc="2B5CEC90">
      <w:start w:val="1"/>
      <w:numFmt w:val="bullet"/>
      <w:lvlText w:val=""/>
      <w:lvlJc w:val="left"/>
      <w:pPr>
        <w:ind w:left="4320" w:hanging="360"/>
      </w:pPr>
      <w:rPr>
        <w:rFonts w:ascii="Wingdings" w:hAnsi="Wingdings" w:hint="default"/>
      </w:rPr>
    </w:lvl>
    <w:lvl w:ilvl="6" w:tplc="0248C2A0">
      <w:start w:val="1"/>
      <w:numFmt w:val="bullet"/>
      <w:lvlText w:val=""/>
      <w:lvlJc w:val="left"/>
      <w:pPr>
        <w:ind w:left="5040" w:hanging="360"/>
      </w:pPr>
      <w:rPr>
        <w:rFonts w:ascii="Symbol" w:hAnsi="Symbol" w:hint="default"/>
      </w:rPr>
    </w:lvl>
    <w:lvl w:ilvl="7" w:tplc="2856B35E">
      <w:start w:val="1"/>
      <w:numFmt w:val="bullet"/>
      <w:lvlText w:val="o"/>
      <w:lvlJc w:val="left"/>
      <w:pPr>
        <w:ind w:left="5760" w:hanging="360"/>
      </w:pPr>
      <w:rPr>
        <w:rFonts w:ascii="Courier New" w:hAnsi="Courier New" w:hint="default"/>
      </w:rPr>
    </w:lvl>
    <w:lvl w:ilvl="8" w:tplc="954864DC">
      <w:start w:val="1"/>
      <w:numFmt w:val="bullet"/>
      <w:lvlText w:val=""/>
      <w:lvlJc w:val="left"/>
      <w:pPr>
        <w:ind w:left="6480" w:hanging="360"/>
      </w:pPr>
      <w:rPr>
        <w:rFonts w:ascii="Wingdings" w:hAnsi="Wingdings" w:hint="default"/>
      </w:rPr>
    </w:lvl>
  </w:abstractNum>
  <w:abstractNum w:abstractNumId="5">
    <w:nsid w:val="3A7426FC"/>
    <w:multiLevelType w:val="hybridMultilevel"/>
    <w:tmpl w:val="B19EAA30"/>
    <w:lvl w:ilvl="0" w:tplc="1F706D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5A3090B"/>
    <w:multiLevelType w:val="hybridMultilevel"/>
    <w:tmpl w:val="13B214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ABD5B83"/>
    <w:multiLevelType w:val="hybridMultilevel"/>
    <w:tmpl w:val="EEDE78C6"/>
    <w:lvl w:ilvl="0" w:tplc="D2E0953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8">
    <w:nsid w:val="73C060B2"/>
    <w:multiLevelType w:val="hybridMultilevel"/>
    <w:tmpl w:val="BE32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4"/>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AC"/>
    <w:rsid w:val="00025DA6"/>
    <w:rsid w:val="0004252A"/>
    <w:rsid w:val="00134EB8"/>
    <w:rsid w:val="00135FE5"/>
    <w:rsid w:val="001933AC"/>
    <w:rsid w:val="001B4AF4"/>
    <w:rsid w:val="00391898"/>
    <w:rsid w:val="00396CBF"/>
    <w:rsid w:val="003D7CFC"/>
    <w:rsid w:val="004365E4"/>
    <w:rsid w:val="00447EF3"/>
    <w:rsid w:val="004E6FBA"/>
    <w:rsid w:val="00554EB1"/>
    <w:rsid w:val="006B048F"/>
    <w:rsid w:val="006D7052"/>
    <w:rsid w:val="00746115"/>
    <w:rsid w:val="00803144"/>
    <w:rsid w:val="009263EF"/>
    <w:rsid w:val="0094640F"/>
    <w:rsid w:val="00996146"/>
    <w:rsid w:val="009D0199"/>
    <w:rsid w:val="00A03C10"/>
    <w:rsid w:val="00A5383F"/>
    <w:rsid w:val="00AC3CF1"/>
    <w:rsid w:val="00AD2F3D"/>
    <w:rsid w:val="00D2782C"/>
    <w:rsid w:val="00D8185B"/>
    <w:rsid w:val="00D9676D"/>
    <w:rsid w:val="00F15F1A"/>
    <w:rsid w:val="00F8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7E02C"/>
  <w15:chartTrackingRefBased/>
  <w15:docId w15:val="{7CF4E0E2-30E7-4BC3-BD76-443F5838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3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umbered List Paragraph,References,Numbered Paragraph,Main numbered paragraph,Colorful List - Accent 11,List_Paragraph,Multilevel para_II,List Paragraph1,Bullets,123 List Paragraph,List Paragraph nowy,Liste 1"/>
    <w:basedOn w:val="Normal"/>
    <w:link w:val="ListParagraphChar"/>
    <w:uiPriority w:val="1"/>
    <w:qFormat/>
    <w:rsid w:val="001933AC"/>
    <w:pPr>
      <w:ind w:left="720"/>
    </w:pPr>
  </w:style>
  <w:style w:type="paragraph" w:customStyle="1" w:styleId="01ChapterTitle">
    <w:name w:val="01 ChapterTitle"/>
    <w:basedOn w:val="Normal"/>
    <w:next w:val="Normal"/>
    <w:rsid w:val="001933AC"/>
    <w:pPr>
      <w:spacing w:after="240"/>
      <w:jc w:val="center"/>
      <w:outlineLvl w:val="0"/>
    </w:pPr>
    <w:rPr>
      <w:b/>
      <w:bCs/>
      <w:caps/>
    </w:rPr>
  </w:style>
  <w:style w:type="paragraph" w:styleId="BodyText">
    <w:name w:val="Body Text"/>
    <w:aliases w:val="Body Text bullets"/>
    <w:basedOn w:val="Normal"/>
    <w:link w:val="BodyTextChar"/>
    <w:rsid w:val="001933AC"/>
    <w:pPr>
      <w:spacing w:after="120"/>
    </w:pPr>
  </w:style>
  <w:style w:type="character" w:customStyle="1" w:styleId="BodyTextChar">
    <w:name w:val="Body Text Char"/>
    <w:aliases w:val="Body Text bullets Char"/>
    <w:basedOn w:val="DefaultParagraphFont"/>
    <w:link w:val="BodyText"/>
    <w:rsid w:val="001933AC"/>
    <w:rPr>
      <w:rFonts w:ascii="Times New Roman" w:eastAsia="Times New Roman" w:hAnsi="Times New Roman" w:cs="Times New Roman"/>
      <w:sz w:val="24"/>
      <w:szCs w:val="24"/>
    </w:rPr>
  </w:style>
  <w:style w:type="paragraph" w:customStyle="1" w:styleId="Listepucesdernire">
    <w:name w:val="Liste à puces (dernière)"/>
    <w:basedOn w:val="ListBullet"/>
    <w:next w:val="Normal"/>
    <w:rsid w:val="001933AC"/>
    <w:pPr>
      <w:tabs>
        <w:tab w:val="num" w:pos="504"/>
      </w:tabs>
      <w:overflowPunct w:val="0"/>
      <w:autoSpaceDE w:val="0"/>
      <w:autoSpaceDN w:val="0"/>
      <w:adjustRightInd w:val="0"/>
      <w:spacing w:before="40" w:after="180"/>
      <w:ind w:left="504" w:right="357" w:hanging="216"/>
      <w:jc w:val="both"/>
      <w:textAlignment w:val="baseline"/>
    </w:pPr>
    <w:rPr>
      <w:noProof/>
      <w:szCs w:val="20"/>
    </w:rPr>
  </w:style>
  <w:style w:type="paragraph" w:customStyle="1" w:styleId="PDSHeading1">
    <w:name w:val="PDSHeading1"/>
    <w:next w:val="Normal"/>
    <w:rsid w:val="001933AC"/>
    <w:pPr>
      <w:spacing w:after="0" w:line="240" w:lineRule="auto"/>
    </w:pPr>
    <w:rPr>
      <w:rFonts w:ascii="Times New Roman" w:eastAsia="Times New Roman" w:hAnsi="Times New Roman" w:cs="Times New Roman"/>
      <w:b/>
      <w:sz w:val="24"/>
      <w:szCs w:val="20"/>
    </w:rPr>
  </w:style>
  <w:style w:type="paragraph" w:styleId="ListBullet">
    <w:name w:val="List Bullet"/>
    <w:basedOn w:val="Normal"/>
    <w:rsid w:val="001933AC"/>
    <w:pPr>
      <w:tabs>
        <w:tab w:val="num" w:pos="1531"/>
      </w:tabs>
      <w:ind w:left="1531" w:hanging="397"/>
    </w:pPr>
  </w:style>
  <w:style w:type="paragraph" w:styleId="ListNumber">
    <w:name w:val="List Number"/>
    <w:basedOn w:val="Normal"/>
    <w:rsid w:val="001933AC"/>
    <w:pPr>
      <w:numPr>
        <w:numId w:val="4"/>
      </w:numPr>
      <w:spacing w:before="80" w:line="288" w:lineRule="auto"/>
      <w:jc w:val="both"/>
    </w:pPr>
    <w:rPr>
      <w:lang w:eastAsia="sl-SI"/>
    </w:rPr>
  </w:style>
  <w:style w:type="character" w:customStyle="1" w:styleId="ListParagraphChar">
    <w:name w:val="List Paragraph Char"/>
    <w:aliases w:val="List Paragraph (numbered (a)) Char,Numbered List Paragraph Char,References Char,Numbered Paragraph Char,Main numbered paragraph Char,Colorful List - Accent 11 Char,List_Paragraph Char,Multilevel para_II Char,List Paragraph1 Char"/>
    <w:link w:val="ListParagraph"/>
    <w:uiPriority w:val="1"/>
    <w:qFormat/>
    <w:rsid w:val="001933A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048F"/>
    <w:pPr>
      <w:tabs>
        <w:tab w:val="center" w:pos="4680"/>
        <w:tab w:val="right" w:pos="9360"/>
      </w:tabs>
    </w:pPr>
  </w:style>
  <w:style w:type="character" w:customStyle="1" w:styleId="HeaderChar">
    <w:name w:val="Header Char"/>
    <w:basedOn w:val="DefaultParagraphFont"/>
    <w:link w:val="Header"/>
    <w:uiPriority w:val="99"/>
    <w:rsid w:val="006B04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048F"/>
    <w:pPr>
      <w:tabs>
        <w:tab w:val="center" w:pos="4680"/>
        <w:tab w:val="right" w:pos="9360"/>
      </w:tabs>
    </w:pPr>
  </w:style>
  <w:style w:type="character" w:customStyle="1" w:styleId="FooterChar">
    <w:name w:val="Footer Char"/>
    <w:basedOn w:val="DefaultParagraphFont"/>
    <w:link w:val="Footer"/>
    <w:uiPriority w:val="99"/>
    <w:rsid w:val="006B048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5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F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0fb2e53767034a264fb3c066fac08b77">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38d66cce8276e04a60a9c46c717edd56"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BB04A-5834-4051-B910-5A9AA4DB7A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4802D-66FE-4EFF-82C5-F4392C9FF4F9}">
  <ds:schemaRefs>
    <ds:schemaRef ds:uri="http://schemas.microsoft.com/sharepoint/v3/contenttype/forms"/>
  </ds:schemaRefs>
</ds:datastoreItem>
</file>

<file path=customXml/itemProps3.xml><?xml version="1.0" encoding="utf-8"?>
<ds:datastoreItem xmlns:ds="http://schemas.openxmlformats.org/officeDocument/2006/customXml" ds:itemID="{E868BB6C-8249-466C-89A4-B1E7C6682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Mjellma Rrecaj</dc:creator>
  <cp:keywords/>
  <dc:description/>
  <cp:lastModifiedBy>Dafina Deva</cp:lastModifiedBy>
  <cp:revision>19</cp:revision>
  <dcterms:created xsi:type="dcterms:W3CDTF">2020-11-23T16:54:00Z</dcterms:created>
  <dcterms:modified xsi:type="dcterms:W3CDTF">2020-12-14T10:21:00Z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