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631B6" w14:textId="26DE0ECD" w:rsidR="00EE2308" w:rsidRDefault="00EE2308" w:rsidP="00E60855">
      <w:pPr>
        <w:jc w:val="both"/>
        <w:rPr>
          <w:b/>
        </w:rPr>
      </w:pPr>
      <w:r>
        <w:rPr>
          <w:b/>
        </w:rPr>
        <w:t>Specialist Social</w:t>
      </w:r>
    </w:p>
    <w:p w14:paraId="3C3A41F9" w14:textId="77777777" w:rsidR="00EE2308" w:rsidRDefault="00EE2308" w:rsidP="00E60855">
      <w:pPr>
        <w:jc w:val="both"/>
        <w:rPr>
          <w:b/>
          <w:lang w:val="en-ZA"/>
        </w:rPr>
      </w:pPr>
    </w:p>
    <w:p w14:paraId="06219CAB" w14:textId="11AD30EA" w:rsidR="00E60855" w:rsidRPr="00E60855" w:rsidRDefault="00E60855" w:rsidP="00E60855">
      <w:pPr>
        <w:jc w:val="both"/>
        <w:rPr>
          <w:b/>
        </w:rPr>
      </w:pPr>
      <w:r>
        <w:rPr>
          <w:b/>
        </w:rPr>
        <w:t>Fushëveprimi i Shërbimeve</w:t>
      </w:r>
    </w:p>
    <w:p w14:paraId="5283F050" w14:textId="77777777" w:rsidR="00E60855" w:rsidRPr="00E60855" w:rsidRDefault="00E60855" w:rsidP="00E60855">
      <w:pPr>
        <w:jc w:val="both"/>
        <w:rPr>
          <w:b/>
          <w:lang w:val="en-ZA"/>
        </w:rPr>
      </w:pPr>
    </w:p>
    <w:p w14:paraId="2AA6FCA3" w14:textId="77777777" w:rsidR="00E60855" w:rsidRPr="00E60855" w:rsidRDefault="00E60855" w:rsidP="00E60855">
      <w:pPr>
        <w:pStyle w:val="ListParagraph"/>
        <w:numPr>
          <w:ilvl w:val="1"/>
          <w:numId w:val="1"/>
        </w:numPr>
        <w:ind w:left="426"/>
        <w:contextualSpacing w:val="0"/>
        <w:jc w:val="both"/>
      </w:pPr>
      <w:r>
        <w:t>Siguron që Projekti dhe të gjitha nën-projektet e tij të zbatohen në përputhje me Kornizën Mjedisore dhe Sociale të Bankës Botërore (KMS), si dhe në përputhje me të gjitha instrumentet e standardeve sociale të prodhuara për nën-projektet aktuale dhe të ardhshme, duke përfshirë Planet e Veprimit të Zhvendosjes (PVZH), Vlerësimet e Ndikimit Mjedisor dhe Social (VNMS), Planet për Menaxhim Mjedisor dhe Social (PMMS) dhe nën-planet e menaxhimit, Planet për Menaxhim Mjedisor dhe Social specifike për lokacionin (PMMSS), Procedurën për Menaxhim të Punës (PMP), dhe Planet për Angazhim të Palëve të Interesit (PAPI)</w:t>
      </w:r>
    </w:p>
    <w:p w14:paraId="6336CF4E" w14:textId="77777777" w:rsidR="00E60855" w:rsidRPr="00E60855" w:rsidRDefault="00E60855" w:rsidP="00E60855">
      <w:pPr>
        <w:pStyle w:val="ListParagraph"/>
        <w:ind w:left="426"/>
        <w:contextualSpacing w:val="0"/>
        <w:jc w:val="both"/>
      </w:pPr>
    </w:p>
    <w:p w14:paraId="48BBD839" w14:textId="490EE8AB" w:rsidR="00E60855" w:rsidRPr="00E60855" w:rsidRDefault="00E60855" w:rsidP="00E60855">
      <w:pPr>
        <w:pStyle w:val="ListParagraph"/>
        <w:numPr>
          <w:ilvl w:val="1"/>
          <w:numId w:val="1"/>
        </w:numPr>
        <w:ind w:left="426"/>
        <w:contextualSpacing w:val="0"/>
        <w:jc w:val="both"/>
      </w:pPr>
      <w:r>
        <w:t xml:space="preserve">Kryen kontrollin social të të gjitha nën-projekteve specifike për të siguruar që të gjitha ndikimet e mundshme sociale identifikohen dhe adresohen në kuadër të PVZH-ve/PMMS-ve të zbatueshme, dhe zbatohen para dhe gjatë punimeve ndërtimore. </w:t>
      </w:r>
      <w:r>
        <w:rPr>
          <w:color w:val="000000" w:themeColor="text1"/>
        </w:rPr>
        <w:t>Siguron që identifikohen grupet e cenueshme dhe të pafavorizuara dhe që ndërmerren masa të diferencuara për t’i mbrojtur ata që të preken në mënyrë disproporcionale nga projekti, dhe siguron pjesëmarrjen e tyre të barabartë në përfitimet e projektit.</w:t>
      </w:r>
    </w:p>
    <w:p w14:paraId="6962EA55" w14:textId="77777777" w:rsidR="00E60855" w:rsidRPr="00E60855" w:rsidRDefault="00E60855" w:rsidP="00E60855">
      <w:pPr>
        <w:pStyle w:val="ListParagraph"/>
        <w:contextualSpacing w:val="0"/>
        <w:jc w:val="both"/>
      </w:pPr>
    </w:p>
    <w:p w14:paraId="12C4A0BD" w14:textId="77777777" w:rsidR="00E60855" w:rsidRPr="00E60855" w:rsidRDefault="00E60855" w:rsidP="00E60855">
      <w:pPr>
        <w:jc w:val="both"/>
      </w:pPr>
      <w:r>
        <w:t xml:space="preserve"> </w:t>
      </w:r>
    </w:p>
    <w:p w14:paraId="1C572EAE" w14:textId="510508BD" w:rsidR="00E60855" w:rsidRPr="00E60855" w:rsidRDefault="00E60855" w:rsidP="00E60855">
      <w:pPr>
        <w:pStyle w:val="ListParagraph"/>
        <w:numPr>
          <w:ilvl w:val="1"/>
          <w:numId w:val="1"/>
        </w:numPr>
        <w:ind w:left="426"/>
        <w:contextualSpacing w:val="0"/>
        <w:jc w:val="both"/>
      </w:pPr>
      <w:r>
        <w:t xml:space="preserve">Harton PVZH-të për nën-projektet e ardhshme gjatë zbatimit të projektit </w:t>
      </w:r>
    </w:p>
    <w:p w14:paraId="57A68FA4" w14:textId="77777777" w:rsidR="00E60855" w:rsidRPr="00E60855" w:rsidRDefault="00E60855" w:rsidP="00E60855">
      <w:pPr>
        <w:jc w:val="both"/>
      </w:pPr>
    </w:p>
    <w:p w14:paraId="2BE17CE4" w14:textId="492D1639" w:rsidR="00E60855" w:rsidRPr="00E60855" w:rsidRDefault="00E60855" w:rsidP="00E60855">
      <w:pPr>
        <w:pStyle w:val="ListParagraph"/>
        <w:numPr>
          <w:ilvl w:val="1"/>
          <w:numId w:val="1"/>
        </w:numPr>
        <w:ind w:left="426"/>
        <w:contextualSpacing w:val="0"/>
        <w:jc w:val="both"/>
      </w:pPr>
      <w:r>
        <w:t>Drejton zbatimin e të gjitha PVZH-ve të projektit dhe prodhon raporte periodike për progresin dhe performancën e zbatimit;</w:t>
      </w:r>
    </w:p>
    <w:p w14:paraId="04810967" w14:textId="77777777" w:rsidR="00E60855" w:rsidRPr="00E60855" w:rsidRDefault="00E60855" w:rsidP="00E60855">
      <w:pPr>
        <w:jc w:val="both"/>
      </w:pPr>
    </w:p>
    <w:p w14:paraId="65526E56" w14:textId="1AA7568B" w:rsidR="00E60855" w:rsidRPr="00E60855" w:rsidRDefault="00E60855" w:rsidP="00E60855">
      <w:pPr>
        <w:pStyle w:val="ListParagraph"/>
        <w:numPr>
          <w:ilvl w:val="1"/>
          <w:numId w:val="1"/>
        </w:numPr>
        <w:ind w:left="426"/>
        <w:contextualSpacing w:val="0"/>
        <w:jc w:val="both"/>
      </w:pPr>
      <w:r>
        <w:t>Ndërlidhet me autoritetet lokale dhe i informon ato për zotimet sipas dispozitave të PVZH-së dhe kërkesat e KMS-së për të gjitha nën-projektet, dhe siguron që nuk do të ketë risqe ndaj reputacionit për agjencinë zbatuese dhe Bankën Botërore;</w:t>
      </w:r>
    </w:p>
    <w:p w14:paraId="265FC2BE" w14:textId="77777777" w:rsidR="00E60855" w:rsidRPr="00E60855" w:rsidRDefault="00E60855" w:rsidP="00E60855">
      <w:pPr>
        <w:pStyle w:val="ListParagraph"/>
        <w:ind w:left="426"/>
        <w:contextualSpacing w:val="0"/>
        <w:jc w:val="both"/>
      </w:pPr>
    </w:p>
    <w:p w14:paraId="42BEC346" w14:textId="77777777" w:rsidR="00E60855" w:rsidRPr="00E60855" w:rsidRDefault="00E60855" w:rsidP="00E60855">
      <w:pPr>
        <w:pStyle w:val="ListParagraph"/>
        <w:ind w:left="426"/>
        <w:contextualSpacing w:val="0"/>
        <w:jc w:val="both"/>
      </w:pPr>
    </w:p>
    <w:p w14:paraId="2B561C83" w14:textId="77777777" w:rsidR="00E60855" w:rsidRPr="00E60855" w:rsidRDefault="00E60855" w:rsidP="00E60855">
      <w:pPr>
        <w:pStyle w:val="ListParagraph"/>
        <w:numPr>
          <w:ilvl w:val="1"/>
          <w:numId w:val="1"/>
        </w:numPr>
        <w:ind w:left="426"/>
        <w:contextualSpacing w:val="0"/>
        <w:jc w:val="both"/>
      </w:pPr>
      <w:r>
        <w:t xml:space="preserve">Vendos, mirëmban dhe menaxhon të gjitha procedurat në lidhje me funksionimin e duhur të Mekanizmave për Ankesave (MA) për (i.) palët e prekura nga projekti, dhe palët e tjera të interesit, dhe (ii.) punëtorët e projektit; në përputhje me PAPI dhe PMP. Të dy MA-të do të përshtaten për të qenë në gjendje të merren dhe adresohen si ankesat në lidhje me shfrytëzimin dhe abuzimin seksual (SHAS) ashtu dhe për ngacmimin seksual (NS). Menaxhon mirëmbajtjen e një regjistri të përditësuar të MA-ve për palët e interesit dhe punëtorët e projektit. Kjo përfshin mbledhjen e informacionit nga terreni, regjistrimin dhe analizimin e këtij informacioni, si dhe përcjelljen e çdo pyetje, komenti dhe ankese, sipas nevojës, monitorimin e mbylljes së ankesave dhe raportimin tek menaxhmenti i projektit dhe palët e interesuara; Vendos, mbani dhe menaxhon çdo procedurë tjetër në lidhje me incidentet sociale, përfshirë raportimin dhe pjesëmarrjen në analizën e rrugës/shkaqeve, rekomandimeve për të adresuar çështjet e identifikuara. </w:t>
      </w:r>
    </w:p>
    <w:p w14:paraId="21909D64" w14:textId="77777777" w:rsidR="00E60855" w:rsidRPr="00E60855" w:rsidRDefault="00E60855" w:rsidP="00E60855">
      <w:pPr>
        <w:pStyle w:val="ListParagraph"/>
        <w:rPr>
          <w:color w:val="000000" w:themeColor="text1"/>
        </w:rPr>
      </w:pPr>
    </w:p>
    <w:p w14:paraId="43F2C9F6" w14:textId="77777777" w:rsidR="00E60855" w:rsidRPr="00E60855" w:rsidRDefault="00E60855" w:rsidP="00E60855">
      <w:pPr>
        <w:pStyle w:val="ListParagraph"/>
        <w:numPr>
          <w:ilvl w:val="1"/>
          <w:numId w:val="1"/>
        </w:numPr>
        <w:ind w:left="426"/>
        <w:contextualSpacing w:val="0"/>
        <w:jc w:val="both"/>
      </w:pPr>
      <w:r>
        <w:rPr>
          <w:color w:val="000000" w:themeColor="text1"/>
        </w:rPr>
        <w:t>Mbikëqyr hetimet e incidenteve sociale/papajtueshmërisë.</w:t>
      </w:r>
    </w:p>
    <w:p w14:paraId="543ACAE4" w14:textId="77777777" w:rsidR="00E60855" w:rsidRPr="00E60855" w:rsidRDefault="00E60855" w:rsidP="00E60855">
      <w:pPr>
        <w:pStyle w:val="ListParagraph"/>
        <w:rPr>
          <w:color w:val="000000" w:themeColor="text1"/>
        </w:rPr>
      </w:pPr>
    </w:p>
    <w:p w14:paraId="6E867593" w14:textId="77777777" w:rsidR="00E60855" w:rsidRPr="00E60855" w:rsidRDefault="00E60855" w:rsidP="00E60855">
      <w:pPr>
        <w:pStyle w:val="ListParagraph"/>
        <w:numPr>
          <w:ilvl w:val="1"/>
          <w:numId w:val="1"/>
        </w:numPr>
        <w:ind w:left="426"/>
        <w:contextualSpacing w:val="0"/>
        <w:jc w:val="both"/>
      </w:pPr>
      <w:r>
        <w:rPr>
          <w:color w:val="000000" w:themeColor="text1"/>
        </w:rPr>
        <w:t>Mirëmbani vetëdijen për ndryshimet rregullatore dhe informoni personelin përkatës të NJZP-së</w:t>
      </w:r>
    </w:p>
    <w:p w14:paraId="0078B875" w14:textId="16ABC0B2" w:rsidR="00E60855" w:rsidRPr="00E60855" w:rsidRDefault="00E60855" w:rsidP="00E60855">
      <w:pPr>
        <w:spacing w:before="120" w:after="120"/>
        <w:jc w:val="both"/>
      </w:pPr>
    </w:p>
    <w:p w14:paraId="32490D2A" w14:textId="77777777" w:rsidR="00E60855" w:rsidRPr="00E60855" w:rsidRDefault="00E60855" w:rsidP="00E60855">
      <w:pPr>
        <w:numPr>
          <w:ilvl w:val="1"/>
          <w:numId w:val="1"/>
        </w:numPr>
        <w:spacing w:before="120" w:after="120"/>
        <w:ind w:left="426"/>
        <w:jc w:val="both"/>
      </w:pPr>
      <w:r>
        <w:rPr>
          <w:color w:val="000000" w:themeColor="text1"/>
        </w:rPr>
        <w:lastRenderedPageBreak/>
        <w:t xml:space="preserve">Menaxhon zbatimin e procedurave dhe planeve të menaxhimit në lidhje me ndikimet socio-ekonomike, gjininë, SHAS/NS, përfshirjen sociale, mekanizmin e ankesave, shëndetin dhe sigurinë e komunitetit. </w:t>
      </w:r>
    </w:p>
    <w:p w14:paraId="378AC1A0" w14:textId="77777777" w:rsidR="00E60855" w:rsidRPr="00E60855" w:rsidRDefault="00E60855" w:rsidP="00E60855">
      <w:pPr>
        <w:numPr>
          <w:ilvl w:val="1"/>
          <w:numId w:val="1"/>
        </w:numPr>
        <w:spacing w:before="120" w:after="120"/>
        <w:ind w:left="426"/>
        <w:jc w:val="both"/>
      </w:pPr>
      <w:r>
        <w:t>Së bashku me Specialistin e Mjedisit, mbështet zhvillimin e të gjitha instrumenteve të standardeve sociale dhe mjedisore që do të prodhohen për nën-projektet e ardhshme gjatë zbatimit, mbikëqyr aprovimin e tyre nga Banka Botërore dhe organizon dhe zhvillon konsultime publike për draftet përpara shpalosjes së tyre përfundimtare;</w:t>
      </w:r>
    </w:p>
    <w:p w14:paraId="6132F366" w14:textId="77777777" w:rsidR="00E60855" w:rsidRPr="00E60855" w:rsidRDefault="00E60855" w:rsidP="00E60855">
      <w:pPr>
        <w:numPr>
          <w:ilvl w:val="1"/>
          <w:numId w:val="1"/>
        </w:numPr>
        <w:spacing w:before="120" w:after="120"/>
        <w:ind w:left="426"/>
        <w:jc w:val="both"/>
      </w:pPr>
      <w:r>
        <w:t>Kontribuon, sa u përket aspekteve të zhvillimit social, në zhvillimin e projekteve të detajuara inxhinierike për nën-projektet e ardhshme, që do të zhvillohen gjatë zbatimit të projektit;</w:t>
      </w:r>
    </w:p>
    <w:p w14:paraId="7AB07129" w14:textId="77777777" w:rsidR="00E60855" w:rsidRPr="00E60855" w:rsidRDefault="00E60855" w:rsidP="00E60855">
      <w:pPr>
        <w:numPr>
          <w:ilvl w:val="1"/>
          <w:numId w:val="1"/>
        </w:numPr>
        <w:spacing w:before="120" w:after="120"/>
        <w:ind w:left="426"/>
        <w:jc w:val="both"/>
      </w:pPr>
      <w:r>
        <w:t xml:space="preserve">Mirëmban bashkëpunimin e punës, duke kërkuar, mbledhur dhe analizuar informacione mbi çështjet sociale të marra nga të gjitha palët e përfshira në zbatimin e projektit; </w:t>
      </w:r>
    </w:p>
    <w:p w14:paraId="5DF21B51" w14:textId="3D482503" w:rsidR="00E60855" w:rsidRPr="00E60855" w:rsidRDefault="00E60855" w:rsidP="00E60855">
      <w:pPr>
        <w:numPr>
          <w:ilvl w:val="1"/>
          <w:numId w:val="1"/>
        </w:numPr>
        <w:spacing w:before="120" w:after="120"/>
        <w:ind w:left="426"/>
        <w:jc w:val="both"/>
      </w:pPr>
      <w:r>
        <w:t xml:space="preserve">Dorëzon informacion të rregullt për progresin e zbatimit të projektit në lidhje me çështjet sociale tek udhëheqja e NJZP-së, Ministria dhe Banka Botërore; </w:t>
      </w:r>
    </w:p>
    <w:p w14:paraId="2C0EE225" w14:textId="77777777" w:rsidR="00E60855" w:rsidRPr="00E60855" w:rsidRDefault="00E60855" w:rsidP="00E60855">
      <w:pPr>
        <w:numPr>
          <w:ilvl w:val="1"/>
          <w:numId w:val="1"/>
        </w:numPr>
        <w:spacing w:before="120" w:after="120"/>
        <w:ind w:left="426"/>
        <w:jc w:val="both"/>
      </w:pPr>
      <w:r>
        <w:t>Raporton rregullisht si pjesë e raportit të projektit që do të dorëzohet në Bankën Botërore për të gjitha aspektet që lidhen me zhvillimin social dhe çështjet sociale (përfshirë treguesit kyç të projektit), në përputhje me parimet dhe standardet e KMS-së. Kjo përfshin, por nuk kufizohet në: inspektime/kontrolle vizuale, statusin e zbatimit të çdo nën-plani menaxhimi PVZH-je, PMP-je, PAPI, PMMS-je, SHAS/NS, komunikimin me popullatën përfituese, MKA, etj.</w:t>
      </w:r>
    </w:p>
    <w:p w14:paraId="5D4DEA56" w14:textId="77777777" w:rsidR="00E60855" w:rsidRPr="00E60855" w:rsidRDefault="00E60855" w:rsidP="00E60855">
      <w:pPr>
        <w:pStyle w:val="ListParagraph"/>
        <w:numPr>
          <w:ilvl w:val="1"/>
          <w:numId w:val="1"/>
        </w:numPr>
        <w:spacing w:before="120" w:after="120"/>
        <w:ind w:left="426"/>
        <w:contextualSpacing w:val="0"/>
        <w:jc w:val="both"/>
        <w:rPr>
          <w:rFonts w:eastAsia="Arial Unicode MS"/>
          <w:color w:val="000000"/>
        </w:rPr>
      </w:pPr>
      <w:r>
        <w:rPr>
          <w:color w:val="000000"/>
        </w:rPr>
        <w:t xml:space="preserve">Monitoron në baza ditore, performancën e kontraktorëve në kuadër të projektit për të siguruar pajtueshmërinë e kontraktorëve me PVZH, VNMS, PMMS dhe PMMSS, PMP, PAPI dhe instrumente të tjera relevante specifike për lokacionin, dhe në përputhje me KMS-në, si dhe </w:t>
      </w:r>
      <w:r>
        <w:rPr>
          <w:color w:val="000000" w:themeColor="text1"/>
        </w:rPr>
        <w:t>ligjet, rregulloret dhe standardet e zbatueshme kombëtare</w:t>
      </w:r>
      <w:r>
        <w:rPr>
          <w:color w:val="000000"/>
        </w:rPr>
        <w:t>;</w:t>
      </w:r>
    </w:p>
    <w:p w14:paraId="268E15F6" w14:textId="77777777" w:rsidR="00E60855" w:rsidRPr="00E60855" w:rsidRDefault="00E60855" w:rsidP="00E60855">
      <w:pPr>
        <w:numPr>
          <w:ilvl w:val="1"/>
          <w:numId w:val="1"/>
        </w:numPr>
        <w:spacing w:before="120" w:after="120"/>
        <w:ind w:left="426"/>
        <w:jc w:val="both"/>
        <w:rPr>
          <w:rFonts w:eastAsia="Arial Unicode MS"/>
          <w:color w:val="000000"/>
        </w:rPr>
      </w:pPr>
      <w:r>
        <w:rPr>
          <w:color w:val="000000"/>
        </w:rPr>
        <w:t xml:space="preserve">Siguron që dokumentet e prokurimit të përfshijnë të gjitha kërkesat e nevojshme për të qenë në përputhje me kërkesat e KMS-së, me fokus të veçantë në elementet sociale. Në mënyrë të veçantë, siguron që teksti për përgjegjësitë sociale të kontraktorëve të përfshihet në dokumentet e ofertës dhe të pasqyrohet në kontratat e projektit, dhe që masat e vetëdijesimit të kryhen për këto masa për kontraktorët (si dhe nën-kontraktorët, kur është e nevojshme).  </w:t>
      </w:r>
    </w:p>
    <w:p w14:paraId="2C112888" w14:textId="77777777" w:rsidR="00E60855" w:rsidRPr="00E60855" w:rsidRDefault="00E60855" w:rsidP="00E60855">
      <w:pPr>
        <w:numPr>
          <w:ilvl w:val="1"/>
          <w:numId w:val="1"/>
        </w:numPr>
        <w:spacing w:before="120" w:after="120"/>
        <w:ind w:left="426"/>
        <w:jc w:val="both"/>
        <w:rPr>
          <w:rFonts w:eastAsia="Arial Unicode MS"/>
          <w:color w:val="000000"/>
        </w:rPr>
      </w:pPr>
      <w:r>
        <w:rPr>
          <w:color w:val="000000"/>
        </w:rPr>
        <w:t>Siguron veprime korrigjuese për shqetësimet dhe gjetjet e monitorimit social. Ndjek veprimet korrigjuese dhe parandaluese të ndërmarra si reagim ndaj gjetjeve të auditimit/inspektimit të brendshëm dhe të jashtëm.</w:t>
      </w:r>
    </w:p>
    <w:p w14:paraId="294CB828" w14:textId="77777777" w:rsidR="00E60855" w:rsidRPr="00E60855" w:rsidRDefault="00E60855" w:rsidP="00E60855">
      <w:pPr>
        <w:numPr>
          <w:ilvl w:val="1"/>
          <w:numId w:val="1"/>
        </w:numPr>
        <w:spacing w:before="120" w:after="120"/>
        <w:ind w:left="426"/>
        <w:jc w:val="both"/>
        <w:rPr>
          <w:rFonts w:eastAsia="Arial Unicode MS"/>
          <w:color w:val="000000"/>
        </w:rPr>
      </w:pPr>
      <w:r>
        <w:rPr>
          <w:color w:val="000000"/>
        </w:rPr>
        <w:t xml:space="preserve">Siguron udhëzimeve dhe drejtim për menaxhmentin dhe personelin e NJZP-së për arritjen e pajtueshmërisë me të gjitha standardet dhe kërkesat e zbatueshme sociale të KMS-së; </w:t>
      </w:r>
    </w:p>
    <w:p w14:paraId="7F41ACB2" w14:textId="77777777" w:rsidR="00E60855" w:rsidRPr="00E60855" w:rsidRDefault="00E60855" w:rsidP="00E60855">
      <w:pPr>
        <w:numPr>
          <w:ilvl w:val="1"/>
          <w:numId w:val="1"/>
        </w:numPr>
        <w:spacing w:before="120" w:after="120"/>
        <w:ind w:left="426"/>
        <w:jc w:val="both"/>
        <w:rPr>
          <w:rFonts w:eastAsia="Arial Unicode MS"/>
          <w:color w:val="000000"/>
        </w:rPr>
      </w:pPr>
      <w:r>
        <w:rPr>
          <w:color w:val="000000"/>
        </w:rPr>
        <w:t>Informon menaxhmentin e NJZP-së / menaxherin e projektit për nevojën për të përditësuar instrumentet e KMS-së nëse është e nevojshme gjatë zbatimit të projektit, si dhe në rast të ndryshimeve të legjislacionit vendas.</w:t>
      </w:r>
    </w:p>
    <w:p w14:paraId="158B2486" w14:textId="65AD54D6" w:rsidR="00E60855" w:rsidRPr="00E60855" w:rsidRDefault="00E60855" w:rsidP="00E60855">
      <w:pPr>
        <w:numPr>
          <w:ilvl w:val="1"/>
          <w:numId w:val="1"/>
        </w:numPr>
        <w:spacing w:before="120" w:after="120"/>
        <w:ind w:left="426"/>
        <w:jc w:val="both"/>
        <w:rPr>
          <w:rFonts w:eastAsia="Arial Unicode MS"/>
          <w:color w:val="000000"/>
        </w:rPr>
      </w:pPr>
      <w:r>
        <w:rPr>
          <w:color w:val="000000"/>
        </w:rPr>
        <w:t xml:space="preserve">Siguron që komunitetet dhe palët e interesit të prekura nga projekti dhe përfituesit, dhe të gjithë aktorët e përfshirë në zbatimin e projektit (stafi teknik i projektit, kontraktorët, qeverisjet lokale, etj.) të bëhen të vetëdijshëm për kërkesat sociale të projektit sipas VNMS, PMMS, PAPI dhe PMP. </w:t>
      </w:r>
    </w:p>
    <w:p w14:paraId="1604E5E6" w14:textId="77777777" w:rsidR="00E60855" w:rsidRPr="00E60855" w:rsidRDefault="00E60855" w:rsidP="00E60855">
      <w:pPr>
        <w:numPr>
          <w:ilvl w:val="1"/>
          <w:numId w:val="1"/>
        </w:numPr>
        <w:spacing w:before="120" w:after="120"/>
        <w:ind w:left="426"/>
        <w:jc w:val="both"/>
        <w:rPr>
          <w:rFonts w:eastAsia="Arial Unicode MS"/>
          <w:color w:val="000000"/>
        </w:rPr>
      </w:pPr>
      <w:r>
        <w:rPr>
          <w:color w:val="000000"/>
        </w:rPr>
        <w:t>Ndërlidhet me palët e interesit dhe konsultimet për çështjet e masave mbrojtëse, duke përfshirë bashkëpunimin dhe koordinimin me popullatën lokale, institucionet lokale dhe organizatat e shoqërisë civile, dhe shqyrton kërkesat, apelet dhe ankesat e tyre, nëse ka;</w:t>
      </w:r>
    </w:p>
    <w:p w14:paraId="54F46B64" w14:textId="1D92CA1A" w:rsidR="00E60855" w:rsidRPr="00E60855" w:rsidRDefault="00E60855" w:rsidP="00E60855">
      <w:pPr>
        <w:numPr>
          <w:ilvl w:val="1"/>
          <w:numId w:val="1"/>
        </w:numPr>
        <w:spacing w:before="120" w:after="120"/>
        <w:ind w:left="426"/>
        <w:jc w:val="both"/>
        <w:rPr>
          <w:color w:val="000000"/>
        </w:rPr>
      </w:pPr>
      <w:r>
        <w:rPr>
          <w:color w:val="000000"/>
        </w:rPr>
        <w:lastRenderedPageBreak/>
        <w:t xml:space="preserve">Së bashku me të tjerët, planifikon, organizon dhe zbaton aktivitetet për angazhim të palëve të interesit sipas PAPI në kohën e duhur dhe në mënyrë efektive.  </w:t>
      </w:r>
    </w:p>
    <w:p w14:paraId="3FC8B611" w14:textId="77777777" w:rsidR="00E60855" w:rsidRPr="00E60855" w:rsidRDefault="00E60855" w:rsidP="00E60855">
      <w:pPr>
        <w:spacing w:before="120" w:after="120"/>
        <w:ind w:left="426"/>
        <w:jc w:val="both"/>
        <w:rPr>
          <w:rFonts w:eastAsia="Arial Unicode MS"/>
          <w:color w:val="000000"/>
          <w:lang w:eastAsia="ru-RU"/>
        </w:rPr>
      </w:pPr>
    </w:p>
    <w:p w14:paraId="11FD82BF" w14:textId="77777777" w:rsidR="00E60855" w:rsidRPr="00E60855" w:rsidRDefault="00E60855" w:rsidP="00E60855">
      <w:pPr>
        <w:numPr>
          <w:ilvl w:val="1"/>
          <w:numId w:val="1"/>
        </w:numPr>
        <w:spacing w:before="120" w:after="120"/>
        <w:ind w:left="426"/>
        <w:jc w:val="both"/>
        <w:rPr>
          <w:rFonts w:eastAsia="Arial Unicode MS"/>
          <w:color w:val="000000"/>
        </w:rPr>
      </w:pPr>
      <w:r>
        <w:rPr>
          <w:color w:val="000000"/>
        </w:rPr>
        <w:t>Merr pjesë në të gjitha takimet e projektit mes NJZP-së dhe kontraktorëve, në përfaqësimin e çështjeve sociale dhe zhvendosjes në takime të tilla (kjo është thelbësore për të mbajtur standardet sociale në rrjedhën e informacionit ditor dhe proceset e vendimmarrjes);</w:t>
      </w:r>
    </w:p>
    <w:p w14:paraId="458D8153" w14:textId="77777777" w:rsidR="00E60855" w:rsidRPr="00E60855" w:rsidRDefault="00E60855" w:rsidP="00E60855">
      <w:pPr>
        <w:numPr>
          <w:ilvl w:val="1"/>
          <w:numId w:val="1"/>
        </w:numPr>
        <w:spacing w:before="120" w:after="120"/>
        <w:ind w:left="426"/>
        <w:jc w:val="both"/>
        <w:rPr>
          <w:color w:val="000000"/>
        </w:rPr>
      </w:pPr>
      <w:r>
        <w:rPr>
          <w:color w:val="000000"/>
        </w:rPr>
        <w:t>Kryen analiza dhe kontribuon në raportet tremujore të progresit për çështjet mjedisore dhe sociale dhe PPMS që do të dorëzohen në Bankën Botërore.</w:t>
      </w:r>
    </w:p>
    <w:p w14:paraId="60A71FDF" w14:textId="77777777" w:rsidR="00E60855" w:rsidRPr="00E60855" w:rsidRDefault="00E60855" w:rsidP="00E60855">
      <w:pPr>
        <w:numPr>
          <w:ilvl w:val="1"/>
          <w:numId w:val="1"/>
        </w:numPr>
        <w:spacing w:before="120" w:after="120"/>
        <w:ind w:left="426"/>
        <w:jc w:val="both"/>
        <w:rPr>
          <w:color w:val="000000"/>
        </w:rPr>
      </w:pPr>
      <w:r>
        <w:rPr>
          <w:color w:val="000000"/>
        </w:rPr>
        <w:t>Siguron bashkëpunim të ngushtë me përfaqësuesin e Bankës Botërore për çështjet gjinore / të zhvillimit social brenda kornizës së projektit në aspektin e konsultimit dhe informacionit për progresin e projektit;</w:t>
      </w:r>
    </w:p>
    <w:p w14:paraId="6916E861" w14:textId="35047794" w:rsidR="00E60855" w:rsidRPr="00E60855" w:rsidRDefault="00E60855" w:rsidP="00E60855">
      <w:pPr>
        <w:numPr>
          <w:ilvl w:val="1"/>
          <w:numId w:val="1"/>
        </w:numPr>
        <w:spacing w:before="120" w:after="120"/>
        <w:ind w:left="426"/>
        <w:jc w:val="both"/>
        <w:rPr>
          <w:b/>
          <w:color w:val="000000"/>
        </w:rPr>
      </w:pPr>
      <w:r>
        <w:rPr>
          <w:color w:val="000000"/>
        </w:rPr>
        <w:t>Kryen detyra të tjera të kualifikuara siç është caktuar në këto TeR.</w:t>
      </w:r>
      <w:r>
        <w:rPr>
          <w:b/>
          <w:color w:val="000000"/>
        </w:rPr>
        <w:t xml:space="preserve"> </w:t>
      </w:r>
    </w:p>
    <w:p w14:paraId="2EDDAD8D" w14:textId="77777777" w:rsidR="00E60855" w:rsidRPr="00E60855" w:rsidRDefault="00E60855" w:rsidP="00E60855">
      <w:pPr>
        <w:rPr>
          <w:b/>
          <w:color w:val="000000"/>
        </w:rPr>
      </w:pPr>
    </w:p>
    <w:p w14:paraId="0957CBAC" w14:textId="77777777" w:rsidR="00E60855" w:rsidRPr="00E60855" w:rsidRDefault="00E60855" w:rsidP="00E60855">
      <w:pPr>
        <w:rPr>
          <w:b/>
          <w:color w:val="000000"/>
        </w:rPr>
      </w:pPr>
      <w:r>
        <w:rPr>
          <w:b/>
          <w:color w:val="000000"/>
        </w:rPr>
        <w:t>Kohëzgjatja dhe lokacioni i shërbimeve</w:t>
      </w:r>
    </w:p>
    <w:p w14:paraId="082D49F9" w14:textId="77777777" w:rsidR="00E60855" w:rsidRPr="00E60855" w:rsidRDefault="00E60855" w:rsidP="00E60855">
      <w:pPr>
        <w:jc w:val="both"/>
        <w:rPr>
          <w:bCs/>
          <w:color w:val="000000"/>
        </w:rPr>
      </w:pPr>
    </w:p>
    <w:p w14:paraId="0989C24D" w14:textId="77777777" w:rsidR="00E60855" w:rsidRPr="00E60855" w:rsidRDefault="00E60855" w:rsidP="00E60855">
      <w:pPr>
        <w:rPr>
          <w:b/>
          <w:color w:val="000000"/>
        </w:rPr>
      </w:pPr>
    </w:p>
    <w:p w14:paraId="04EFAC83" w14:textId="77777777" w:rsidR="00E60855" w:rsidRPr="00E60855" w:rsidRDefault="00E60855" w:rsidP="00E60855">
      <w:pPr>
        <w:rPr>
          <w:b/>
          <w:color w:val="000000"/>
        </w:rPr>
      </w:pPr>
      <w:r>
        <w:rPr>
          <w:b/>
          <w:color w:val="000000"/>
        </w:rPr>
        <w:t>Kërkesat për kualifikimet.</w:t>
      </w:r>
    </w:p>
    <w:p w14:paraId="79B9DB54" w14:textId="77777777" w:rsidR="00E60855" w:rsidRPr="00E60855" w:rsidRDefault="00E60855" w:rsidP="00E60855"/>
    <w:p w14:paraId="6A201921" w14:textId="77777777" w:rsidR="00E60855" w:rsidRPr="00E60855" w:rsidRDefault="00E60855" w:rsidP="00E60855">
      <w:pPr>
        <w:numPr>
          <w:ilvl w:val="0"/>
          <w:numId w:val="2"/>
        </w:numPr>
        <w:tabs>
          <w:tab w:val="clear" w:pos="720"/>
        </w:tabs>
        <w:ind w:left="360"/>
        <w:jc w:val="both"/>
      </w:pPr>
      <w:r>
        <w:t>Diplomë Master në zhvillim social, sociologji, studime shoqërore ose fusha të lidhura në shkencat sociale, me së paku 5 vjet përvojë pune në një fushë të zhvillimit social;</w:t>
      </w:r>
    </w:p>
    <w:p w14:paraId="6C70EB51" w14:textId="0AE50D6B" w:rsidR="00E60855" w:rsidRPr="00E60855" w:rsidRDefault="00E60855" w:rsidP="00E60855">
      <w:pPr>
        <w:numPr>
          <w:ilvl w:val="0"/>
          <w:numId w:val="2"/>
        </w:numPr>
        <w:ind w:left="360"/>
        <w:jc w:val="both"/>
      </w:pPr>
      <w:r>
        <w:t>Përvojë specifike e punës (jo më pak se 3 vjet) me projekte të financuara, plotësisht ose pjesërisht, nga organizata ndërkombëtare ose donatorë të tjerë ndërkombëtarë;</w:t>
      </w:r>
    </w:p>
    <w:p w14:paraId="43006495" w14:textId="77777777" w:rsidR="00E60855" w:rsidRPr="00E60855" w:rsidRDefault="00E60855" w:rsidP="00E60855">
      <w:pPr>
        <w:numPr>
          <w:ilvl w:val="0"/>
          <w:numId w:val="2"/>
        </w:numPr>
        <w:ind w:left="360"/>
        <w:jc w:val="both"/>
      </w:pPr>
      <w:r>
        <w:t>Njohje e fortë me KMS-në e Bankës Botërore ose politika të ngjashme mjedisore dhe sociale të IHF-ve;</w:t>
      </w:r>
    </w:p>
    <w:p w14:paraId="011F802C" w14:textId="77777777" w:rsidR="00E60855" w:rsidRPr="00E60855" w:rsidRDefault="00E60855" w:rsidP="00E60855">
      <w:pPr>
        <w:numPr>
          <w:ilvl w:val="0"/>
          <w:numId w:val="2"/>
        </w:numPr>
        <w:ind w:left="360"/>
        <w:jc w:val="both"/>
      </w:pPr>
      <w:r>
        <w:t>Shkathtësi të mira kompjuterike, të gjitha aplikacionet e Microsoft Windows office.</w:t>
      </w:r>
    </w:p>
    <w:p w14:paraId="73F3C337" w14:textId="12D75509" w:rsidR="00E60855" w:rsidRPr="00E60855" w:rsidRDefault="00E60855" w:rsidP="00E60855">
      <w:pPr>
        <w:ind w:left="425"/>
        <w:jc w:val="both"/>
        <w:rPr>
          <w:bCs/>
        </w:rPr>
      </w:pPr>
      <w:r>
        <w:t xml:space="preserve">Shkathtësi të mira me shkrim dhe komunikim në anglisht, posaçërisht shkathtësi për të shkruar dhe lexuar. </w:t>
      </w:r>
    </w:p>
    <w:p w14:paraId="69950C14" w14:textId="77777777" w:rsidR="00E60855" w:rsidRPr="00E60855" w:rsidRDefault="00E60855" w:rsidP="00E60855">
      <w:pPr>
        <w:ind w:left="425"/>
        <w:jc w:val="both"/>
        <w:rPr>
          <w:bCs/>
        </w:rPr>
      </w:pPr>
      <w:r>
        <w:t>Përkushtim i fortë ndaj përfshirjes sociale, angazhimit të komunitetit dhe menaxhimit me përgjegjësi sociale të e projekteve.</w:t>
      </w:r>
    </w:p>
    <w:p w14:paraId="15FD3D80" w14:textId="77777777" w:rsidR="00E60855" w:rsidRPr="00E60855" w:rsidRDefault="00E60855" w:rsidP="00E60855">
      <w:pPr>
        <w:ind w:left="425"/>
        <w:jc w:val="both"/>
        <w:rPr>
          <w:bCs/>
        </w:rPr>
      </w:pPr>
      <w:r>
        <w:t>Aftësi e demonstruar për të punuar brenda një ekipi të madh dhe për t’u angazhuar me anëtarët e ekipit me sfond të ndryshëm teknik.</w:t>
      </w:r>
    </w:p>
    <w:p w14:paraId="2F2D0FFF" w14:textId="77777777" w:rsidR="00E60855" w:rsidRPr="00E60855" w:rsidRDefault="00E60855" w:rsidP="00E60855">
      <w:pPr>
        <w:ind w:left="425"/>
        <w:jc w:val="both"/>
        <w:rPr>
          <w:bCs/>
        </w:rPr>
      </w:pPr>
      <w:r>
        <w:t>Përvojë dhe aftësi e dëshmuar për t’u angazhuar dhe komunikuar në mënyrë efektive me palë të ndryshme të interesit, përfshirë qytetarë me prejardhje të ndryshme, komunitete, organizata të shoqërisë civile, pushtetin lokal, kontraktorë të punimeve ndërtimore, agjenci qeveritare, etj.</w:t>
      </w:r>
    </w:p>
    <w:p w14:paraId="6ECB81D3" w14:textId="77777777" w:rsidR="00E60855" w:rsidRPr="00E60855" w:rsidRDefault="00E60855" w:rsidP="00E60855">
      <w:pPr>
        <w:ind w:left="425"/>
        <w:jc w:val="both"/>
        <w:rPr>
          <w:bCs/>
        </w:rPr>
      </w:pPr>
      <w:r>
        <w:t>Të menduar analitik dhe shkathtësi për zgjidhjen e problemeve.</w:t>
      </w:r>
    </w:p>
    <w:p w14:paraId="104073D7" w14:textId="77777777" w:rsidR="00E60855" w:rsidRPr="00E60855" w:rsidRDefault="00E60855" w:rsidP="00E60855">
      <w:pPr>
        <w:ind w:left="425"/>
        <w:jc w:val="both"/>
        <w:rPr>
          <w:bCs/>
        </w:rPr>
      </w:pPr>
      <w:r>
        <w:t>Përshtatshmëri ndaj orarit fleksibël të punës.</w:t>
      </w:r>
    </w:p>
    <w:p w14:paraId="13A8C012" w14:textId="77777777" w:rsidR="00E60855" w:rsidRPr="00E60855" w:rsidRDefault="00E60855" w:rsidP="00E60855">
      <w:pPr>
        <w:ind w:left="425"/>
        <w:jc w:val="both"/>
        <w:rPr>
          <w:bCs/>
        </w:rPr>
      </w:pPr>
      <w:r>
        <w:t>Gatishmëri për të udhëtuar në lokacionet e projektit.</w:t>
      </w:r>
    </w:p>
    <w:p w14:paraId="4BDD3886" w14:textId="77777777" w:rsidR="00E60855" w:rsidRPr="00E60855" w:rsidRDefault="00E60855" w:rsidP="00E60855">
      <w:pPr>
        <w:ind w:left="425"/>
        <w:jc w:val="both"/>
        <w:rPr>
          <w:b/>
        </w:rPr>
      </w:pPr>
    </w:p>
    <w:p w14:paraId="00CE3930" w14:textId="77777777" w:rsidR="00E60855" w:rsidRPr="00E60855" w:rsidRDefault="00E60855" w:rsidP="00E60855">
      <w:pPr>
        <w:spacing w:after="200" w:line="276" w:lineRule="auto"/>
        <w:jc w:val="center"/>
        <w:rPr>
          <w:rFonts w:ascii="Times New Roman Bold" w:hAnsi="Times New Roman Bold"/>
          <w:b/>
          <w:smallCaps/>
        </w:rPr>
      </w:pPr>
    </w:p>
    <w:p w14:paraId="02748503" w14:textId="77777777" w:rsidR="00E60855" w:rsidRPr="00E60855" w:rsidRDefault="00E60855" w:rsidP="00E60855"/>
    <w:p w14:paraId="4B1F7BC3" w14:textId="77777777" w:rsidR="00DA0C37" w:rsidRPr="00E60855" w:rsidRDefault="00DA0C37"/>
    <w:sectPr w:rsidR="00DA0C37" w:rsidRPr="00E60855" w:rsidSect="0004630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06B94" w14:textId="77777777" w:rsidR="00EE2A31" w:rsidRDefault="00EE2A31">
      <w:r>
        <w:separator/>
      </w:r>
    </w:p>
  </w:endnote>
  <w:endnote w:type="continuationSeparator" w:id="0">
    <w:p w14:paraId="5B4D5AA4" w14:textId="77777777" w:rsidR="00EE2A31" w:rsidRDefault="00EE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808F7" w14:textId="77777777" w:rsidR="00046308" w:rsidRDefault="00EE2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5883489"/>
      <w:docPartObj>
        <w:docPartGallery w:val="Page Numbers (Bottom of Page)"/>
        <w:docPartUnique/>
      </w:docPartObj>
    </w:sdtPr>
    <w:sdtEndPr>
      <w:rPr>
        <w:noProof/>
        <w:sz w:val="20"/>
        <w:szCs w:val="20"/>
      </w:rPr>
    </w:sdtEndPr>
    <w:sdtContent>
      <w:p w14:paraId="75547FC6" w14:textId="77777777" w:rsidR="00046308" w:rsidRPr="00046308" w:rsidRDefault="008D4E29">
        <w:pPr>
          <w:pStyle w:val="Footer"/>
          <w:jc w:val="center"/>
          <w:rPr>
            <w:sz w:val="20"/>
            <w:szCs w:val="20"/>
          </w:rPr>
        </w:pPr>
        <w:r w:rsidRPr="00046308">
          <w:rPr>
            <w:sz w:val="20"/>
            <w:szCs w:val="20"/>
          </w:rPr>
          <w:fldChar w:fldCharType="begin"/>
        </w:r>
        <w:r w:rsidRPr="00046308">
          <w:rPr>
            <w:sz w:val="20"/>
            <w:szCs w:val="20"/>
          </w:rPr>
          <w:instrText xml:space="preserve"> PAGE   \* MERGEFORMAT </w:instrText>
        </w:r>
        <w:r w:rsidRPr="00046308">
          <w:rPr>
            <w:sz w:val="20"/>
            <w:szCs w:val="20"/>
          </w:rPr>
          <w:fldChar w:fldCharType="separate"/>
        </w:r>
        <w:r w:rsidRPr="00046308">
          <w:rPr>
            <w:sz w:val="20"/>
            <w:szCs w:val="20"/>
          </w:rPr>
          <w:t>2</w:t>
        </w:r>
        <w:r w:rsidRPr="00046308">
          <w:rPr>
            <w:sz w:val="20"/>
            <w:szCs w:val="20"/>
          </w:rPr>
          <w:fldChar w:fldCharType="end"/>
        </w:r>
      </w:p>
    </w:sdtContent>
  </w:sdt>
  <w:p w14:paraId="45B6B43C" w14:textId="77777777" w:rsidR="00046308" w:rsidRDefault="00EE2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C11FC" w14:textId="77777777" w:rsidR="00046308" w:rsidRDefault="00EE2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72A4C" w14:textId="77777777" w:rsidR="00EE2A31" w:rsidRDefault="00EE2A31">
      <w:r>
        <w:separator/>
      </w:r>
    </w:p>
  </w:footnote>
  <w:footnote w:type="continuationSeparator" w:id="0">
    <w:p w14:paraId="1F1173D0" w14:textId="77777777" w:rsidR="00EE2A31" w:rsidRDefault="00EE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BC33C" w14:textId="77777777" w:rsidR="00046308" w:rsidRDefault="00EE2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0B65D" w14:textId="77777777" w:rsidR="00046308" w:rsidRDefault="00EE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8C9D3" w14:textId="77777777" w:rsidR="00046308" w:rsidRDefault="00EE2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16BD1"/>
    <w:multiLevelType w:val="hybridMultilevel"/>
    <w:tmpl w:val="EC761624"/>
    <w:lvl w:ilvl="0" w:tplc="0D70F3FC">
      <w:start w:val="1"/>
      <w:numFmt w:val="bullet"/>
      <w:lvlText w:val=""/>
      <w:lvlJc w:val="left"/>
      <w:pPr>
        <w:tabs>
          <w:tab w:val="num" w:pos="720"/>
        </w:tabs>
        <w:ind w:left="720" w:hanging="360"/>
      </w:pPr>
      <w:rPr>
        <w:rFonts w:ascii="Wingdings" w:hAnsi="Wingdings" w:hint="default"/>
        <w:b w:val="0"/>
        <w:i w:val="0"/>
        <w:color w:val="auto"/>
        <w:lang w:val="en-US"/>
      </w:rPr>
    </w:lvl>
    <w:lvl w:ilvl="1" w:tplc="041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9B08DF"/>
    <w:multiLevelType w:val="hybridMultilevel"/>
    <w:tmpl w:val="11FE84A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55"/>
    <w:rsid w:val="0072073A"/>
    <w:rsid w:val="008353EB"/>
    <w:rsid w:val="008D4E29"/>
    <w:rsid w:val="00DA0C37"/>
    <w:rsid w:val="00E60855"/>
    <w:rsid w:val="00EE2308"/>
    <w:rsid w:val="00EE2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9E146"/>
  <w15:chartTrackingRefBased/>
  <w15:docId w15:val="{230DE747-F0C4-4C55-8568-5AFF6A0C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8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ormal 2,Main numbered paragraph,References,Source,List_Paragraph,Multilevel para_II,List Paragraph1,MC Paragraphe Liste,Colorful List - Accent 11,Bullets,Akapit z listą BS,List Bullet-OpsManual,Title Style 1"/>
    <w:basedOn w:val="Normal"/>
    <w:link w:val="ListParagraphChar"/>
    <w:uiPriority w:val="34"/>
    <w:qFormat/>
    <w:rsid w:val="00E60855"/>
    <w:pPr>
      <w:ind w:left="720"/>
      <w:contextualSpacing/>
    </w:pPr>
  </w:style>
  <w:style w:type="character" w:customStyle="1" w:styleId="ListParagraphChar">
    <w:name w:val="List Paragraph Char"/>
    <w:aliases w:val="List Paragraph (numbered (a)) Char,Normal 2 Char,Main numbered paragraph Char,References Char,Source Char,List_Paragraph Char,Multilevel para_II Char,List Paragraph1 Char,MC Paragraphe Liste Char,Colorful List - Accent 11 Char"/>
    <w:link w:val="ListParagraph"/>
    <w:uiPriority w:val="34"/>
    <w:qFormat/>
    <w:locked/>
    <w:rsid w:val="00E6085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0855"/>
    <w:pPr>
      <w:tabs>
        <w:tab w:val="center" w:pos="4680"/>
        <w:tab w:val="right" w:pos="9360"/>
      </w:tabs>
    </w:pPr>
  </w:style>
  <w:style w:type="character" w:customStyle="1" w:styleId="HeaderChar">
    <w:name w:val="Header Char"/>
    <w:basedOn w:val="DefaultParagraphFont"/>
    <w:link w:val="Header"/>
    <w:uiPriority w:val="99"/>
    <w:rsid w:val="00E608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0855"/>
    <w:pPr>
      <w:tabs>
        <w:tab w:val="center" w:pos="4680"/>
        <w:tab w:val="right" w:pos="9360"/>
      </w:tabs>
    </w:pPr>
  </w:style>
  <w:style w:type="character" w:customStyle="1" w:styleId="FooterChar">
    <w:name w:val="Footer Char"/>
    <w:basedOn w:val="DefaultParagraphFont"/>
    <w:link w:val="Footer"/>
    <w:uiPriority w:val="99"/>
    <w:rsid w:val="00E6085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3" ma:contentTypeDescription="Create a new document." ma:contentTypeScope="" ma:versionID="30967dabfe0325bcd56d11ed5aa223d5">
  <xsd:schema xmlns:xsd="http://www.w3.org/2001/XMLSchema" xmlns:xs="http://www.w3.org/2001/XMLSchema" xmlns:p="http://schemas.microsoft.com/office/2006/metadata/properties" xmlns:ns3="fddef6a8-5936-4909-96e0-2ad7a6b1720b" xmlns:ns4="0c867391-8214-4b58-86b3-de07547409f9" targetNamespace="http://schemas.microsoft.com/office/2006/metadata/properties" ma:root="true" ma:fieldsID="bc800a795d41e4c2d22a8b4fea1fefeb" ns3:_="" ns4:_="">
    <xsd:import namespace="fddef6a8-5936-4909-96e0-2ad7a6b1720b"/>
    <xsd:import namespace="0c867391-8214-4b58-86b3-de07547409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469C32-7575-4076-8F04-24E8ADBE1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ef6a8-5936-4909-96e0-2ad7a6b1720b"/>
    <ds:schemaRef ds:uri="0c867391-8214-4b58-86b3-de0754740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1AD5C-F244-4810-94A6-43A09D0DADF2}">
  <ds:schemaRefs>
    <ds:schemaRef ds:uri="http://schemas.microsoft.com/sharepoint/v3/contenttype/forms"/>
  </ds:schemaRefs>
</ds:datastoreItem>
</file>

<file path=customXml/itemProps3.xml><?xml version="1.0" encoding="utf-8"?>
<ds:datastoreItem xmlns:ds="http://schemas.openxmlformats.org/officeDocument/2006/customXml" ds:itemID="{C4B62B2A-B989-4D0F-BAFF-2B70A07CEE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Bekim Ymeri</dc:creator>
  <cp:keywords/>
  <dc:description/>
  <cp:lastModifiedBy>florian agalli</cp:lastModifiedBy>
  <cp:revision>3</cp:revision>
  <dcterms:created xsi:type="dcterms:W3CDTF">2020-11-18T20:53:00Z</dcterms:created>
  <dcterms:modified xsi:type="dcterms:W3CDTF">2020-11-22T22:56:00Z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